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6fxvryk40vw5" w:id="0"/>
      <w:bookmarkEnd w:id="0"/>
      <w:r w:rsidDel="00000000" w:rsidR="00000000" w:rsidRPr="00000000">
        <w:rPr>
          <w:rtl w:val="0"/>
        </w:rPr>
        <w:t xml:space="preserve">Projekt 1 för FE16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Det här dokumentet beskriver det första projektet och hur det kommer fungera och bedömmas.</w:t>
      </w:r>
    </w:p>
    <w:p w:rsidR="00000000" w:rsidDel="00000000" w:rsidP="00000000" w:rsidRDefault="00000000" w:rsidRPr="00000000">
      <w:pPr>
        <w:contextualSpacing w:val="0"/>
      </w:pPr>
      <w:r w:rsidDel="00000000" w:rsidR="00000000" w:rsidRPr="00000000">
        <w:rPr>
          <w:rtl w:val="0"/>
        </w:rPr>
        <w:t xml:space="preserve">Projektet startar den 26 september 2016 (v39) och pågår fram till den 20 december 2016 (v51). Totalt omfattar alltså projektet 13 veckor där teamet, som består av ca 5 personer, kommer spendera ca 4 dagar i veckan på projektet. Totalt blir det runt 260 timmar arbete på projektet.</w:t>
      </w:r>
    </w:p>
    <w:p w:rsidR="00000000" w:rsidDel="00000000" w:rsidP="00000000" w:rsidRDefault="00000000" w:rsidRPr="00000000">
      <w:pPr>
        <w:contextualSpacing w:val="0"/>
      </w:pPr>
      <w:r w:rsidDel="00000000" w:rsidR="00000000" w:rsidRPr="00000000">
        <w:rPr>
          <w:rtl w:val="0"/>
        </w:rPr>
        <w:t xml:space="preserve">Eftersom ni ska lära er parallellt med projektet är utgångspunkten att ni ska ha tid med detta och ändå kunna nå målet. Projketet är därför framtaget för att ta ca 20-30 timmar för en erfaren programmerare och ca 60-80 timmar för en studerande som redan lärt sig teorin fullt ut. Således ska det finnas gott om tid att både lära sig och klara projektet.</w:t>
      </w:r>
    </w:p>
    <w:p w:rsidR="00000000" w:rsidDel="00000000" w:rsidP="00000000" w:rsidRDefault="00000000" w:rsidRPr="00000000">
      <w:pPr>
        <w:pStyle w:val="Heading2"/>
        <w:contextualSpacing w:val="0"/>
      </w:pPr>
      <w:bookmarkStart w:colFirst="0" w:colLast="0" w:name="_jbnsobgx9jkc" w:id="1"/>
      <w:bookmarkEnd w:id="1"/>
      <w:r w:rsidDel="00000000" w:rsidR="00000000" w:rsidRPr="00000000">
        <w:rPr>
          <w:rtl w:val="0"/>
        </w:rPr>
        <w:t xml:space="preserve">Löpande avstämning</w:t>
      </w:r>
    </w:p>
    <w:p w:rsidR="00000000" w:rsidDel="00000000" w:rsidP="00000000" w:rsidRDefault="00000000" w:rsidRPr="00000000">
      <w:pPr>
        <w:contextualSpacing w:val="0"/>
      </w:pPr>
      <w:r w:rsidDel="00000000" w:rsidR="00000000" w:rsidRPr="00000000">
        <w:rPr>
          <w:rtl w:val="0"/>
        </w:rPr>
        <w:t xml:space="preserve">De dagar som lärarna är på plats kommer vi vilja stämma av med grupperna då och då. Det kan handla om att få kika på er kod, prata om er process osv.</w:t>
      </w:r>
    </w:p>
    <w:p w:rsidR="00000000" w:rsidDel="00000000" w:rsidP="00000000" w:rsidRDefault="00000000" w:rsidRPr="00000000">
      <w:pPr>
        <w:contextualSpacing w:val="0"/>
      </w:pPr>
      <w:r w:rsidDel="00000000" w:rsidR="00000000" w:rsidRPr="00000000">
        <w:rPr>
          <w:rtl w:val="0"/>
        </w:rPr>
        <w:t xml:space="preserve">Var annan torsdag kommer det vara obligatorisk avstämning med Lena kring agila metoder och på de torsdagarna gör ni Planning, Retrospective och Demo. Första torsdagen för detta är v40 och sedan sker det var annan vecka under lektionen med Lena.</w:t>
      </w:r>
    </w:p>
    <w:p w:rsidR="00000000" w:rsidDel="00000000" w:rsidP="00000000" w:rsidRDefault="00000000" w:rsidRPr="00000000">
      <w:pPr>
        <w:pStyle w:val="Heading2"/>
        <w:contextualSpacing w:val="0"/>
      </w:pPr>
      <w:bookmarkStart w:colFirst="0" w:colLast="0" w:name="_k0nisvwwkau4" w:id="2"/>
      <w:bookmarkEnd w:id="2"/>
      <w:r w:rsidDel="00000000" w:rsidR="00000000" w:rsidRPr="00000000">
        <w:rPr>
          <w:rtl w:val="0"/>
        </w:rPr>
        <w:t xml:space="preserve">Betygsättning</w:t>
      </w:r>
    </w:p>
    <w:p w:rsidR="00000000" w:rsidDel="00000000" w:rsidP="00000000" w:rsidRDefault="00000000" w:rsidRPr="00000000">
      <w:pPr>
        <w:contextualSpacing w:val="0"/>
      </w:pPr>
      <w:r w:rsidDel="00000000" w:rsidR="00000000" w:rsidRPr="00000000">
        <w:rPr>
          <w:rtl w:val="0"/>
        </w:rPr>
        <w:t xml:space="preserve">Projektet bedöms utifrån de fyra kurserna som omfattas i projektet enligt matrisen nedan av de olika lärarna för kurserna. </w:t>
      </w:r>
    </w:p>
    <w:p w:rsidR="00000000" w:rsidDel="00000000" w:rsidP="00000000" w:rsidRDefault="00000000" w:rsidRPr="00000000">
      <w:pPr>
        <w:contextualSpacing w:val="0"/>
      </w:pPr>
      <w:r w:rsidDel="00000000" w:rsidR="00000000" w:rsidRPr="00000000">
        <w:rPr>
          <w:rtl w:val="0"/>
        </w:rPr>
        <w:t xml:space="preserve">Följande kursmål kommer betygsättas:</w:t>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666666"/>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shd w:fill="666666"/>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color w:val="ffffff"/>
                <w:rtl w:val="0"/>
              </w:rPr>
              <w:t xml:space="preserve">Kunskaper</w:t>
            </w:r>
          </w:p>
        </w:tc>
        <w:tc>
          <w:tcPr>
            <w:shd w:fill="666666"/>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color w:val="ffffff"/>
                <w:rtl w:val="0"/>
              </w:rPr>
              <w:t xml:space="preserve">Färdigheter</w:t>
            </w:r>
          </w:p>
        </w:tc>
        <w:tc>
          <w:tcPr>
            <w:shd w:fill="666666"/>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color w:val="ffffff"/>
                <w:rtl w:val="0"/>
              </w:rPr>
              <w:t xml:space="preserve">Kompetenser</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HTML &amp; CSS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1.1, 1.2, 1.3, 1.4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3.1</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JavaScript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1.1, 1.2, 1.3, 1.4, 1.6</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2.1, 2.2, 2.3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Arbetsmetodik</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1.1, 1.2, 1.3, 1.5, 1.8</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2.1,2.2, 2.3, 2.4, 2.5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3.1, 3.2</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Dynamisk webbutveckling</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1.1, 1.2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2.1, 2.2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3.1</w:t>
            </w:r>
          </w:p>
        </w:tc>
      </w:tr>
    </w:tbl>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Bedömning av de olika målen sker både löpande under lektionerna med lärarna samt genom inlämningen, redovisningen och redogörelsen.</w:t>
      </w:r>
    </w:p>
    <w:p w:rsidR="00000000" w:rsidDel="00000000" w:rsidP="00000000" w:rsidRDefault="00000000" w:rsidRPr="00000000">
      <w:pPr>
        <w:pStyle w:val="Heading2"/>
        <w:contextualSpacing w:val="0"/>
      </w:pPr>
      <w:bookmarkStart w:colFirst="0" w:colLast="0" w:name="_v6p8jrg7tw2p" w:id="3"/>
      <w:bookmarkEnd w:id="3"/>
      <w:r w:rsidDel="00000000" w:rsidR="00000000" w:rsidRPr="00000000">
        <w:rPr>
          <w:rtl w:val="0"/>
        </w:rPr>
        <w:t xml:space="preserve">Inlämning och redovisning</w:t>
      </w:r>
    </w:p>
    <w:p w:rsidR="00000000" w:rsidDel="00000000" w:rsidP="00000000" w:rsidRDefault="00000000" w:rsidRPr="00000000">
      <w:pPr>
        <w:contextualSpacing w:val="0"/>
      </w:pPr>
      <w:r w:rsidDel="00000000" w:rsidR="00000000" w:rsidRPr="00000000">
        <w:rPr>
          <w:rtl w:val="0"/>
        </w:rPr>
        <w:t xml:space="preserve">Projektet genomförs och redovisas i grupp men du kommer också lämna in en individuell redogörelse av projektet för att vi ska kunna säkerställa det individuella betyget på vissa punkter.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0"/>
          <w:szCs w:val="20"/>
          <w:rtl w:val="0"/>
        </w:rPr>
        <w:t xml:space="preserve">Slutleveransen som hela teamet gör är följande:</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0"/>
          <w:szCs w:val="20"/>
          <w:u w:val="none"/>
        </w:rPr>
      </w:pPr>
      <w:r w:rsidDel="00000000" w:rsidR="00000000" w:rsidRPr="00000000">
        <w:rPr>
          <w:rFonts w:ascii="Droid Serif" w:cs="Droid Serif" w:eastAsia="Droid Serif" w:hAnsi="Droid Serif"/>
          <w:b w:val="1"/>
          <w:sz w:val="20"/>
          <w:szCs w:val="20"/>
          <w:rtl w:val="0"/>
        </w:rPr>
        <w:t xml:space="preserve">Lämna in koden</w:t>
      </w:r>
      <w:r w:rsidDel="00000000" w:rsidR="00000000" w:rsidRPr="00000000">
        <w:rPr>
          <w:rFonts w:ascii="Droid Serif" w:cs="Droid Serif" w:eastAsia="Droid Serif" w:hAnsi="Droid Serif"/>
          <w:sz w:val="20"/>
          <w:szCs w:val="20"/>
          <w:rtl w:val="0"/>
        </w:rPr>
        <w:t xml:space="preserve"> i form av en ZIP- eller RAR-fil</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0"/>
          <w:szCs w:val="20"/>
          <w:u w:val="none"/>
        </w:rPr>
      </w:pPr>
      <w:r w:rsidDel="00000000" w:rsidR="00000000" w:rsidRPr="00000000">
        <w:rPr>
          <w:rFonts w:ascii="Droid Serif" w:cs="Droid Serif" w:eastAsia="Droid Serif" w:hAnsi="Droid Serif"/>
          <w:b w:val="1"/>
          <w:sz w:val="20"/>
          <w:szCs w:val="20"/>
          <w:rtl w:val="0"/>
        </w:rPr>
        <w:t xml:space="preserve">Skicka in länken</w:t>
      </w:r>
      <w:r w:rsidDel="00000000" w:rsidR="00000000" w:rsidRPr="00000000">
        <w:rPr>
          <w:rFonts w:ascii="Droid Serif" w:cs="Droid Serif" w:eastAsia="Droid Serif" w:hAnsi="Droid Serif"/>
          <w:sz w:val="20"/>
          <w:szCs w:val="20"/>
          <w:rtl w:val="0"/>
        </w:rPr>
        <w:t xml:space="preserve"> till projektet som ligger live</w:t>
      </w:r>
    </w:p>
    <w:p w:rsidR="00000000" w:rsidDel="00000000" w:rsidP="00000000" w:rsidRDefault="00000000" w:rsidRPr="00000000">
      <w:pPr>
        <w:contextualSpacing w:val="0"/>
      </w:pPr>
      <w:r w:rsidDel="00000000" w:rsidR="00000000" w:rsidRPr="00000000">
        <w:rPr>
          <w:rFonts w:ascii="Droid Serif" w:cs="Droid Serif" w:eastAsia="Droid Serif" w:hAnsi="Droid Serif"/>
          <w:sz w:val="20"/>
          <w:szCs w:val="20"/>
          <w:rtl w:val="0"/>
        </w:rPr>
        <w:t xml:space="preserve">Samtliga inlämningar sker i Google Classroom i rummet för projektet i respektive inlämning som lärarna sätter upp.</w:t>
      </w:r>
    </w:p>
    <w:p w:rsidR="00000000" w:rsidDel="00000000" w:rsidP="00000000" w:rsidRDefault="00000000" w:rsidRPr="00000000">
      <w:pPr>
        <w:contextualSpacing w:val="0"/>
      </w:pPr>
      <w:r w:rsidDel="00000000" w:rsidR="00000000" w:rsidRPr="00000000">
        <w:rPr>
          <w:rFonts w:ascii="Droid Serif" w:cs="Droid Serif" w:eastAsia="Droid Serif" w:hAnsi="Droid Serif"/>
          <w:sz w:val="20"/>
          <w:szCs w:val="20"/>
          <w:rtl w:val="0"/>
        </w:rPr>
        <w:t xml:space="preserve">Den 20e december genomför gruppen även en presentation av projektet som helhet och demonstrerar slutprodukten för kunden, lärarna och resten av klassen. Mer detaljer kring presentationen kommer när den närmar sig men i grova drag kan vi säga att den kommer vara ca 30 minuter per grupp och ni ska både berätta om er process, koden och om produkten som ni skapat.</w:t>
      </w:r>
    </w:p>
    <w:p w:rsidR="00000000" w:rsidDel="00000000" w:rsidP="00000000" w:rsidRDefault="00000000" w:rsidRPr="00000000">
      <w:pPr>
        <w:pStyle w:val="Heading2"/>
        <w:contextualSpacing w:val="0"/>
      </w:pPr>
      <w:bookmarkStart w:colFirst="0" w:colLast="0" w:name="_jxi9dtqvwto" w:id="4"/>
      <w:bookmarkEnd w:id="4"/>
      <w:r w:rsidDel="00000000" w:rsidR="00000000" w:rsidRPr="00000000">
        <w:rPr>
          <w:rtl w:val="0"/>
        </w:rPr>
        <w:t xml:space="preserve">Redogörelse</w:t>
      </w:r>
    </w:p>
    <w:p w:rsidR="00000000" w:rsidDel="00000000" w:rsidP="00000000" w:rsidRDefault="00000000" w:rsidRPr="00000000">
      <w:pPr>
        <w:contextualSpacing w:val="0"/>
      </w:pPr>
      <w:r w:rsidDel="00000000" w:rsidR="00000000" w:rsidRPr="00000000">
        <w:rPr>
          <w:rtl w:val="0"/>
        </w:rPr>
        <w:t xml:space="preserve">För att vi ska kunna säkerställa just din insats i projetket och de lärdommar och kunskaper du fått behöver vi få in en individuell redogörelse från dig ihop med alla projekt. För det här projektet gäller följande.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redogörelsen ska du svara på följande frågor:</w:t>
      </w:r>
    </w:p>
    <w:p w:rsidR="00000000" w:rsidDel="00000000" w:rsidP="00000000" w:rsidRDefault="00000000" w:rsidRPr="00000000">
      <w:pPr>
        <w:numPr>
          <w:ilvl w:val="0"/>
          <w:numId w:val="2"/>
        </w:numPr>
        <w:ind w:left="720" w:hanging="360"/>
        <w:contextualSpacing w:val="1"/>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Hur tycker du projektet gått som helhet?</w:t>
      </w:r>
    </w:p>
    <w:p w:rsidR="00000000" w:rsidDel="00000000" w:rsidP="00000000" w:rsidRDefault="00000000" w:rsidRPr="00000000">
      <w:pPr>
        <w:numPr>
          <w:ilvl w:val="0"/>
          <w:numId w:val="2"/>
        </w:numPr>
        <w:ind w:left="720" w:hanging="360"/>
        <w:contextualSpacing w:val="1"/>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Hur känner du att du själv bidragit till projektet?</w:t>
      </w:r>
    </w:p>
    <w:p w:rsidR="00000000" w:rsidDel="00000000" w:rsidP="00000000" w:rsidRDefault="00000000" w:rsidRPr="00000000">
      <w:pPr>
        <w:numPr>
          <w:ilvl w:val="0"/>
          <w:numId w:val="2"/>
        </w:numPr>
        <w:ind w:left="720" w:hanging="360"/>
        <w:contextualSpacing w:val="1"/>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Hur har ni planerat och lagt upp arbetet/arbetsmetodiken?</w:t>
      </w:r>
    </w:p>
    <w:p w:rsidR="00000000" w:rsidDel="00000000" w:rsidP="00000000" w:rsidRDefault="00000000" w:rsidRPr="00000000">
      <w:pPr>
        <w:numPr>
          <w:ilvl w:val="0"/>
          <w:numId w:val="2"/>
        </w:numPr>
        <w:ind w:left="720" w:hanging="360"/>
        <w:contextualSpacing w:val="1"/>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Vad skulle du vilja göra annorlunda och du fick göra om projektet igen?</w:t>
      </w:r>
    </w:p>
    <w:p w:rsidR="00000000" w:rsidDel="00000000" w:rsidP="00000000" w:rsidRDefault="00000000" w:rsidRPr="00000000">
      <w:pPr>
        <w:numPr>
          <w:ilvl w:val="0"/>
          <w:numId w:val="2"/>
        </w:numPr>
        <w:ind w:left="720" w:hanging="360"/>
        <w:contextualSpacing w:val="1"/>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Beskriv den tekniska strukturen för produkten ni byggt så som du skulle förklarat den för kunden.</w:t>
      </w:r>
    </w:p>
    <w:p w:rsidR="00000000" w:rsidDel="00000000" w:rsidP="00000000" w:rsidRDefault="00000000" w:rsidRPr="00000000">
      <w:pPr>
        <w:contextualSpacing w:val="0"/>
      </w:pPr>
      <w:r w:rsidDel="00000000" w:rsidR="00000000" w:rsidRPr="00000000">
        <w:rPr>
          <w:rtl w:val="0"/>
        </w:rPr>
        <w:t xml:space="preserve">Din redogörelse ska ta upp det viktigaste kring dessa samt knyta det till projektet för att vara på en G-nivå. För att hamna på en VG-nivå ska redogörelsen vara utförlig och genom det belysa fler olika aspekter och ännu tydligare kopplas till din egen leverans.</w:t>
      </w:r>
    </w:p>
    <w:p w:rsidR="00000000" w:rsidDel="00000000" w:rsidP="00000000" w:rsidRDefault="00000000" w:rsidRPr="00000000">
      <w:pPr>
        <w:contextualSpacing w:val="0"/>
      </w:pPr>
      <w:r w:rsidDel="00000000" w:rsidR="00000000" w:rsidRPr="00000000">
        <w:rPr>
          <w:rtl w:val="0"/>
        </w:rPr>
        <w:t xml:space="preserve">Redogörelsen ska skickas in som PDF via Google Classroom på anvisad plats.</w:t>
      </w:r>
    </w:p>
    <w:p w:rsidR="00000000" w:rsidDel="00000000" w:rsidP="00000000" w:rsidRDefault="00000000" w:rsidRPr="00000000">
      <w:pPr>
        <w:contextualSpacing w:val="0"/>
      </w:pPr>
      <w:r w:rsidDel="00000000" w:rsidR="00000000" w:rsidRPr="00000000">
        <w:rPr>
          <w:rtl w:val="0"/>
        </w:rPr>
        <w:t xml:space="preserve">Deadline för redogörelsen är den 23 december 2016 kl 23.59.</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Droid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eorgia" w:cs="Georgia" w:eastAsia="Georgia" w:hAnsi="Georgia"/>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contextualSpacing w:val="1"/>
    </w:pPr>
    <w:rPr>
      <w:rFonts w:ascii="Droid Serif" w:cs="Droid Serif" w:eastAsia="Droid Serif" w:hAnsi="Droid Serif"/>
      <w:sz w:val="60"/>
      <w:szCs w:val="60"/>
    </w:rPr>
  </w:style>
  <w:style w:type="paragraph" w:styleId="Heading2">
    <w:name w:val="heading 2"/>
    <w:basedOn w:val="Normal"/>
    <w:next w:val="Normal"/>
    <w:pPr>
      <w:keepNext w:val="1"/>
      <w:keepLines w:val="1"/>
      <w:spacing w:after="0" w:before="300" w:lineRule="auto"/>
      <w:contextualSpacing w:val="1"/>
    </w:pPr>
    <w:rPr>
      <w:rFonts w:ascii="Droid Serif" w:cs="Droid Serif" w:eastAsia="Droid Serif" w:hAnsi="Droid Serif"/>
      <w:b w:val="1"/>
      <w:sz w:val="28"/>
      <w:szCs w:val="28"/>
    </w:rPr>
  </w:style>
  <w:style w:type="paragraph" w:styleId="Heading3">
    <w:name w:val="heading 3"/>
    <w:basedOn w:val="Normal"/>
    <w:next w:val="Normal"/>
    <w:pPr>
      <w:keepNext w:val="1"/>
      <w:keepLines w:val="1"/>
      <w:spacing w:after="40" w:before="160" w:lineRule="auto"/>
      <w:contextualSpacing w:val="1"/>
    </w:pPr>
    <w:rPr>
      <w:b w:val="1"/>
      <w:sz w:val="24"/>
      <w:szCs w:val="24"/>
    </w:rPr>
  </w:style>
  <w:style w:type="paragraph" w:styleId="Heading4">
    <w:name w:val="heading 4"/>
    <w:basedOn w:val="Normal"/>
    <w:next w:val="Normal"/>
    <w:pPr>
      <w:keepNext w:val="1"/>
      <w:keepLines w:val="1"/>
      <w:spacing w:after="240" w:before="240" w:line="240" w:lineRule="auto"/>
      <w:ind w:left="567" w:hanging="567"/>
    </w:pPr>
    <w:rPr>
      <w:rFonts w:ascii="Times New Roman" w:cs="Times New Roman" w:eastAsia="Times New Roman" w:hAnsi="Times New Roman"/>
      <w:b w:val="0"/>
      <w:color w:val="000000"/>
      <w:sz w:val="32"/>
      <w:szCs w:val="32"/>
    </w:rPr>
  </w:style>
  <w:style w:type="paragraph" w:styleId="Heading5">
    <w:name w:val="heading 5"/>
    <w:basedOn w:val="Normal"/>
    <w:next w:val="Normal"/>
    <w:pPr>
      <w:keepNext w:val="1"/>
      <w:keepLines w:val="1"/>
      <w:spacing w:after="240" w:before="240" w:line="240" w:lineRule="auto"/>
      <w:ind w:left="567" w:hanging="567"/>
    </w:pPr>
    <w:rPr>
      <w:rFonts w:ascii="Times New Roman" w:cs="Times New Roman" w:eastAsia="Times New Roman" w:hAnsi="Times New Roman"/>
      <w:b w:val="0"/>
      <w:smallCaps w:val="1"/>
      <w:color w:val="000000"/>
      <w:sz w:val="32"/>
      <w:szCs w:val="32"/>
    </w:rPr>
  </w:style>
  <w:style w:type="paragraph" w:styleId="Heading6">
    <w:name w:val="heading 6"/>
    <w:basedOn w:val="Normal"/>
    <w:next w:val="Normal"/>
    <w:pPr>
      <w:keepNext w:val="1"/>
      <w:keepLines w:val="1"/>
      <w:spacing w:after="240" w:before="240" w:line="240" w:lineRule="auto"/>
      <w:ind w:left="567" w:hanging="567"/>
    </w:pPr>
    <w:rPr>
      <w:rFonts w:ascii="Times New Roman" w:cs="Times New Roman" w:eastAsia="Times New Roman" w:hAnsi="Times New Roman"/>
      <w:b w:val="1"/>
      <w:color w:val="333333"/>
      <w:sz w:val="32"/>
      <w:szCs w:val="32"/>
    </w:rPr>
  </w:style>
  <w:style w:type="paragraph" w:styleId="Title">
    <w:name w:val="Title"/>
    <w:basedOn w:val="Normal"/>
    <w:next w:val="Normal"/>
    <w:pPr>
      <w:keepNext w:val="1"/>
      <w:keepLines w:val="1"/>
      <w:spacing w:after="360" w:before="360" w:line="240" w:lineRule="auto"/>
    </w:pPr>
    <w:rPr>
      <w:rFonts w:ascii="Times New Roman" w:cs="Times New Roman" w:eastAsia="Times New Roman" w:hAnsi="Times New Roman"/>
      <w:b w:val="1"/>
      <w:color w:val="000000"/>
      <w:sz w:val="52"/>
      <w:szCs w:val="5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