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B2F0" w14:textId="5125A706" w:rsidR="00D672F8" w:rsidRPr="00287AB0" w:rsidRDefault="00000000" w:rsidP="00287AB0">
      <w:pPr>
        <w:jc w:val="center"/>
        <w:rPr>
          <w:lang w:val="de-DE"/>
        </w:rPr>
      </w:pPr>
      <w:r w:rsidRPr="00287AB0">
        <w:rPr>
          <w:b/>
          <w:sz w:val="32"/>
          <w:lang w:val="de-DE"/>
        </w:rPr>
        <w:t>Beschreibung der analytischen Arbeit in Power BI</w:t>
      </w:r>
    </w:p>
    <w:p w14:paraId="711F4CE6" w14:textId="2C8573DD" w:rsidR="00D672F8" w:rsidRPr="00287AB0" w:rsidRDefault="00000000">
      <w:pPr>
        <w:rPr>
          <w:lang w:val="uk-UA"/>
        </w:rPr>
      </w:pPr>
      <w:r w:rsidRPr="00287AB0">
        <w:rPr>
          <w:lang w:val="de-DE"/>
        </w:rPr>
        <w:t>Nach der Datenaufbereitung in SQL bestand der nächste Arbeitsschritt im Aufbau analytischer Dashboards in Power BI. Ziel dieses Teils des Projekts war es, auf Grundlage der vorbereiteten Views die Forschungsfragen visuell zu beantworten und die Analyseergebnisse in einer verständlichen und zusammenhängenden Form darzustellen.</w:t>
      </w:r>
    </w:p>
    <w:p w14:paraId="23C45910" w14:textId="16BAA13B" w:rsidR="00D672F8" w:rsidRPr="00287AB0" w:rsidRDefault="00000000">
      <w:pPr>
        <w:rPr>
          <w:lang w:val="uk-UA"/>
        </w:rPr>
      </w:pPr>
      <w:r w:rsidRPr="00287AB0">
        <w:rPr>
          <w:lang w:val="de-DE"/>
        </w:rPr>
        <w:t>In Power BI wurden folgende Haupttabellen verwendet:</w:t>
      </w:r>
    </w:p>
    <w:p w14:paraId="3E997302" w14:textId="77777777" w:rsidR="00D672F8" w:rsidRDefault="00000000">
      <w:pPr>
        <w:pStyle w:val="a0"/>
      </w:pPr>
      <w:r>
        <w:t>View 1 – v01_strommix_jahr</w:t>
      </w:r>
    </w:p>
    <w:p w14:paraId="1FDDF669" w14:textId="77777777" w:rsidR="00D672F8" w:rsidRPr="00287AB0" w:rsidRDefault="00000000">
      <w:pPr>
        <w:pStyle w:val="a0"/>
        <w:rPr>
          <w:lang w:val="de-DE"/>
        </w:rPr>
      </w:pPr>
      <w:r w:rsidRPr="00287AB0">
        <w:rPr>
          <w:lang w:val="de-DE"/>
        </w:rPr>
        <w:t>View 3 – v03_ersatz_kernenergie_vergleich_vor_nach</w:t>
      </w:r>
    </w:p>
    <w:p w14:paraId="2142D617" w14:textId="77777777" w:rsidR="00D672F8" w:rsidRDefault="00000000">
      <w:pPr>
        <w:pStyle w:val="a0"/>
      </w:pPr>
      <w:r>
        <w:t>View 7 – v07_strompreise_insgesamt_halbjahr</w:t>
      </w:r>
    </w:p>
    <w:p w14:paraId="1C1BEFD2" w14:textId="77777777" w:rsidR="00D672F8" w:rsidRDefault="00000000">
      <w:pPr>
        <w:pStyle w:val="a0"/>
      </w:pPr>
      <w:r>
        <w:t>View 9 – v09_preisbestandteile_insgesamt</w:t>
      </w:r>
    </w:p>
    <w:p w14:paraId="76CC1F5B" w14:textId="77777777" w:rsidR="00D672F8" w:rsidRDefault="00000000">
      <w:pPr>
        <w:pStyle w:val="a0"/>
      </w:pPr>
      <w:r>
        <w:t>View 12 – v12_stromhandel_jahr</w:t>
      </w:r>
    </w:p>
    <w:p w14:paraId="00F83748" w14:textId="201025D1" w:rsidR="00D672F8" w:rsidRPr="00287AB0" w:rsidRDefault="00000000" w:rsidP="00287AB0">
      <w:pPr>
        <w:pStyle w:val="a0"/>
      </w:pPr>
      <w:r>
        <w:t>View 13 – v13_vw_brennstoffpreise_vorjahr</w:t>
      </w:r>
    </w:p>
    <w:p w14:paraId="7C74881D" w14:textId="26878A56" w:rsidR="00D672F8" w:rsidRPr="00287AB0" w:rsidRDefault="00000000">
      <w:pPr>
        <w:rPr>
          <w:lang w:val="uk-UA"/>
        </w:rPr>
      </w:pPr>
      <w:r w:rsidRPr="00287AB0">
        <w:rPr>
          <w:lang w:val="de-DE"/>
        </w:rPr>
        <w:t>Zusätzlich wurde folgende Hilfstabelle erstellt:</w:t>
      </w:r>
    </w:p>
    <w:p w14:paraId="3D2D503C" w14:textId="0FFE1880" w:rsidR="00D672F8" w:rsidRPr="00287AB0" w:rsidRDefault="00000000" w:rsidP="00287AB0">
      <w:pPr>
        <w:pStyle w:val="a0"/>
      </w:pPr>
      <w:proofErr w:type="spellStart"/>
      <w:r>
        <w:t>Kompensationsfaktoren</w:t>
      </w:r>
      <w:proofErr w:type="spellEnd"/>
    </w:p>
    <w:p w14:paraId="5940F0D0" w14:textId="21FE909D" w:rsidR="00D672F8" w:rsidRPr="00287AB0" w:rsidRDefault="00000000">
      <w:pPr>
        <w:rPr>
          <w:lang w:val="uk-UA"/>
        </w:rPr>
      </w:pPr>
      <w:r w:rsidRPr="00287AB0">
        <w:rPr>
          <w:lang w:val="de-DE"/>
        </w:rPr>
        <w:t>Sie wurde für den anschaulichen Vergleich der Faktoren verwendet, die die weggefallene Kernenergie kompensiert haben.</w:t>
      </w:r>
    </w:p>
    <w:p w14:paraId="19DECCC1" w14:textId="3DFE8DA9" w:rsidR="00D672F8" w:rsidRPr="00287AB0" w:rsidRDefault="00000000">
      <w:pPr>
        <w:rPr>
          <w:lang w:val="uk-UA"/>
        </w:rPr>
      </w:pPr>
      <w:r w:rsidRPr="00287AB0">
        <w:rPr>
          <w:lang w:val="de-DE"/>
        </w:rPr>
        <w:t>Außerdem ist zu beachten, dass das Zeichen Ø, das in den Karten der Preis-Dashboards verwendet wird, den arithmetischen Mittelwert für den ausgewählten Zeitraum bezeichnet.</w:t>
      </w:r>
    </w:p>
    <w:p w14:paraId="28EA7012" w14:textId="698D4FD4" w:rsidR="00D672F8" w:rsidRPr="00287AB0" w:rsidRDefault="00000000">
      <w:pPr>
        <w:rPr>
          <w:lang w:val="uk-UA"/>
        </w:rPr>
      </w:pPr>
      <w:r w:rsidRPr="00287AB0">
        <w:rPr>
          <w:b/>
          <w:sz w:val="26"/>
          <w:lang w:val="de-DE"/>
        </w:rPr>
        <w:t>1. Erstes Dashboard: Strommix vor und nach Atomausstieg</w:t>
      </w:r>
    </w:p>
    <w:p w14:paraId="005728ED" w14:textId="6D3C6422" w:rsidR="00D672F8" w:rsidRPr="00287AB0" w:rsidRDefault="00000000">
      <w:pPr>
        <w:rPr>
          <w:lang w:val="uk-UA"/>
        </w:rPr>
      </w:pPr>
      <w:r w:rsidRPr="00287AB0">
        <w:rPr>
          <w:lang w:val="de-DE"/>
        </w:rPr>
        <w:t>Das erste Dashboard wurde erstellt, um die Frage zu beantworten, wie sich der Strommix in Deutschland vor und nach dem Atomausstieg verändert hat.</w:t>
      </w:r>
    </w:p>
    <w:p w14:paraId="2AC9C8CB" w14:textId="77777777" w:rsidR="00D672F8" w:rsidRPr="00287AB0" w:rsidRDefault="00000000">
      <w:pPr>
        <w:rPr>
          <w:lang w:val="de-DE"/>
        </w:rPr>
      </w:pPr>
      <w:r w:rsidRPr="00287AB0">
        <w:rPr>
          <w:lang w:val="de-DE"/>
        </w:rPr>
        <w:t>Auf diesem Dashboard wurden dargestellt:</w:t>
      </w:r>
    </w:p>
    <w:p w14:paraId="1A28CC2C" w14:textId="77777777" w:rsidR="00D672F8" w:rsidRPr="00287AB0" w:rsidRDefault="00000000">
      <w:pPr>
        <w:pStyle w:val="a0"/>
        <w:rPr>
          <w:lang w:val="de-DE"/>
        </w:rPr>
      </w:pPr>
      <w:r w:rsidRPr="00287AB0">
        <w:rPr>
          <w:lang w:val="de-DE"/>
        </w:rPr>
        <w:t>Karten mit den Anteilen der wichtigsten Energieträger,</w:t>
      </w:r>
    </w:p>
    <w:p w14:paraId="2A2D6D3B" w14:textId="77777777" w:rsidR="00D672F8" w:rsidRPr="00287AB0" w:rsidRDefault="00000000">
      <w:pPr>
        <w:pStyle w:val="a0"/>
        <w:rPr>
          <w:lang w:val="de-DE"/>
        </w:rPr>
      </w:pPr>
      <w:r w:rsidRPr="00287AB0">
        <w:rPr>
          <w:lang w:val="de-DE"/>
        </w:rPr>
        <w:t>ein Diagramm zur Struktur der wichtigsten Energieträger in den Jahren 2019–2025,</w:t>
      </w:r>
    </w:p>
    <w:p w14:paraId="2BC44195" w14:textId="77777777" w:rsidR="00D672F8" w:rsidRPr="00287AB0" w:rsidRDefault="00000000">
      <w:pPr>
        <w:pStyle w:val="a0"/>
        <w:rPr>
          <w:lang w:val="de-DE"/>
        </w:rPr>
      </w:pPr>
      <w:r w:rsidRPr="00287AB0">
        <w:rPr>
          <w:lang w:val="de-DE"/>
        </w:rPr>
        <w:t>ein Diagramm zur allgemeinen Entwicklung des Strommixes,</w:t>
      </w:r>
    </w:p>
    <w:p w14:paraId="6E1A9084" w14:textId="3BB8133F" w:rsidR="00D672F8" w:rsidRPr="00287AB0" w:rsidRDefault="00000000" w:rsidP="00287AB0">
      <w:pPr>
        <w:pStyle w:val="a0"/>
        <w:rPr>
          <w:lang w:val="de-DE"/>
        </w:rPr>
      </w:pPr>
      <w:r w:rsidRPr="00287AB0">
        <w:rPr>
          <w:lang w:val="de-DE"/>
        </w:rPr>
        <w:t xml:space="preserve">ein Slicer </w:t>
      </w:r>
      <w:proofErr w:type="spellStart"/>
      <w:r w:rsidRPr="00287AB0">
        <w:rPr>
          <w:lang w:val="de-DE"/>
        </w:rPr>
        <w:t>vor_atomausstieg</w:t>
      </w:r>
      <w:proofErr w:type="spellEnd"/>
      <w:r w:rsidRPr="00287AB0">
        <w:rPr>
          <w:lang w:val="de-DE"/>
        </w:rPr>
        <w:t xml:space="preserve"> / </w:t>
      </w:r>
      <w:proofErr w:type="spellStart"/>
      <w:r w:rsidRPr="00287AB0">
        <w:rPr>
          <w:lang w:val="de-DE"/>
        </w:rPr>
        <w:t>nach_atomausstieg</w:t>
      </w:r>
      <w:proofErr w:type="spellEnd"/>
      <w:r w:rsidRPr="00287AB0">
        <w:rPr>
          <w:lang w:val="de-DE"/>
        </w:rPr>
        <w:t>.</w:t>
      </w:r>
    </w:p>
    <w:p w14:paraId="0C270773" w14:textId="77777777" w:rsidR="00D672F8" w:rsidRPr="00287AB0" w:rsidRDefault="00000000">
      <w:pPr>
        <w:rPr>
          <w:lang w:val="de-DE"/>
        </w:rPr>
      </w:pPr>
      <w:r w:rsidRPr="00287AB0">
        <w:rPr>
          <w:lang w:val="de-DE"/>
        </w:rPr>
        <w:t>Die Karten zeigten die Anteile folgender Energieträger:</w:t>
      </w:r>
    </w:p>
    <w:p w14:paraId="5055850B" w14:textId="77777777" w:rsidR="00D672F8" w:rsidRDefault="00000000">
      <w:pPr>
        <w:pStyle w:val="a0"/>
      </w:pPr>
      <w:proofErr w:type="spellStart"/>
      <w:r>
        <w:t>Kernenergie</w:t>
      </w:r>
      <w:proofErr w:type="spellEnd"/>
    </w:p>
    <w:p w14:paraId="7BDDCEA9" w14:textId="77777777" w:rsidR="00D672F8" w:rsidRDefault="00000000">
      <w:pPr>
        <w:pStyle w:val="a0"/>
      </w:pPr>
      <w:r>
        <w:t>Erneuerbare</w:t>
      </w:r>
    </w:p>
    <w:p w14:paraId="074E172B" w14:textId="77777777" w:rsidR="00D672F8" w:rsidRDefault="00000000">
      <w:pPr>
        <w:pStyle w:val="a0"/>
      </w:pPr>
      <w:r>
        <w:t>Braunkohle</w:t>
      </w:r>
    </w:p>
    <w:p w14:paraId="59DB8424" w14:textId="77777777" w:rsidR="00D672F8" w:rsidRDefault="00000000">
      <w:pPr>
        <w:pStyle w:val="a0"/>
      </w:pPr>
      <w:r>
        <w:t>Erdgas</w:t>
      </w:r>
    </w:p>
    <w:p w14:paraId="433FEB99" w14:textId="1990F63B" w:rsidR="00D672F8" w:rsidRPr="00287AB0" w:rsidRDefault="00000000" w:rsidP="00287AB0">
      <w:pPr>
        <w:pStyle w:val="a0"/>
      </w:pPr>
      <w:proofErr w:type="spellStart"/>
      <w:r>
        <w:t>Steinkohl</w:t>
      </w:r>
      <w:r w:rsidR="00287AB0">
        <w:t>e</w:t>
      </w:r>
      <w:proofErr w:type="spellEnd"/>
    </w:p>
    <w:p w14:paraId="1A9F6009" w14:textId="6942E2B0" w:rsidR="00D672F8" w:rsidRPr="00287AB0" w:rsidRDefault="00000000">
      <w:pPr>
        <w:rPr>
          <w:lang w:val="de-DE"/>
        </w:rPr>
      </w:pPr>
      <w:r w:rsidRPr="00287AB0">
        <w:rPr>
          <w:lang w:val="de-DE"/>
        </w:rPr>
        <w:lastRenderedPageBreak/>
        <w:t>Die Diagramme zeigten, wie sich die Struktur der Stromerzeugung über die Jahre veränderte und welche Rolle die einzelnen Energieträger darin spielten.</w:t>
      </w:r>
    </w:p>
    <w:p w14:paraId="6F340518" w14:textId="77777777" w:rsidR="00D672F8" w:rsidRPr="00287AB0" w:rsidRDefault="00000000">
      <w:pPr>
        <w:rPr>
          <w:lang w:val="de-DE"/>
        </w:rPr>
      </w:pPr>
      <w:r w:rsidRPr="00287AB0">
        <w:rPr>
          <w:b/>
          <w:lang w:val="de-DE"/>
        </w:rPr>
        <w:t>Zentrale Aussage</w:t>
      </w:r>
    </w:p>
    <w:p w14:paraId="5847E061" w14:textId="45FF6F0D" w:rsidR="00D672F8" w:rsidRPr="00287AB0" w:rsidRDefault="00000000">
      <w:pPr>
        <w:rPr>
          <w:lang w:val="de-DE"/>
        </w:rPr>
      </w:pPr>
      <w:r w:rsidRPr="00287AB0">
        <w:rPr>
          <w:lang w:val="de-DE"/>
        </w:rPr>
        <w:t>Dieses Dashboard zeigte, dass die Kernenergie vor dem Ausstieg einen sichtbaren Anteil am gesamten Strommix hatte. Nach dem Atomausstieg veränderte sich die Struktur des Energiesystems, und der Anteil der erneuerbaren Energien stieg. Daraus lässt sich ableiten, dass sich die deutsche Stromerzeugung schrittweise in Richtung eines höheren Anteils erneuerbarer Energien entwickelt.</w:t>
      </w:r>
    </w:p>
    <w:p w14:paraId="05D14473" w14:textId="73541BE3" w:rsidR="00D672F8" w:rsidRPr="00287AB0" w:rsidRDefault="00000000">
      <w:pPr>
        <w:rPr>
          <w:lang w:val="de-DE"/>
        </w:rPr>
      </w:pPr>
      <w:r w:rsidRPr="00287AB0">
        <w:rPr>
          <w:b/>
          <w:sz w:val="26"/>
          <w:lang w:val="de-DE"/>
        </w:rPr>
        <w:t>2. Zweites Dashboard: Ersatz der Kernenergie</w:t>
      </w:r>
    </w:p>
    <w:p w14:paraId="33742077" w14:textId="7CBECF51" w:rsidR="00D672F8" w:rsidRPr="00287AB0" w:rsidRDefault="00000000">
      <w:pPr>
        <w:rPr>
          <w:lang w:val="de-DE"/>
        </w:rPr>
      </w:pPr>
      <w:r w:rsidRPr="00287AB0">
        <w:rPr>
          <w:lang w:val="de-DE"/>
        </w:rPr>
        <w:t>Das zweite Dashboard wurde erstellt, um die Frage zu beantworten, wodurch die weggefallene Kernenergie ersetzt wurde.</w:t>
      </w:r>
    </w:p>
    <w:p w14:paraId="090E54FE" w14:textId="77777777" w:rsidR="00D672F8" w:rsidRPr="00287AB0" w:rsidRDefault="00000000">
      <w:pPr>
        <w:rPr>
          <w:lang w:val="de-DE"/>
        </w:rPr>
      </w:pPr>
      <w:r w:rsidRPr="00287AB0">
        <w:rPr>
          <w:lang w:val="de-DE"/>
        </w:rPr>
        <w:t>Auf diesem Dashboard wurden dargestellt:</w:t>
      </w:r>
    </w:p>
    <w:p w14:paraId="69770646" w14:textId="1174F474" w:rsidR="00D672F8" w:rsidRPr="00287AB0" w:rsidRDefault="00000000" w:rsidP="00287AB0">
      <w:pPr>
        <w:pStyle w:val="a0"/>
        <w:rPr>
          <w:lang w:val="de-DE"/>
        </w:rPr>
      </w:pPr>
      <w:r w:rsidRPr="00287AB0">
        <w:rPr>
          <w:lang w:val="de-DE"/>
        </w:rPr>
        <w:t>Karten:</w:t>
      </w:r>
      <w:r w:rsidR="00287AB0" w:rsidRPr="00287AB0">
        <w:rPr>
          <w:lang w:val="de-DE"/>
        </w:rPr>
        <w:br/>
      </w:r>
      <w:r w:rsidRPr="00287AB0">
        <w:rPr>
          <w:lang w:val="de-DE"/>
        </w:rPr>
        <w:t>- Kernenergie Wegfall</w:t>
      </w:r>
      <w:r w:rsidR="00287AB0" w:rsidRPr="00287AB0">
        <w:rPr>
          <w:lang w:val="de-DE"/>
        </w:rPr>
        <w:br/>
      </w:r>
      <w:r w:rsidRPr="00287AB0">
        <w:rPr>
          <w:lang w:val="de-DE"/>
        </w:rPr>
        <w:t xml:space="preserve"> - Erneuerbare Zuwachs</w:t>
      </w:r>
      <w:r w:rsidR="00287AB0">
        <w:rPr>
          <w:lang w:val="de-DE"/>
        </w:rPr>
        <w:br/>
      </w:r>
      <w:r w:rsidRPr="00287AB0">
        <w:rPr>
          <w:lang w:val="de-DE"/>
        </w:rPr>
        <w:t>- Importe Zuwachs</w:t>
      </w:r>
      <w:r w:rsidR="00287AB0">
        <w:rPr>
          <w:lang w:val="de-DE"/>
        </w:rPr>
        <w:br/>
      </w:r>
      <w:r w:rsidRPr="00287AB0">
        <w:rPr>
          <w:lang w:val="de-DE"/>
        </w:rPr>
        <w:t>- Verbrauchsrückgang</w:t>
      </w:r>
      <w:r w:rsidR="00287AB0">
        <w:rPr>
          <w:lang w:val="de-DE"/>
        </w:rPr>
        <w:br/>
      </w:r>
    </w:p>
    <w:p w14:paraId="1638AD49" w14:textId="77777777" w:rsidR="00D672F8" w:rsidRDefault="00000000">
      <w:pPr>
        <w:pStyle w:val="a0"/>
      </w:pPr>
      <w:r>
        <w:t>das Diagramm Stromverbrauch (MWh) 2019–2025</w:t>
      </w:r>
    </w:p>
    <w:p w14:paraId="175C74AE" w14:textId="77777777" w:rsidR="00D672F8" w:rsidRPr="00287AB0" w:rsidRDefault="00000000">
      <w:pPr>
        <w:pStyle w:val="a0"/>
        <w:rPr>
          <w:lang w:val="de-DE"/>
        </w:rPr>
      </w:pPr>
      <w:r w:rsidRPr="00287AB0">
        <w:rPr>
          <w:lang w:val="de-DE"/>
        </w:rPr>
        <w:t>das Diagramm Stromhandel: Importe, Exporte und Handelsbilanz</w:t>
      </w:r>
    </w:p>
    <w:p w14:paraId="50F502AA" w14:textId="77777777" w:rsidR="00D672F8" w:rsidRPr="00287AB0" w:rsidRDefault="00000000">
      <w:pPr>
        <w:pStyle w:val="a0"/>
        <w:rPr>
          <w:lang w:val="de-DE"/>
        </w:rPr>
      </w:pPr>
      <w:r w:rsidRPr="00287AB0">
        <w:rPr>
          <w:lang w:val="de-DE"/>
        </w:rPr>
        <w:t>das Diagramm Kompensation weggefallene Kernenergie (%)</w:t>
      </w:r>
    </w:p>
    <w:p w14:paraId="18B91E14" w14:textId="508723AB" w:rsidR="00D672F8" w:rsidRDefault="00000000" w:rsidP="00287AB0">
      <w:pPr>
        <w:pStyle w:val="a0"/>
      </w:pPr>
      <w:proofErr w:type="spellStart"/>
      <w:r>
        <w:t>ein</w:t>
      </w:r>
      <w:proofErr w:type="spellEnd"/>
      <w:r>
        <w:t xml:space="preserve"> </w:t>
      </w:r>
      <w:proofErr w:type="spellStart"/>
      <w:r>
        <w:t>textliches</w:t>
      </w:r>
      <w:proofErr w:type="spellEnd"/>
      <w:r>
        <w:t xml:space="preserve"> </w:t>
      </w:r>
      <w:proofErr w:type="spellStart"/>
      <w:r>
        <w:t>Fazit</w:t>
      </w:r>
      <w:proofErr w:type="spellEnd"/>
    </w:p>
    <w:p w14:paraId="10C391ED" w14:textId="77777777" w:rsidR="00D672F8" w:rsidRPr="00287AB0" w:rsidRDefault="00000000">
      <w:pPr>
        <w:rPr>
          <w:lang w:val="de-DE"/>
        </w:rPr>
      </w:pPr>
      <w:r w:rsidRPr="00287AB0">
        <w:rPr>
          <w:lang w:val="de-DE"/>
        </w:rPr>
        <w:t>Die Karten zeigten den Beitrag der wichtigsten Kompensationsfaktoren.</w:t>
      </w:r>
    </w:p>
    <w:p w14:paraId="39C1EE77" w14:textId="77777777" w:rsidR="00D672F8" w:rsidRPr="00287AB0" w:rsidRDefault="00000000">
      <w:pPr>
        <w:rPr>
          <w:lang w:val="de-DE"/>
        </w:rPr>
      </w:pPr>
      <w:r w:rsidRPr="00287AB0">
        <w:rPr>
          <w:lang w:val="de-DE"/>
        </w:rPr>
        <w:t>Das Diagramm Stromverbrauch zeigte den Rückgang des Stromverbrauchs.</w:t>
      </w:r>
    </w:p>
    <w:p w14:paraId="5FE61C00" w14:textId="77777777" w:rsidR="00D672F8" w:rsidRPr="00287AB0" w:rsidRDefault="00000000">
      <w:pPr>
        <w:rPr>
          <w:lang w:val="de-DE"/>
        </w:rPr>
      </w:pPr>
      <w:r w:rsidRPr="00287AB0">
        <w:rPr>
          <w:lang w:val="de-DE"/>
        </w:rPr>
        <w:t>Das Diagramm Stromhandel zeigte die Entwicklung von Importen, Exporten und Handelsbilanz.</w:t>
      </w:r>
    </w:p>
    <w:p w14:paraId="6E0BE53C" w14:textId="6B704124" w:rsidR="00D672F8" w:rsidRPr="00287AB0" w:rsidRDefault="00000000">
      <w:pPr>
        <w:rPr>
          <w:lang w:val="de-DE"/>
        </w:rPr>
      </w:pPr>
      <w:r w:rsidRPr="00287AB0">
        <w:rPr>
          <w:lang w:val="de-DE"/>
        </w:rPr>
        <w:t>Das Diagramm Kompensation ermöglichte einen direkten Vergleich des Beitrags von Importen, erneuerbaren Energien und sinkendem Verbrauch.</w:t>
      </w:r>
    </w:p>
    <w:p w14:paraId="59661C6A" w14:textId="77777777" w:rsidR="00D672F8" w:rsidRPr="00287AB0" w:rsidRDefault="00000000">
      <w:pPr>
        <w:rPr>
          <w:lang w:val="de-DE"/>
        </w:rPr>
      </w:pPr>
      <w:r w:rsidRPr="00287AB0">
        <w:rPr>
          <w:lang w:val="de-DE"/>
        </w:rPr>
        <w:t>Die zusätzliche Tabelle Kompensationsfaktoren wurde eigens dafür erstellt, drei zentrale Mechanismen des Ausgleichs kompakt darzustellen:</w:t>
      </w:r>
    </w:p>
    <w:p w14:paraId="3D5D04D2" w14:textId="77777777" w:rsidR="00D672F8" w:rsidRDefault="00000000">
      <w:pPr>
        <w:pStyle w:val="a0"/>
      </w:pPr>
      <w:proofErr w:type="spellStart"/>
      <w:r>
        <w:t>Importe</w:t>
      </w:r>
      <w:proofErr w:type="spellEnd"/>
    </w:p>
    <w:p w14:paraId="348EBEDC" w14:textId="77777777" w:rsidR="00D672F8" w:rsidRDefault="00000000">
      <w:pPr>
        <w:pStyle w:val="a0"/>
      </w:pPr>
      <w:r>
        <w:t>Erneuerbare</w:t>
      </w:r>
    </w:p>
    <w:p w14:paraId="31255A64" w14:textId="54E38E86" w:rsidR="00D672F8" w:rsidRDefault="00000000" w:rsidP="00287AB0">
      <w:pPr>
        <w:pStyle w:val="a0"/>
      </w:pPr>
      <w:proofErr w:type="spellStart"/>
      <w:r>
        <w:t>Verbrauch</w:t>
      </w:r>
      <w:proofErr w:type="spellEnd"/>
    </w:p>
    <w:p w14:paraId="01097E95" w14:textId="77777777" w:rsidR="00D672F8" w:rsidRDefault="00000000">
      <w:r>
        <w:rPr>
          <w:b/>
        </w:rPr>
        <w:lastRenderedPageBreak/>
        <w:t>Zentrale Aussage</w:t>
      </w:r>
    </w:p>
    <w:p w14:paraId="6449BBD8" w14:textId="77777777" w:rsidR="00D672F8" w:rsidRDefault="00000000">
      <w:r w:rsidRPr="00287AB0">
        <w:rPr>
          <w:lang w:val="de-DE"/>
        </w:rPr>
        <w:t xml:space="preserve">Dieses Dashboard machte deutlich, dass die weggefallene Kernenergie nicht durch eine einzige Quelle ersetzt wurde. </w:t>
      </w:r>
      <w:r>
        <w:t xml:space="preserve">Die </w:t>
      </w:r>
      <w:proofErr w:type="spellStart"/>
      <w:r>
        <w:t>wichtigste</w:t>
      </w:r>
      <w:proofErr w:type="spellEnd"/>
      <w:r>
        <w:t xml:space="preserve"> Rolle </w:t>
      </w:r>
      <w:proofErr w:type="spellStart"/>
      <w:r>
        <w:t>spielten</w:t>
      </w:r>
      <w:proofErr w:type="spellEnd"/>
      <w:r>
        <w:t>:</w:t>
      </w:r>
    </w:p>
    <w:p w14:paraId="7BB843A1" w14:textId="77777777" w:rsidR="00D672F8" w:rsidRPr="00287AB0" w:rsidRDefault="00000000">
      <w:pPr>
        <w:pStyle w:val="a0"/>
        <w:rPr>
          <w:lang w:val="de-DE"/>
        </w:rPr>
      </w:pPr>
      <w:r w:rsidRPr="00287AB0">
        <w:rPr>
          <w:lang w:val="de-DE"/>
        </w:rPr>
        <w:t>der Anstieg der erneuerbaren Energien,</w:t>
      </w:r>
    </w:p>
    <w:p w14:paraId="67076DF3" w14:textId="77777777" w:rsidR="00D672F8" w:rsidRDefault="00000000">
      <w:pPr>
        <w:pStyle w:val="a0"/>
      </w:pPr>
      <w:proofErr w:type="spellStart"/>
      <w:r>
        <w:t>höhere</w:t>
      </w:r>
      <w:proofErr w:type="spellEnd"/>
      <w:r>
        <w:t xml:space="preserve"> </w:t>
      </w:r>
      <w:proofErr w:type="spellStart"/>
      <w:r>
        <w:t>Importe</w:t>
      </w:r>
      <w:proofErr w:type="spellEnd"/>
      <w:r>
        <w:t>,</w:t>
      </w:r>
    </w:p>
    <w:p w14:paraId="005F4DEF" w14:textId="05C61DDA" w:rsidR="00D672F8" w:rsidRDefault="00000000" w:rsidP="00287AB0">
      <w:pPr>
        <w:pStyle w:val="a0"/>
      </w:pPr>
      <w:proofErr w:type="spellStart"/>
      <w:r>
        <w:t>sowie</w:t>
      </w:r>
      <w:proofErr w:type="spellEnd"/>
      <w:r>
        <w:t xml:space="preserve"> </w:t>
      </w:r>
      <w:proofErr w:type="spellStart"/>
      <w:r>
        <w:t>ein</w:t>
      </w:r>
      <w:proofErr w:type="spellEnd"/>
      <w:r>
        <w:t xml:space="preserve"> </w:t>
      </w:r>
      <w:proofErr w:type="spellStart"/>
      <w:r>
        <w:t>sinkender</w:t>
      </w:r>
      <w:proofErr w:type="spellEnd"/>
      <w:r>
        <w:t xml:space="preserve"> </w:t>
      </w:r>
      <w:proofErr w:type="spellStart"/>
      <w:r>
        <w:t>Stromverbrauch</w:t>
      </w:r>
      <w:proofErr w:type="spellEnd"/>
      <w:r>
        <w:t>.</w:t>
      </w:r>
    </w:p>
    <w:p w14:paraId="4AD42F70" w14:textId="1C73DAA3" w:rsidR="00D672F8" w:rsidRPr="00287AB0" w:rsidRDefault="00000000">
      <w:pPr>
        <w:rPr>
          <w:lang w:val="de-DE"/>
        </w:rPr>
      </w:pPr>
      <w:r w:rsidRPr="00287AB0">
        <w:rPr>
          <w:lang w:val="de-DE"/>
        </w:rPr>
        <w:t>Erdgas war dabei nicht der wichtigste Kompensationsfaktor. Daraus folgt, dass der Ersatz der Kernenergie durch eine Kombination mehrerer Mechanismen erfolgte und nicht durch eine einzelne dominierende Quelle.</w:t>
      </w:r>
    </w:p>
    <w:p w14:paraId="51C71E87" w14:textId="239759A9" w:rsidR="00D672F8" w:rsidRPr="00287AB0" w:rsidRDefault="00000000">
      <w:pPr>
        <w:rPr>
          <w:lang w:val="de-DE"/>
        </w:rPr>
      </w:pPr>
      <w:r w:rsidRPr="00287AB0">
        <w:rPr>
          <w:b/>
          <w:sz w:val="26"/>
          <w:lang w:val="de-DE"/>
        </w:rPr>
        <w:t>3. Drittes Dashboard: Haushaltsstrompreise 2019–2025</w:t>
      </w:r>
    </w:p>
    <w:p w14:paraId="776284E0" w14:textId="005775F3" w:rsidR="00D672F8" w:rsidRPr="00287AB0" w:rsidRDefault="00000000">
      <w:pPr>
        <w:rPr>
          <w:lang w:val="de-DE"/>
        </w:rPr>
      </w:pPr>
      <w:r w:rsidRPr="00287AB0">
        <w:rPr>
          <w:lang w:val="de-DE"/>
        </w:rPr>
        <w:t>Das dritte Dashboard wurde erstellt, um die Frage zu beantworten, wie sich die Strompreise für Haushalte nach dem Atomausstieg entwickelt haben.</w:t>
      </w:r>
    </w:p>
    <w:p w14:paraId="199074F2" w14:textId="77777777" w:rsidR="00D672F8" w:rsidRPr="00287AB0" w:rsidRDefault="00000000">
      <w:pPr>
        <w:rPr>
          <w:lang w:val="de-DE"/>
        </w:rPr>
      </w:pPr>
      <w:r w:rsidRPr="00287AB0">
        <w:rPr>
          <w:lang w:val="de-DE"/>
        </w:rPr>
        <w:t>Auf diesem Dashboard wurden dargestellt:</w:t>
      </w:r>
    </w:p>
    <w:p w14:paraId="55E32D39" w14:textId="77777777" w:rsidR="00D672F8" w:rsidRDefault="00000000">
      <w:pPr>
        <w:pStyle w:val="a0"/>
      </w:pPr>
      <w:r>
        <w:t>Karten:</w:t>
      </w:r>
    </w:p>
    <w:p w14:paraId="074ABE39" w14:textId="77777777" w:rsidR="00D672F8" w:rsidRDefault="00000000">
      <w:r>
        <w:t xml:space="preserve">  - Ø Strompreis gesamt</w:t>
      </w:r>
    </w:p>
    <w:p w14:paraId="5970545E" w14:textId="77777777" w:rsidR="00D672F8" w:rsidRDefault="00000000">
      <w:r>
        <w:t xml:space="preserve">  - Ø Energie und Vertrieb</w:t>
      </w:r>
    </w:p>
    <w:p w14:paraId="456174D0" w14:textId="77777777" w:rsidR="00D672F8" w:rsidRDefault="00000000">
      <w:r>
        <w:t xml:space="preserve">  - Ø Netzkosten</w:t>
      </w:r>
    </w:p>
    <w:p w14:paraId="46CB2129" w14:textId="77777777" w:rsidR="00D672F8" w:rsidRDefault="00000000">
      <w:r>
        <w:t xml:space="preserve">  - Ø Steuern, Abgaben und Umlagen</w:t>
      </w:r>
    </w:p>
    <w:p w14:paraId="79C3F450" w14:textId="77777777" w:rsidR="00D672F8" w:rsidRPr="00287AB0" w:rsidRDefault="00000000">
      <w:pPr>
        <w:pStyle w:val="a0"/>
        <w:rPr>
          <w:lang w:val="de-DE"/>
        </w:rPr>
      </w:pPr>
      <w:r w:rsidRPr="00287AB0">
        <w:rPr>
          <w:lang w:val="de-DE"/>
        </w:rPr>
        <w:t>das Diagramm Strompreisentwicklung (ct/kWh) nach Jahr</w:t>
      </w:r>
    </w:p>
    <w:p w14:paraId="6D8099C5" w14:textId="77777777" w:rsidR="00D672F8" w:rsidRDefault="00000000">
      <w:pPr>
        <w:pStyle w:val="a0"/>
      </w:pPr>
      <w:r>
        <w:t xml:space="preserve">das </w:t>
      </w:r>
      <w:proofErr w:type="spellStart"/>
      <w:r>
        <w:t>Diagramm</w:t>
      </w:r>
      <w:proofErr w:type="spellEnd"/>
      <w:r>
        <w:t xml:space="preserve"> </w:t>
      </w:r>
      <w:proofErr w:type="spellStart"/>
      <w:r>
        <w:t>Preisbestandteile</w:t>
      </w:r>
      <w:proofErr w:type="spellEnd"/>
      <w:r>
        <w:t xml:space="preserve"> </w:t>
      </w:r>
      <w:proofErr w:type="spellStart"/>
      <w:r>
        <w:t>im</w:t>
      </w:r>
      <w:proofErr w:type="spellEnd"/>
      <w:r>
        <w:t xml:space="preserve"> Zeitverlauf</w:t>
      </w:r>
    </w:p>
    <w:p w14:paraId="591FE224" w14:textId="2B0C227C" w:rsidR="00D672F8" w:rsidRDefault="00000000" w:rsidP="00287AB0">
      <w:pPr>
        <w:pStyle w:val="a0"/>
      </w:pPr>
      <w:proofErr w:type="spellStart"/>
      <w:r>
        <w:t>ein</w:t>
      </w:r>
      <w:proofErr w:type="spellEnd"/>
      <w:r>
        <w:t xml:space="preserve"> </w:t>
      </w:r>
      <w:proofErr w:type="spellStart"/>
      <w:r>
        <w:t>Jahresslicer</w:t>
      </w:r>
      <w:proofErr w:type="spellEnd"/>
    </w:p>
    <w:p w14:paraId="3733777D" w14:textId="77777777" w:rsidR="00D672F8" w:rsidRPr="00287AB0" w:rsidRDefault="00000000">
      <w:pPr>
        <w:rPr>
          <w:lang w:val="de-DE"/>
        </w:rPr>
      </w:pPr>
      <w:r w:rsidRPr="00287AB0">
        <w:rPr>
          <w:lang w:val="de-DE"/>
        </w:rPr>
        <w:t>Die Karten zeigten Durchschnittswerte der wichtigsten Preisbestandteile.</w:t>
      </w:r>
    </w:p>
    <w:p w14:paraId="4C7BCC47" w14:textId="77777777" w:rsidR="00D672F8" w:rsidRPr="00287AB0" w:rsidRDefault="00000000">
      <w:pPr>
        <w:rPr>
          <w:lang w:val="de-DE"/>
        </w:rPr>
      </w:pPr>
      <w:r w:rsidRPr="00287AB0">
        <w:rPr>
          <w:lang w:val="de-DE"/>
        </w:rPr>
        <w:t>Das Liniendiagramm zeigte die allgemeine Entwicklung des Haushaltsstrompreises.</w:t>
      </w:r>
    </w:p>
    <w:p w14:paraId="44589FC7" w14:textId="77777777" w:rsidR="00D672F8" w:rsidRPr="00287AB0" w:rsidRDefault="00000000">
      <w:pPr>
        <w:rPr>
          <w:lang w:val="de-DE"/>
        </w:rPr>
      </w:pPr>
      <w:r w:rsidRPr="00287AB0">
        <w:rPr>
          <w:lang w:val="de-DE"/>
        </w:rPr>
        <w:t>Das Diagramm Preisbestandteile machte sichtbar, aus welchen Komponenten sich der Endpreis zusammensetzte. Der Bestandteil Energie und Vertrieb kann als marktnaher Preisbestandteil zusammen mit Vertrieb und Verkauf verstanden werden. Er reagiert stark auf die wirtschaftliche und geopolitische Lage sowie auf Preisveränderungen bei den wichtigsten Brennstoffen. Steigende Preise für Erdgas, Steinkohle und Braunkohle wirken sich deutlich auf Energie und Vertrieb aus und beeinflussen damit auch den Endpreis für Haushalte.</w:t>
      </w:r>
    </w:p>
    <w:p w14:paraId="16F662EC" w14:textId="77777777" w:rsidR="00D672F8" w:rsidRPr="00287AB0" w:rsidRDefault="00D672F8">
      <w:pPr>
        <w:rPr>
          <w:lang w:val="de-DE"/>
        </w:rPr>
      </w:pPr>
    </w:p>
    <w:p w14:paraId="053DB21C" w14:textId="77777777" w:rsidR="00D672F8" w:rsidRPr="00287AB0" w:rsidRDefault="00000000">
      <w:pPr>
        <w:rPr>
          <w:lang w:val="de-DE"/>
        </w:rPr>
      </w:pPr>
      <w:r w:rsidRPr="00287AB0">
        <w:rPr>
          <w:b/>
          <w:lang w:val="de-DE"/>
        </w:rPr>
        <w:lastRenderedPageBreak/>
        <w:t>Zentrale Aussage</w:t>
      </w:r>
    </w:p>
    <w:p w14:paraId="673EE636" w14:textId="0B93C990" w:rsidR="00D672F8" w:rsidRPr="00287AB0" w:rsidRDefault="00000000">
      <w:pPr>
        <w:rPr>
          <w:lang w:val="de-DE"/>
        </w:rPr>
      </w:pPr>
      <w:r w:rsidRPr="00287AB0">
        <w:rPr>
          <w:lang w:val="de-DE"/>
        </w:rPr>
        <w:t>Dieses Dashboard zeigte, dass der Haushaltsstrompreis im Jahr 2023 stark anstieg und danach wieder zu sinken begann, jedoch über dem Vorkrisenniveau blieb. Besonders deutlich stieg der Bestandteil Energie und Vertrieb. Auch die Netzkosten erhöhten sich, was sich durch Investitionen in den Ausbau und die Modernisierung der Netzinfrastruktur erklären lässt. Dadurch wurde deutlich, dass der Preisanstieg nicht nur mit dem Gesamttarif, sondern mit konkreten internen Preisbestandteilen zusammenhing.</w:t>
      </w:r>
    </w:p>
    <w:p w14:paraId="2B1D35BC" w14:textId="3FA85CF9" w:rsidR="00D672F8" w:rsidRPr="00287AB0" w:rsidRDefault="00000000">
      <w:pPr>
        <w:rPr>
          <w:lang w:val="de-DE"/>
        </w:rPr>
      </w:pPr>
      <w:r w:rsidRPr="00287AB0">
        <w:rPr>
          <w:b/>
          <w:sz w:val="26"/>
          <w:lang w:val="de-DE"/>
        </w:rPr>
        <w:t>4. Viertes Dashboard: Strompreise &amp; Einflussfaktoren</w:t>
      </w:r>
    </w:p>
    <w:p w14:paraId="007A8E9B" w14:textId="3903971F" w:rsidR="00D672F8" w:rsidRPr="00287AB0" w:rsidRDefault="00000000">
      <w:pPr>
        <w:rPr>
          <w:lang w:val="de-DE"/>
        </w:rPr>
      </w:pPr>
      <w:r w:rsidRPr="00287AB0">
        <w:rPr>
          <w:lang w:val="de-DE"/>
        </w:rPr>
        <w:t>Das vierte Dashboard wurde erstellt, um die Frage zu beantworten, welche Faktoren die Haushaltsstrompreise nach dem Atomausstieg am stärksten beeinflusst haben.</w:t>
      </w:r>
    </w:p>
    <w:p w14:paraId="78BD71A6" w14:textId="77777777" w:rsidR="00D672F8" w:rsidRPr="00287AB0" w:rsidRDefault="00000000">
      <w:pPr>
        <w:rPr>
          <w:lang w:val="de-DE"/>
        </w:rPr>
      </w:pPr>
      <w:r w:rsidRPr="00287AB0">
        <w:rPr>
          <w:lang w:val="de-DE"/>
        </w:rPr>
        <w:t>Auf diesem Dashboard wurden dargestellt:</w:t>
      </w:r>
    </w:p>
    <w:p w14:paraId="16BDE6FE" w14:textId="77777777" w:rsidR="00D672F8" w:rsidRDefault="00000000">
      <w:pPr>
        <w:pStyle w:val="a0"/>
      </w:pPr>
      <w:r>
        <w:t>Karten:</w:t>
      </w:r>
    </w:p>
    <w:p w14:paraId="0E535CB1" w14:textId="77777777" w:rsidR="00D672F8" w:rsidRDefault="00000000">
      <w:r>
        <w:t xml:space="preserve">  - Ø Strompreis gesamt</w:t>
      </w:r>
    </w:p>
    <w:p w14:paraId="2F17B18B" w14:textId="77777777" w:rsidR="00D672F8" w:rsidRDefault="00000000">
      <w:r>
        <w:t xml:space="preserve">  - Ø Energie und Vertrieb</w:t>
      </w:r>
    </w:p>
    <w:p w14:paraId="3B02E0A9" w14:textId="77777777" w:rsidR="00D672F8" w:rsidRDefault="00000000">
      <w:r>
        <w:t xml:space="preserve">  - Ø Netzkosten</w:t>
      </w:r>
    </w:p>
    <w:p w14:paraId="787191F3" w14:textId="77777777" w:rsidR="00D672F8" w:rsidRDefault="00000000">
      <w:r>
        <w:t xml:space="preserve">  - Ø Steuern, Abgaben und Umlagen</w:t>
      </w:r>
    </w:p>
    <w:p w14:paraId="37F92052" w14:textId="77777777" w:rsidR="00D672F8" w:rsidRDefault="00000000">
      <w:pPr>
        <w:pStyle w:val="a0"/>
      </w:pPr>
      <w:r>
        <w:t>das Diagramm Entwicklung der Brennstoffpreise</w:t>
      </w:r>
    </w:p>
    <w:p w14:paraId="6B59CC2B" w14:textId="77777777" w:rsidR="00D672F8" w:rsidRPr="00287AB0" w:rsidRDefault="00000000">
      <w:pPr>
        <w:pStyle w:val="a0"/>
        <w:rPr>
          <w:lang w:val="de-DE"/>
        </w:rPr>
      </w:pPr>
      <w:r w:rsidRPr="00287AB0">
        <w:rPr>
          <w:lang w:val="de-DE"/>
        </w:rPr>
        <w:t>das Diagramm Energie und Vertrieb vs. erneuerbare Stromerzeugung</w:t>
      </w:r>
    </w:p>
    <w:p w14:paraId="1A372AD2" w14:textId="6B97765C" w:rsidR="00D672F8" w:rsidRDefault="00000000" w:rsidP="00287AB0">
      <w:pPr>
        <w:pStyle w:val="a0"/>
      </w:pPr>
      <w:proofErr w:type="spellStart"/>
      <w:r>
        <w:t>ein</w:t>
      </w:r>
      <w:proofErr w:type="spellEnd"/>
      <w:r>
        <w:t xml:space="preserve"> </w:t>
      </w:r>
      <w:proofErr w:type="spellStart"/>
      <w:r>
        <w:t>Jahresslicer</w:t>
      </w:r>
      <w:proofErr w:type="spellEnd"/>
    </w:p>
    <w:p w14:paraId="32959414" w14:textId="2CA4A90D" w:rsidR="00D672F8" w:rsidRPr="00287AB0" w:rsidRDefault="00000000">
      <w:pPr>
        <w:rPr>
          <w:lang w:val="de-DE"/>
        </w:rPr>
      </w:pPr>
      <w:r w:rsidRPr="00287AB0">
        <w:rPr>
          <w:lang w:val="de-DE"/>
        </w:rPr>
        <w:t>Wie auch auf dem dritten Dashboard bezeichnet das Zeichen Ø in den Karten den arithmetischen Mittelwert für den ausgewählten Zeitraum.</w:t>
      </w:r>
    </w:p>
    <w:p w14:paraId="5E93FEC8" w14:textId="77777777" w:rsidR="00D672F8" w:rsidRPr="00287AB0" w:rsidRDefault="00000000">
      <w:pPr>
        <w:rPr>
          <w:lang w:val="de-DE"/>
        </w:rPr>
      </w:pPr>
      <w:r w:rsidRPr="00287AB0">
        <w:rPr>
          <w:lang w:val="de-DE"/>
        </w:rPr>
        <w:t>Das Diagramm basiert also auf indexierten Preisen für:</w:t>
      </w:r>
    </w:p>
    <w:p w14:paraId="6EA220A9" w14:textId="77777777" w:rsidR="00D672F8" w:rsidRDefault="00000000">
      <w:pPr>
        <w:pStyle w:val="a0"/>
      </w:pPr>
      <w:proofErr w:type="spellStart"/>
      <w:r>
        <w:t>Erdgas</w:t>
      </w:r>
      <w:proofErr w:type="spellEnd"/>
    </w:p>
    <w:p w14:paraId="5CCBE3B6" w14:textId="77777777" w:rsidR="00D672F8" w:rsidRDefault="00000000">
      <w:pPr>
        <w:pStyle w:val="a0"/>
      </w:pPr>
      <w:r>
        <w:t>Steinkohle</w:t>
      </w:r>
    </w:p>
    <w:p w14:paraId="14EBA1C0" w14:textId="77777777" w:rsidR="00D672F8" w:rsidRDefault="00000000">
      <w:pPr>
        <w:pStyle w:val="a0"/>
      </w:pPr>
      <w:r>
        <w:t>Braunkohle</w:t>
      </w:r>
    </w:p>
    <w:p w14:paraId="0F92B396" w14:textId="1511A210" w:rsidR="00D672F8" w:rsidRPr="00287AB0" w:rsidRDefault="00000000">
      <w:pPr>
        <w:rPr>
          <w:lang w:val="de-DE"/>
        </w:rPr>
      </w:pPr>
      <w:r w:rsidRPr="00287AB0">
        <w:rPr>
          <w:lang w:val="de-DE"/>
        </w:rPr>
        <w:t>Als Bezugsbasis diente ein Index mit 2021 = 100. Dieser Ansatz wurde gewählt, weil er es ermöglicht, die Preisentwicklung verschiedener Brennstoffe auf einem einzigen Diagramm übersichtlich zu vergleichen.</w:t>
      </w:r>
    </w:p>
    <w:p w14:paraId="0403A189" w14:textId="5085B0A7" w:rsidR="00D672F8" w:rsidRPr="00287AB0" w:rsidRDefault="00000000">
      <w:pPr>
        <w:rPr>
          <w:lang w:val="de-DE"/>
        </w:rPr>
      </w:pPr>
      <w:r w:rsidRPr="00287AB0">
        <w:rPr>
          <w:lang w:val="de-DE"/>
        </w:rPr>
        <w:t>Diagramm Energie und Vertrieb vs. erneuerbare Stromerzeugung wurden</w:t>
      </w:r>
      <w:r w:rsidR="00287AB0" w:rsidRPr="00287AB0">
        <w:rPr>
          <w:lang w:val="de-DE"/>
        </w:rPr>
        <w:t xml:space="preserve"> </w:t>
      </w:r>
      <w:r w:rsidRPr="00287AB0">
        <w:rPr>
          <w:lang w:val="de-DE"/>
        </w:rPr>
        <w:t>dieses Diagramm</w:t>
      </w:r>
      <w:r w:rsidR="00287AB0" w:rsidRPr="00287AB0">
        <w:rPr>
          <w:lang w:val="de-DE"/>
        </w:rPr>
        <w:t xml:space="preserve"> vergleicht</w:t>
      </w:r>
      <w:r w:rsidRPr="00287AB0">
        <w:rPr>
          <w:lang w:val="de-DE"/>
        </w:rPr>
        <w:t>:</w:t>
      </w:r>
    </w:p>
    <w:p w14:paraId="1A58C68F" w14:textId="77777777" w:rsidR="00D672F8" w:rsidRPr="00287AB0" w:rsidRDefault="00000000">
      <w:pPr>
        <w:pStyle w:val="a0"/>
        <w:rPr>
          <w:lang w:val="de-DE"/>
        </w:rPr>
      </w:pPr>
      <w:r w:rsidRPr="00287AB0">
        <w:rPr>
          <w:lang w:val="de-DE"/>
        </w:rPr>
        <w:t>Energie und Vertrieb in ct/kWh</w:t>
      </w:r>
    </w:p>
    <w:p w14:paraId="7E0DBA74" w14:textId="72DDB9BE" w:rsidR="00D672F8" w:rsidRDefault="00000000" w:rsidP="00287AB0">
      <w:pPr>
        <w:pStyle w:val="a0"/>
      </w:pPr>
      <w:r>
        <w:lastRenderedPageBreak/>
        <w:t xml:space="preserve">und </w:t>
      </w:r>
      <w:proofErr w:type="spellStart"/>
      <w:r>
        <w:t>Erneuerbare</w:t>
      </w:r>
      <w:proofErr w:type="spellEnd"/>
      <w:r>
        <w:t xml:space="preserve"> </w:t>
      </w:r>
      <w:proofErr w:type="spellStart"/>
      <w:r>
        <w:t>Anteil</w:t>
      </w:r>
      <w:proofErr w:type="spellEnd"/>
      <w:r>
        <w:t xml:space="preserve"> % in </w:t>
      </w:r>
      <w:proofErr w:type="spellStart"/>
      <w:r>
        <w:t>Prozent</w:t>
      </w:r>
      <w:proofErr w:type="spellEnd"/>
    </w:p>
    <w:p w14:paraId="6FB6E38E" w14:textId="77777777" w:rsidR="00D672F8" w:rsidRDefault="00000000">
      <w:r>
        <w:rPr>
          <w:b/>
        </w:rPr>
        <w:t>Was zeigten diese Visualisierungen</w:t>
      </w:r>
    </w:p>
    <w:p w14:paraId="5644C2AF" w14:textId="77777777" w:rsidR="00D672F8" w:rsidRPr="00287AB0" w:rsidRDefault="00000000">
      <w:pPr>
        <w:rPr>
          <w:lang w:val="de-DE"/>
        </w:rPr>
      </w:pPr>
      <w:r w:rsidRPr="00287AB0">
        <w:rPr>
          <w:lang w:val="de-DE"/>
        </w:rPr>
        <w:t>Das Diagramm Entwicklung der Brennstoffpreise zeigte die Preisentwicklung von:</w:t>
      </w:r>
    </w:p>
    <w:p w14:paraId="26ED9668" w14:textId="77777777" w:rsidR="00D672F8" w:rsidRDefault="00000000">
      <w:pPr>
        <w:pStyle w:val="a0"/>
      </w:pPr>
      <w:proofErr w:type="spellStart"/>
      <w:r>
        <w:t>Erdgas</w:t>
      </w:r>
      <w:proofErr w:type="spellEnd"/>
    </w:p>
    <w:p w14:paraId="03AFDDAA" w14:textId="77777777" w:rsidR="00D672F8" w:rsidRDefault="00000000">
      <w:pPr>
        <w:pStyle w:val="a0"/>
      </w:pPr>
      <w:r>
        <w:t>Steinkohle</w:t>
      </w:r>
    </w:p>
    <w:p w14:paraId="416F6701" w14:textId="74380AF4" w:rsidR="00D672F8" w:rsidRDefault="00000000" w:rsidP="00287AB0">
      <w:pPr>
        <w:pStyle w:val="a0"/>
      </w:pPr>
      <w:proofErr w:type="spellStart"/>
      <w:r>
        <w:t>Braunkohle</w:t>
      </w:r>
      <w:proofErr w:type="spellEnd"/>
    </w:p>
    <w:p w14:paraId="531D14E9" w14:textId="25093B16" w:rsidR="00D672F8" w:rsidRPr="00287AB0" w:rsidRDefault="00000000">
      <w:pPr>
        <w:rPr>
          <w:lang w:val="de-DE"/>
        </w:rPr>
      </w:pPr>
      <w:r w:rsidRPr="00287AB0">
        <w:rPr>
          <w:lang w:val="de-DE"/>
        </w:rPr>
        <w:t>Es wurde verwendet, um sichtbar zu machen, welche Brennstoffe besonders stark verteuert wurden und wie sich dies auf den Strompreis ausgewirkt haben könnte.</w:t>
      </w:r>
    </w:p>
    <w:p w14:paraId="38698BE0" w14:textId="6E2C8BFD" w:rsidR="00D672F8" w:rsidRPr="00287AB0" w:rsidRDefault="00000000">
      <w:pPr>
        <w:rPr>
          <w:lang w:val="de-DE"/>
        </w:rPr>
      </w:pPr>
      <w:r w:rsidRPr="00287AB0">
        <w:rPr>
          <w:lang w:val="de-DE"/>
        </w:rPr>
        <w:t>Das Diagramm Energie und Vertrieb vs. erneuerbare Stromerzeugung wurde genutzt, um den marktnahen Preisbestandteil Energie und Vertrieb mit dem Anteil erneuerbarer Energien am Strommix zu vergleichen. Es zeigte, dass der Anteil der erneuerbaren Energien zwar anstieg, den durch externe Brennstofffaktoren verursachten Anstieg des marktnahen Preisbestandteils jedoch nicht sofort ausgleichen konnte.</w:t>
      </w:r>
    </w:p>
    <w:p w14:paraId="4427DBD4" w14:textId="77777777" w:rsidR="00D672F8" w:rsidRPr="00287AB0" w:rsidRDefault="00000000">
      <w:pPr>
        <w:rPr>
          <w:lang w:val="de-DE"/>
        </w:rPr>
      </w:pPr>
      <w:r w:rsidRPr="00287AB0">
        <w:rPr>
          <w:b/>
          <w:lang w:val="de-DE"/>
        </w:rPr>
        <w:t>Zentrale Aussage</w:t>
      </w:r>
    </w:p>
    <w:p w14:paraId="48292A7C" w14:textId="77777777" w:rsidR="00D672F8" w:rsidRPr="00287AB0" w:rsidRDefault="00000000">
      <w:pPr>
        <w:rPr>
          <w:lang w:val="de-DE"/>
        </w:rPr>
      </w:pPr>
      <w:r w:rsidRPr="00287AB0">
        <w:rPr>
          <w:lang w:val="de-DE"/>
        </w:rPr>
        <w:t>Dieses Dashboard zeigte, dass besonders die Preise für Erdgas und Steinkohle stark anstiegen, während sich Braunkohle deutlich stabiler entwickelte. Daraus ergibt sich, dass die Haushaltsstrompreise nicht in erster Linie durch den Atomausstieg selbst, sondern durch externe Markt- sowie politisch-wirtschaftliche Entwicklungen beeinflusst wurden, insbesondere über die Preise für Gas und Steinkohle sowie über die Netzkosten. Importe werden hier nicht als Hauptfaktor bewertet, da sie eher indirekt auf die Preisentwicklung wirken. Gleichzeitig können auch Importe den Endpreis beeinflussen: Wenn im Ausland eingekaufter Strom günstiger ist als in Deutschland erzeugter Strom, kann dies preisdämpfend wirken oder sogar zu einer Entlastung führen. Der Einfluss der Importe auf den Preis sollte deshalb als indirekt und von der jeweiligen Marktsituation abhängig verstanden werden. Der Einfluss erneuerbarer Energien zeigte sich eher langfristig und konnte den Anstieg der Marktpreise, der bereits 2021–2022 begonnen hatte und sich nach dem Atomausstieg fortsetzte, nicht sofort kompensieren.</w:t>
      </w:r>
    </w:p>
    <w:p w14:paraId="6E4FA20C" w14:textId="77777777" w:rsidR="00D672F8" w:rsidRPr="00287AB0" w:rsidRDefault="00D672F8">
      <w:pPr>
        <w:rPr>
          <w:lang w:val="de-DE"/>
        </w:rPr>
      </w:pPr>
    </w:p>
    <w:p w14:paraId="65E51FC0" w14:textId="3E035050" w:rsidR="00D672F8" w:rsidRPr="00287AB0" w:rsidRDefault="00000000" w:rsidP="00287AB0">
      <w:pPr>
        <w:jc w:val="center"/>
        <w:rPr>
          <w:lang w:val="de-DE"/>
        </w:rPr>
      </w:pPr>
      <w:r w:rsidRPr="00287AB0">
        <w:rPr>
          <w:b/>
          <w:sz w:val="32"/>
          <w:lang w:val="de-DE"/>
        </w:rPr>
        <w:t>Gesamtfazit zur Arbeit in Power BI</w:t>
      </w:r>
    </w:p>
    <w:p w14:paraId="21FFFFE4" w14:textId="77777777" w:rsidR="00D672F8" w:rsidRPr="00287AB0" w:rsidRDefault="00000000">
      <w:pPr>
        <w:rPr>
          <w:lang w:val="de-DE"/>
        </w:rPr>
      </w:pPr>
      <w:r w:rsidRPr="00287AB0">
        <w:rPr>
          <w:lang w:val="de-DE"/>
        </w:rPr>
        <w:t>Die Arbeit in Power BI ermöglichte es, die in SQL vorbereiteten Daten in ein System miteinander verknüpfter analytischer Dashboards zu überführen, wobei jedes Dashboard eine eigene Forschungsfrage beantwortete.</w:t>
      </w:r>
    </w:p>
    <w:p w14:paraId="75088798" w14:textId="77777777" w:rsidR="00D672F8" w:rsidRPr="00287AB0" w:rsidRDefault="00D672F8">
      <w:pPr>
        <w:rPr>
          <w:lang w:val="de-DE"/>
        </w:rPr>
      </w:pPr>
    </w:p>
    <w:p w14:paraId="6346D424" w14:textId="77777777" w:rsidR="00D672F8" w:rsidRPr="00287AB0" w:rsidRDefault="00000000">
      <w:pPr>
        <w:rPr>
          <w:lang w:val="de-DE"/>
        </w:rPr>
      </w:pPr>
      <w:r w:rsidRPr="00287AB0">
        <w:rPr>
          <w:lang w:val="de-DE"/>
        </w:rPr>
        <w:lastRenderedPageBreak/>
        <w:t>Durch die visuelle Analyse konnte gezeigt werden, dass:</w:t>
      </w:r>
    </w:p>
    <w:p w14:paraId="2F4567EF" w14:textId="77777777" w:rsidR="00D672F8" w:rsidRPr="00287AB0" w:rsidRDefault="00000000">
      <w:pPr>
        <w:pStyle w:val="a0"/>
        <w:rPr>
          <w:lang w:val="de-DE"/>
        </w:rPr>
      </w:pPr>
      <w:r w:rsidRPr="00287AB0">
        <w:rPr>
          <w:lang w:val="de-DE"/>
        </w:rPr>
        <w:t>sich der Strommix in Deutschland nach dem Atomausstieg verändert hat;</w:t>
      </w:r>
    </w:p>
    <w:p w14:paraId="14B10329" w14:textId="77777777" w:rsidR="00D672F8" w:rsidRPr="00287AB0" w:rsidRDefault="00000000">
      <w:pPr>
        <w:pStyle w:val="a0"/>
        <w:rPr>
          <w:lang w:val="de-DE"/>
        </w:rPr>
      </w:pPr>
      <w:r w:rsidRPr="00287AB0">
        <w:rPr>
          <w:lang w:val="de-DE"/>
        </w:rPr>
        <w:t>die weggefallene Kernenergie vor allem durch Erneuerbare, Importe und einen sinkenden Stromverbrauch kompensiert wurde;</w:t>
      </w:r>
    </w:p>
    <w:p w14:paraId="65D2EC5F" w14:textId="77777777" w:rsidR="00D672F8" w:rsidRPr="00287AB0" w:rsidRDefault="00000000">
      <w:pPr>
        <w:pStyle w:val="a0"/>
        <w:rPr>
          <w:lang w:val="de-DE"/>
        </w:rPr>
      </w:pPr>
      <w:r w:rsidRPr="00287AB0">
        <w:rPr>
          <w:lang w:val="de-DE"/>
        </w:rPr>
        <w:t>die Strompreise für Haushalte nach 2023 deutlich gestiegen sind;</w:t>
      </w:r>
    </w:p>
    <w:p w14:paraId="67C2E65B" w14:textId="77777777" w:rsidR="00D672F8" w:rsidRPr="00287AB0" w:rsidRDefault="00000000">
      <w:pPr>
        <w:pStyle w:val="a0"/>
        <w:rPr>
          <w:lang w:val="de-DE"/>
        </w:rPr>
      </w:pPr>
      <w:r w:rsidRPr="00287AB0">
        <w:rPr>
          <w:lang w:val="de-DE"/>
        </w:rPr>
        <w:t>insbesondere der Bestandteil Energie und Vertrieb eine wichtige Rolle beim Preisanstieg spielte;</w:t>
      </w:r>
    </w:p>
    <w:p w14:paraId="59AE9858" w14:textId="79D90932" w:rsidR="00D672F8" w:rsidRPr="00287AB0" w:rsidRDefault="00000000" w:rsidP="00287AB0">
      <w:pPr>
        <w:pStyle w:val="a0"/>
        <w:rPr>
          <w:lang w:val="de-DE"/>
        </w:rPr>
      </w:pPr>
      <w:r w:rsidRPr="00287AB0">
        <w:rPr>
          <w:lang w:val="de-DE"/>
        </w:rPr>
        <w:t xml:space="preserve">die Preise nicht in erster Linie durch den Atomausstieg selbst, sondern durch externe Markt- und Krisenfaktoren beeinflusst wurden, vor allem </w:t>
      </w:r>
      <w:proofErr w:type="gramStart"/>
      <w:r w:rsidRPr="00287AB0">
        <w:rPr>
          <w:lang w:val="de-DE"/>
        </w:rPr>
        <w:t>durch steigende</w:t>
      </w:r>
      <w:proofErr w:type="gramEnd"/>
      <w:r w:rsidRPr="00287AB0">
        <w:rPr>
          <w:lang w:val="de-DE"/>
        </w:rPr>
        <w:t xml:space="preserve"> Erdgas- und Steinkohlepreise sowie höhere Netzkosten.</w:t>
      </w:r>
    </w:p>
    <w:p w14:paraId="0B04DFB3" w14:textId="1642BAE7" w:rsidR="00D672F8" w:rsidRPr="00287AB0" w:rsidRDefault="00000000">
      <w:pPr>
        <w:rPr>
          <w:lang w:val="de-DE"/>
        </w:rPr>
      </w:pPr>
      <w:r w:rsidRPr="00287AB0">
        <w:rPr>
          <w:lang w:val="de-DE"/>
        </w:rPr>
        <w:t>Das zentrale Ergebnis lautet, dass nicht der Atomausstieg selbst der Hauptfaktor für den Anstieg der Strompreise war. Ausschlaggebend waren vor allem externe Markt- und Krisenfaktoren, insbesondere der starke Anstieg der Preise für Erdgas und Steinkohle sowie die höheren Netzkosten. Gleichzeitig zeigen die Daten, dass sich das deutsche Energiesystem an den Wegfall der Kernenergie anpassen konnte: Der Anteil erneuerbarer Energien stieg weiter, die Struktur der Stromerzeugung wurde nachhaltiger, und die Energieversorgung blieb insgesamt stabil.</w:t>
      </w:r>
    </w:p>
    <w:p w14:paraId="55069258" w14:textId="77777777" w:rsidR="00D672F8" w:rsidRPr="00287AB0" w:rsidRDefault="00000000">
      <w:pPr>
        <w:rPr>
          <w:lang w:val="de-DE"/>
        </w:rPr>
      </w:pPr>
      <w:r w:rsidRPr="00287AB0">
        <w:rPr>
          <w:lang w:val="de-DE"/>
        </w:rPr>
        <w:t xml:space="preserve">Als zusätzliche Perspektive </w:t>
      </w:r>
      <w:proofErr w:type="gramStart"/>
      <w:r w:rsidRPr="00287AB0">
        <w:rPr>
          <w:lang w:val="de-DE"/>
        </w:rPr>
        <w:t>kann</w:t>
      </w:r>
      <w:proofErr w:type="gramEnd"/>
      <w:r w:rsidRPr="00287AB0">
        <w:rPr>
          <w:lang w:val="de-DE"/>
        </w:rPr>
        <w:t xml:space="preserve"> ergänzt werden, dass Deutschland nach den Daten des ersten Quartals 2026 wieder zum Nettoexporteur von Strom geworden ist: Die Exporte überstiegen erneut die Importe. Gleichzeitig wurde ein bedeutender Teil dieser Exporte durch erneuerbare Energien getragen, deren Rolle im Energiesystem weiter zunahm. Das erlaubt die vorsichtige Schlussfolgerung, dass die deutsche Wirtschaft und das Energiesystem die Folgen des Atomausstiegs insgesamt recht erfolgreich bewältigen und die Anpassung an die neue Struktur der Energieversorgung fortsetzen.</w:t>
      </w:r>
    </w:p>
    <w:sectPr w:rsidR="00D672F8" w:rsidRPr="00287A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4127996">
    <w:abstractNumId w:val="8"/>
  </w:num>
  <w:num w:numId="2" w16cid:durableId="579943014">
    <w:abstractNumId w:val="6"/>
  </w:num>
  <w:num w:numId="3" w16cid:durableId="1338188227">
    <w:abstractNumId w:val="5"/>
  </w:num>
  <w:num w:numId="4" w16cid:durableId="1741252989">
    <w:abstractNumId w:val="4"/>
  </w:num>
  <w:num w:numId="5" w16cid:durableId="1477523959">
    <w:abstractNumId w:val="7"/>
  </w:num>
  <w:num w:numId="6" w16cid:durableId="1110123837">
    <w:abstractNumId w:val="3"/>
  </w:num>
  <w:num w:numId="7" w16cid:durableId="244344345">
    <w:abstractNumId w:val="2"/>
  </w:num>
  <w:num w:numId="8" w16cid:durableId="1973947037">
    <w:abstractNumId w:val="1"/>
  </w:num>
  <w:num w:numId="9" w16cid:durableId="37146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AB0"/>
    <w:rsid w:val="0029639D"/>
    <w:rsid w:val="00326F90"/>
    <w:rsid w:val="00AA1D8D"/>
    <w:rsid w:val="00AD56F8"/>
    <w:rsid w:val="00B47730"/>
    <w:rsid w:val="00CB0664"/>
    <w:rsid w:val="00D672F8"/>
    <w:rsid w:val="00E131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39D6D"/>
  <w14:defaultImageDpi w14:val="300"/>
  <w15:docId w15:val="{2D71C844-650B-A741-B7C1-72C931D3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1520</Words>
  <Characters>8666</Characters>
  <Application>Microsoft Office Word</Application>
  <DocSecurity>0</DocSecurity>
  <Lines>72</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Nataliya Yavon</cp:lastModifiedBy>
  <cp:revision>3</cp:revision>
  <dcterms:created xsi:type="dcterms:W3CDTF">2013-12-23T23:15:00Z</dcterms:created>
  <dcterms:modified xsi:type="dcterms:W3CDTF">2026-06-03T11:10:00Z</dcterms:modified>
  <cp:category/>
</cp:coreProperties>
</file>