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eastAsia="Arial"/>
          <w:b/>
          <w:color w:val="1F1F1F"/>
          <w:sz w:val="40"/>
        </w:rPr>
        <w:t>Beschreibung der analytischen Arbeit mit SQL-Views</w:t>
      </w:r>
    </w:p>
    <w:p>
      <w:pPr>
        <w:spacing w:after="120" w:line="276" w:lineRule="auto"/>
      </w:pPr>
      <w:r>
        <w:rPr>
          <w:rFonts w:ascii="Arial" w:hAnsi="Arial" w:eastAsia="Arial"/>
          <w:color w:val="1F1F1F"/>
          <w:sz w:val="21"/>
        </w:rPr>
        <w:t>Für die Analyse wurden nicht alle erstellten Views verwendet, sondern nur die Views, die den vier Dashboards zugrunde liegen: View 1 – v01_strommix_jahr, View 3 – v03_ersatz_kernenergie_vergleich_vor_nach, View 7 – v07_strompreise_insgesamt_halbjahr, View 9 – v09_preisbestandteile_insgesamt, View 12 – v12_stromhandel_jahr und View 13 – v13_vw_brennstoffpreise_vorjahr.</w:t>
      </w:r>
    </w:p>
    <w:p>
      <w:pPr>
        <w:spacing w:after="120" w:line="276" w:lineRule="auto"/>
      </w:pPr>
      <w:r>
        <w:rPr>
          <w:rFonts w:ascii="Arial" w:hAnsi="Arial" w:eastAsia="Arial"/>
          <w:color w:val="1F1F1F"/>
          <w:sz w:val="21"/>
        </w:rPr>
        <w:t>Die Ausgangstabellen für diese Views waren: erzeugung, aussenhandel, strompreise, strompreisbestandteile und brennstoffpreise. Diese Views wurden erstellt, um Rohdaten in eine analytisch nutzbare Grundlage für Power BI zu überführen und die Forschungsfragen des Projekts zu beantworten.</w:t>
      </w:r>
    </w:p>
    <w:p>
      <w:pPr>
        <w:spacing w:before="200" w:after="120"/>
      </w:pPr>
      <w:r>
        <w:rPr>
          <w:rFonts w:ascii="Arial" w:hAnsi="Arial" w:eastAsia="Arial"/>
          <w:b/>
          <w:color w:val="1F1F1F"/>
          <w:sz w:val="30"/>
        </w:rPr>
        <w:t>View 1 – v01_strommix_jahr</w:t>
      </w:r>
    </w:p>
    <w:p>
      <w:pPr>
        <w:spacing w:after="120" w:line="276" w:lineRule="auto"/>
      </w:pPr>
      <w:r>
        <w:rPr>
          <w:rFonts w:ascii="Arial" w:hAnsi="Arial" w:eastAsia="Arial"/>
          <w:color w:val="1F1F1F"/>
          <w:sz w:val="21"/>
        </w:rPr>
        <w:t>Diese View wurde auf Basis der Tabelle erzeugung erstellt. Ihr Ziel war es, die Stromerzeugung nach Jahren und Energieträgern zu aggregieren und zusätzlich den Anteil jedes Energieträgers am gesamten Strommix zu berechnen.</w:t>
      </w:r>
    </w:p>
    <w:p>
      <w:pPr>
        <w:spacing w:before="200" w:after="120"/>
      </w:pPr>
      <w:r>
        <w:rPr>
          <w:rFonts w:ascii="Arial" w:hAnsi="Arial" w:eastAsia="Arial"/>
          <w:b/>
          <w:color w:val="1F1F1F"/>
          <w:sz w:val="25"/>
        </w:rPr>
        <w:t>SQL-Codeausschnitt</w:t>
      </w:r>
    </w:p>
    <w:p>
      <w:pPr>
        <w:spacing w:before="0" w:after="0" w:line="252" w:lineRule="auto"/>
        <w:ind w:left="216" w:right="216"/>
        <w:pBdr>
          <w:top w:val="single" w:sz="4" w:space="6" w:color="D9D9D9"/>
          <w:left w:val="single" w:sz="4" w:space="6" w:color="D9D9D9"/>
          <w:bottom w:val="single" w:sz="4" w:space="6" w:color="D9D9D9"/>
          <w:right w:val="single" w:sz="4" w:space="6" w:color="D9D9D9"/>
        </w:pBdr>
        <w:shd w:fill="F3F3F3"/>
      </w:pPr>
      <w:r>
        <w:rPr>
          <w:rFonts w:ascii="Consolas" w:hAnsi="Consolas" w:eastAsia="Consolas"/>
          <w:b/>
          <w:color w:val="7030A0"/>
          <w:sz w:val="19"/>
        </w:rPr>
        <w:t xml:space="preserve">CREATE OR REPLACE VIEW </w:t>
      </w:r>
      <w:r>
        <w:rPr>
          <w:rFonts w:ascii="Consolas" w:hAnsi="Consolas" w:eastAsia="Consolas"/>
          <w:b w:val="0"/>
          <w:color w:val="994C00"/>
          <w:sz w:val="19"/>
        </w:rPr>
        <w:t>vw_strommix_jahr</w:t>
      </w:r>
      <w:r>
        <w:rPr>
          <w:rFonts w:ascii="Consolas" w:hAnsi="Consolas" w:eastAsia="Consolas"/>
          <w:b/>
          <w:color w:val="7030A0"/>
          <w:sz w:val="19"/>
        </w:rPr>
        <w:t xml:space="preserve"> AS</w:t>
      </w:r>
    </w:p>
    <w:p>
      <w:pPr>
        <w:spacing w:before="0" w:after="0" w:line="252" w:lineRule="auto"/>
        <w:ind w:left="216" w:right="216"/>
        <w:shd w:fill="F3F3F3"/>
      </w:pPr>
      <w:r>
        <w:rPr>
          <w:rFonts w:ascii="Consolas" w:hAnsi="Consolas" w:eastAsia="Consolas"/>
          <w:b/>
          <w:color w:val="7030A0"/>
          <w:sz w:val="19"/>
        </w:rPr>
        <w:t>SELECT</w:t>
      </w:r>
    </w:p>
    <w:p>
      <w:pPr>
        <w:spacing w:before="0" w:after="0" w:line="252" w:lineRule="auto"/>
        <w:ind w:left="216" w:right="216"/>
        <w:shd w:fill="F3F3F3"/>
      </w:pPr>
      <w:r>
        <w:rPr>
          <w:rFonts w:ascii="Consolas" w:hAnsi="Consolas" w:eastAsia="Consolas"/>
          <w:b w:val="0"/>
          <w:color w:val="1F1F1F"/>
          <w:sz w:val="19"/>
        </w:rPr>
        <w:t xml:space="preserve">    jahr,</w:t>
      </w:r>
    </w:p>
    <w:p>
      <w:pPr>
        <w:spacing w:before="0" w:after="0" w:line="252" w:lineRule="auto"/>
        <w:ind w:left="216" w:right="216"/>
        <w:shd w:fill="F3F3F3"/>
      </w:pPr>
      <w:r>
        <w:rPr>
          <w:rFonts w:ascii="Consolas" w:hAnsi="Consolas" w:eastAsia="Consolas"/>
          <w:b w:val="0"/>
          <w:color w:val="1F1F1F"/>
          <w:sz w:val="19"/>
        </w:rPr>
        <w:t xml:space="preserve">    energietraeger,</w:t>
      </w:r>
    </w:p>
    <w:p>
      <w:pPr>
        <w:spacing w:before="0" w:after="0" w:line="252" w:lineRule="auto"/>
        <w:ind w:left="216" w:right="216"/>
        <w:shd w:fill="F3F3F3"/>
      </w:pPr>
      <w:r>
        <w:rPr>
          <w:rFonts w:ascii="Consolas" w:hAnsi="Consolas" w:eastAsia="Consolas"/>
          <w:b w:val="0"/>
          <w:color w:val="1F1F1F"/>
          <w:sz w:val="19"/>
        </w:rPr>
        <w:t xml:space="preserve">    </w:t>
      </w:r>
      <w:r>
        <w:rPr>
          <w:rFonts w:ascii="Consolas" w:hAnsi="Consolas" w:eastAsia="Consolas"/>
          <w:b/>
          <w:color w:val="BF9000"/>
          <w:sz w:val="19"/>
        </w:rPr>
        <w:t>SUM</w:t>
      </w:r>
      <w:r>
        <w:rPr>
          <w:rFonts w:ascii="Consolas" w:hAnsi="Consolas" w:eastAsia="Consolas"/>
          <w:b w:val="0"/>
          <w:color w:val="1F1F1F"/>
          <w:sz w:val="19"/>
        </w:rPr>
        <w:t>(erzeugung_mwh) AS erzeugung_mwh,</w:t>
      </w:r>
    </w:p>
    <w:p>
      <w:pPr>
        <w:spacing w:before="0" w:after="0" w:line="252" w:lineRule="auto"/>
        <w:ind w:left="216" w:right="216"/>
        <w:shd w:fill="F3F3F3"/>
      </w:pPr>
      <w:r>
        <w:rPr>
          <w:rFonts w:ascii="Consolas" w:hAnsi="Consolas" w:eastAsia="Consolas"/>
          <w:b w:val="0"/>
          <w:color w:val="1F1F1F"/>
          <w:sz w:val="19"/>
        </w:rPr>
        <w:t xml:space="preserve">    </w:t>
      </w:r>
      <w:r>
        <w:rPr>
          <w:rFonts w:ascii="Consolas" w:hAnsi="Consolas" w:eastAsia="Consolas"/>
          <w:b/>
          <w:color w:val="BF9000"/>
          <w:sz w:val="19"/>
        </w:rPr>
        <w:t>ROUND</w:t>
      </w:r>
      <w:r>
        <w:rPr>
          <w:rFonts w:ascii="Consolas" w:hAnsi="Consolas" w:eastAsia="Consolas"/>
          <w:b w:val="0"/>
          <w:color w:val="1F1F1F"/>
          <w:sz w:val="19"/>
        </w:rPr>
        <w:t>((SUM(erzeugung_mwh) * 100.0)</w:t>
      </w:r>
    </w:p>
    <w:p>
      <w:pPr>
        <w:spacing w:before="0" w:after="0" w:line="252" w:lineRule="auto"/>
        <w:ind w:left="216" w:right="216"/>
        <w:shd w:fill="F3F3F3"/>
      </w:pPr>
      <w:r>
        <w:rPr>
          <w:rFonts w:ascii="Consolas" w:hAnsi="Consolas" w:eastAsia="Consolas"/>
          <w:b w:val="0"/>
          <w:color w:val="1F1F1F"/>
          <w:sz w:val="19"/>
        </w:rPr>
        <w:t xml:space="preserve">          / NULLIF(</w:t>
      </w:r>
      <w:r>
        <w:rPr>
          <w:rFonts w:ascii="Consolas" w:hAnsi="Consolas" w:eastAsia="Consolas"/>
          <w:b/>
          <w:color w:val="BF9000"/>
          <w:sz w:val="19"/>
        </w:rPr>
        <w:t>SUM</w:t>
      </w:r>
      <w:r>
        <w:rPr>
          <w:rFonts w:ascii="Consolas" w:hAnsi="Consolas" w:eastAsia="Consolas"/>
          <w:b w:val="0"/>
          <w:color w:val="1F1F1F"/>
          <w:sz w:val="19"/>
        </w:rPr>
        <w:t>(</w:t>
      </w:r>
      <w:r>
        <w:rPr>
          <w:rFonts w:ascii="Consolas" w:hAnsi="Consolas" w:eastAsia="Consolas"/>
          <w:b/>
          <w:color w:val="BF9000"/>
          <w:sz w:val="19"/>
        </w:rPr>
        <w:t>SUM</w:t>
      </w:r>
      <w:r>
        <w:rPr>
          <w:rFonts w:ascii="Consolas" w:hAnsi="Consolas" w:eastAsia="Consolas"/>
          <w:b w:val="0"/>
          <w:color w:val="1F1F1F"/>
          <w:sz w:val="19"/>
        </w:rPr>
        <w:t>(erzeugung_mwh))</w:t>
      </w:r>
    </w:p>
    <w:p>
      <w:pPr>
        <w:spacing w:before="0" w:after="0" w:line="252" w:lineRule="auto"/>
        <w:ind w:left="216" w:right="216"/>
        <w:shd w:fill="F3F3F3"/>
      </w:pPr>
      <w:r>
        <w:rPr>
          <w:rFonts w:ascii="Consolas" w:hAnsi="Consolas" w:eastAsia="Consolas"/>
          <w:b w:val="0"/>
          <w:color w:val="1F1F1F"/>
          <w:sz w:val="19"/>
        </w:rPr>
        <w:t xml:space="preserve">          OVER (PARTITION BY jahr), 0), 2) AS anteil_am_strommix</w:t>
      </w:r>
    </w:p>
    <w:p>
      <w:pPr>
        <w:spacing w:before="0" w:after="0" w:line="252" w:lineRule="auto"/>
        <w:ind w:left="216" w:right="216"/>
        <w:shd w:fill="F3F3F3"/>
      </w:pPr>
      <w:r>
        <w:rPr>
          <w:rFonts w:ascii="Consolas" w:hAnsi="Consolas" w:eastAsia="Consolas"/>
          <w:b/>
          <w:color w:val="7030A0"/>
          <w:sz w:val="19"/>
        </w:rPr>
        <w:t xml:space="preserve">FROM </w:t>
      </w:r>
      <w:r>
        <w:rPr>
          <w:rFonts w:ascii="Consolas" w:hAnsi="Consolas" w:eastAsia="Consolas"/>
          <w:b w:val="0"/>
          <w:color w:val="994C00"/>
          <w:sz w:val="19"/>
        </w:rPr>
        <w:t>erzeugung</w:t>
      </w:r>
    </w:p>
    <w:p>
      <w:pPr>
        <w:spacing w:before="0" w:after="0" w:line="252" w:lineRule="auto"/>
        <w:ind w:left="216" w:right="216"/>
        <w:shd w:fill="F3F3F3"/>
      </w:pPr>
      <w:r>
        <w:rPr>
          <w:rFonts w:ascii="Consolas" w:hAnsi="Consolas" w:eastAsia="Consolas"/>
          <w:b/>
          <w:color w:val="7030A0"/>
          <w:sz w:val="19"/>
        </w:rPr>
        <w:t>GROUP BY</w:t>
      </w:r>
      <w:r>
        <w:rPr>
          <w:rFonts w:ascii="Consolas" w:hAnsi="Consolas" w:eastAsia="Consolas"/>
          <w:b w:val="0"/>
          <w:color w:val="1F1F1F"/>
          <w:sz w:val="19"/>
        </w:rPr>
        <w:t xml:space="preserve"> jahr, energietraeger</w:t>
      </w:r>
    </w:p>
    <w:p>
      <w:pPr>
        <w:spacing w:before="0" w:after="0" w:line="252" w:lineRule="auto"/>
        <w:ind w:left="216" w:right="216"/>
        <w:shd w:fill="F3F3F3"/>
      </w:pPr>
      <w:r>
        <w:rPr>
          <w:rFonts w:ascii="Consolas" w:hAnsi="Consolas" w:eastAsia="Consolas"/>
          <w:b/>
          <w:color w:val="7030A0"/>
          <w:sz w:val="19"/>
        </w:rPr>
        <w:t>ORDER BY</w:t>
      </w:r>
      <w:r>
        <w:rPr>
          <w:rFonts w:ascii="Consolas" w:hAnsi="Consolas" w:eastAsia="Consolas"/>
          <w:b w:val="0"/>
          <w:color w:val="1F1F1F"/>
          <w:sz w:val="19"/>
        </w:rPr>
        <w:t xml:space="preserve"> jahr, energietraeger;</w:t>
      </w:r>
    </w:p>
    <w:p/>
    <w:p>
      <w:pPr>
        <w:spacing w:before="200" w:after="120"/>
      </w:pPr>
      <w:r>
        <w:rPr>
          <w:rFonts w:ascii="Arial" w:hAnsi="Arial" w:eastAsia="Arial"/>
          <w:b/>
          <w:color w:val="1F1F1F"/>
          <w:sz w:val="25"/>
        </w:rPr>
        <w:t>Ergebnis der View</w:t>
      </w:r>
    </w:p>
    <w:p>
      <w:pPr>
        <w:spacing w:after="120" w:line="276" w:lineRule="auto"/>
      </w:pPr>
      <w:r>
        <w:rPr>
          <w:rFonts w:ascii="Arial" w:hAnsi="Arial" w:eastAsia="Arial"/>
          <w:color w:val="1F1F1F"/>
          <w:sz w:val="21"/>
        </w:rPr>
        <w:t>Als Ergebnis entsteht eine Tabelle, in der für jedes Jahr die Felder jahr, energietraeger, erzeugung_mwh und anteil_am_strommix ausgewiesen werden.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tcPr>
          <w:p>
            <w:pPr>
              <w:jc w:val="center"/>
            </w:pPr>
            <w:r>
              <w:rPr>
                <w:rFonts w:ascii="Arial" w:hAnsi="Arial" w:eastAsia="Arial"/>
                <w:b/>
                <w:color w:val="1F1F1F"/>
                <w:sz w:val="20"/>
              </w:rPr>
              <w:t>Jahr</w:t>
            </w:r>
          </w:p>
        </w:tc>
        <w:tc>
          <w:tcPr>
            <w:tcW w:type="dxa" w:w="2484"/>
            <w:shd w:fill="D9E2F3"/>
          </w:tcPr>
          <w:p>
            <w:pPr>
              <w:jc w:val="center"/>
            </w:pPr>
            <w:r>
              <w:rPr>
                <w:rFonts w:ascii="Arial" w:hAnsi="Arial" w:eastAsia="Arial"/>
                <w:b/>
                <w:color w:val="1F1F1F"/>
                <w:sz w:val="20"/>
              </w:rPr>
              <w:t>Energieträger</w:t>
            </w:r>
          </w:p>
        </w:tc>
        <w:tc>
          <w:tcPr>
            <w:tcW w:type="dxa" w:w="2484"/>
            <w:shd w:fill="D9E2F3"/>
          </w:tcPr>
          <w:p>
            <w:pPr>
              <w:jc w:val="center"/>
            </w:pPr>
            <w:r>
              <w:rPr>
                <w:rFonts w:ascii="Arial" w:hAnsi="Arial" w:eastAsia="Arial"/>
                <w:b/>
                <w:color w:val="1F1F1F"/>
                <w:sz w:val="20"/>
              </w:rPr>
              <w:t>Erzeugung (MWh)</w:t>
            </w:r>
          </w:p>
        </w:tc>
        <w:tc>
          <w:tcPr>
            <w:tcW w:type="dxa" w:w="2484"/>
            <w:shd w:fill="D9E2F3"/>
          </w:tcPr>
          <w:p>
            <w:pPr>
              <w:jc w:val="center"/>
            </w:pPr>
            <w:r>
              <w:rPr>
                <w:rFonts w:ascii="Arial" w:hAnsi="Arial" w:eastAsia="Arial"/>
                <w:b/>
                <w:color w:val="1F1F1F"/>
                <w:sz w:val="20"/>
              </w:rPr>
              <w:t>Anteil am Strommix</w:t>
            </w:r>
          </w:p>
        </w:tc>
      </w:tr>
      <w:tr>
        <w:tc>
          <w:tcPr>
            <w:tcW w:type="dxa" w:w="2484"/>
            <w:vAlign w:val="center"/>
          </w:tcPr>
          <w:p>
            <w:pPr>
              <w:jc w:val="center"/>
            </w:pPr>
            <w:r>
              <w:rPr>
                <w:rFonts w:ascii="Arial" w:hAnsi="Arial" w:eastAsia="Arial"/>
                <w:color w:val="1F1F1F"/>
                <w:sz w:val="19"/>
              </w:rPr>
              <w:t>2019</w:t>
            </w:r>
          </w:p>
        </w:tc>
        <w:tc>
          <w:tcPr>
            <w:tcW w:type="dxa" w:w="2484"/>
            <w:vAlign w:val="center"/>
          </w:tcPr>
          <w:p>
            <w:pPr>
              <w:jc w:val="left"/>
            </w:pPr>
            <w:r>
              <w:rPr>
                <w:rFonts w:ascii="Arial" w:hAnsi="Arial" w:eastAsia="Arial"/>
                <w:color w:val="1F1F1F"/>
                <w:sz w:val="19"/>
              </w:rPr>
              <w:t>Kernenergie</w:t>
            </w:r>
          </w:p>
        </w:tc>
        <w:tc>
          <w:tcPr>
            <w:tcW w:type="dxa" w:w="2484"/>
            <w:vAlign w:val="center"/>
          </w:tcPr>
          <w:p>
            <w:pPr>
              <w:jc w:val="center"/>
            </w:pPr>
            <w:r>
              <w:rPr>
                <w:rFonts w:ascii="Arial" w:hAnsi="Arial" w:eastAsia="Arial"/>
                <w:color w:val="1F1F1F"/>
                <w:sz w:val="19"/>
              </w:rPr>
              <w:t>71.042.164,25</w:t>
            </w:r>
          </w:p>
        </w:tc>
        <w:tc>
          <w:tcPr>
            <w:tcW w:type="dxa" w:w="2484"/>
            <w:vAlign w:val="center"/>
          </w:tcPr>
          <w:p>
            <w:pPr>
              <w:jc w:val="center"/>
            </w:pPr>
            <w:r>
              <w:rPr>
                <w:rFonts w:ascii="Arial" w:hAnsi="Arial" w:eastAsia="Arial"/>
                <w:color w:val="1F1F1F"/>
                <w:sz w:val="19"/>
              </w:rPr>
              <w:t>13,63 %</w:t>
            </w:r>
          </w:p>
        </w:tc>
      </w:tr>
      <w:tr>
        <w:tc>
          <w:tcPr>
            <w:tcW w:type="dxa" w:w="2484"/>
            <w:vAlign w:val="center"/>
          </w:tcPr>
          <w:p>
            <w:pPr>
              <w:jc w:val="center"/>
            </w:pPr>
            <w:r>
              <w:rPr>
                <w:rFonts w:ascii="Arial" w:hAnsi="Arial" w:eastAsia="Arial"/>
                <w:color w:val="1F1F1F"/>
                <w:sz w:val="19"/>
              </w:rPr>
              <w:t>2019</w:t>
            </w:r>
          </w:p>
        </w:tc>
        <w:tc>
          <w:tcPr>
            <w:tcW w:type="dxa" w:w="2484"/>
            <w:vAlign w:val="center"/>
          </w:tcPr>
          <w:p>
            <w:pPr>
              <w:jc w:val="left"/>
            </w:pPr>
            <w:r>
              <w:rPr>
                <w:rFonts w:ascii="Arial" w:hAnsi="Arial" w:eastAsia="Arial"/>
                <w:color w:val="1F1F1F"/>
                <w:sz w:val="19"/>
              </w:rPr>
              <w:t>Erneuerbare</w:t>
            </w:r>
          </w:p>
        </w:tc>
        <w:tc>
          <w:tcPr>
            <w:tcW w:type="dxa" w:w="2484"/>
            <w:vAlign w:val="center"/>
          </w:tcPr>
          <w:p>
            <w:pPr>
              <w:jc w:val="center"/>
            </w:pPr>
            <w:r>
              <w:rPr>
                <w:rFonts w:ascii="Arial" w:hAnsi="Arial" w:eastAsia="Arial"/>
                <w:color w:val="1F1F1F"/>
                <w:sz w:val="19"/>
              </w:rPr>
              <w:t>234.177.551,50</w:t>
            </w:r>
          </w:p>
        </w:tc>
        <w:tc>
          <w:tcPr>
            <w:tcW w:type="dxa" w:w="2484"/>
            <w:vAlign w:val="center"/>
          </w:tcPr>
          <w:p>
            <w:pPr>
              <w:jc w:val="center"/>
            </w:pPr>
            <w:r>
              <w:rPr>
                <w:rFonts w:ascii="Arial" w:hAnsi="Arial" w:eastAsia="Arial"/>
                <w:color w:val="1F1F1F"/>
                <w:sz w:val="19"/>
              </w:rPr>
              <w:t>44,86 %</w:t>
            </w:r>
          </w:p>
        </w:tc>
      </w:tr>
      <w:tr>
        <w:tc>
          <w:tcPr>
            <w:tcW w:type="dxa" w:w="2484"/>
            <w:vAlign w:val="center"/>
          </w:tcPr>
          <w:p>
            <w:pPr>
              <w:jc w:val="center"/>
            </w:pPr>
            <w:r>
              <w:rPr>
                <w:rFonts w:ascii="Arial" w:hAnsi="Arial" w:eastAsia="Arial"/>
                <w:color w:val="1F1F1F"/>
                <w:sz w:val="19"/>
              </w:rPr>
              <w:t>2019</w:t>
            </w:r>
          </w:p>
        </w:tc>
        <w:tc>
          <w:tcPr>
            <w:tcW w:type="dxa" w:w="2484"/>
            <w:vAlign w:val="center"/>
          </w:tcPr>
          <w:p>
            <w:pPr>
              <w:jc w:val="left"/>
            </w:pPr>
            <w:r>
              <w:rPr>
                <w:rFonts w:ascii="Arial" w:hAnsi="Arial" w:eastAsia="Arial"/>
                <w:color w:val="1F1F1F"/>
                <w:sz w:val="19"/>
              </w:rPr>
              <w:t>Erdgas</w:t>
            </w:r>
          </w:p>
        </w:tc>
        <w:tc>
          <w:tcPr>
            <w:tcW w:type="dxa" w:w="2484"/>
            <w:vAlign w:val="center"/>
          </w:tcPr>
          <w:p>
            <w:pPr>
              <w:jc w:val="center"/>
            </w:pPr>
            <w:r>
              <w:rPr>
                <w:rFonts w:ascii="Arial" w:hAnsi="Arial" w:eastAsia="Arial"/>
                <w:color w:val="1F1F1F"/>
                <w:sz w:val="19"/>
              </w:rPr>
              <w:t>54.619.705,25</w:t>
            </w:r>
          </w:p>
        </w:tc>
        <w:tc>
          <w:tcPr>
            <w:tcW w:type="dxa" w:w="2484"/>
            <w:vAlign w:val="center"/>
          </w:tcPr>
          <w:p>
            <w:pPr>
              <w:jc w:val="center"/>
            </w:pPr>
            <w:r>
              <w:rPr>
                <w:rFonts w:ascii="Arial" w:hAnsi="Arial" w:eastAsia="Arial"/>
                <w:color w:val="1F1F1F"/>
                <w:sz w:val="19"/>
              </w:rPr>
              <w:t>10,48 %</w:t>
            </w:r>
          </w:p>
        </w:tc>
      </w:tr>
      <w:tr>
        <w:tc>
          <w:tcPr>
            <w:tcW w:type="dxa" w:w="2484"/>
            <w:vAlign w:val="center"/>
          </w:tcPr>
          <w:p>
            <w:pPr>
              <w:jc w:val="center"/>
            </w:pPr>
            <w:r>
              <w:rPr>
                <w:rFonts w:ascii="Arial" w:hAnsi="Arial" w:eastAsia="Arial"/>
                <w:color w:val="1F1F1F"/>
                <w:sz w:val="19"/>
              </w:rPr>
              <w:t>2019</w:t>
            </w:r>
          </w:p>
        </w:tc>
        <w:tc>
          <w:tcPr>
            <w:tcW w:type="dxa" w:w="2484"/>
            <w:vAlign w:val="center"/>
          </w:tcPr>
          <w:p>
            <w:pPr>
              <w:jc w:val="left"/>
            </w:pPr>
            <w:r>
              <w:rPr>
                <w:rFonts w:ascii="Arial" w:hAnsi="Arial" w:eastAsia="Arial"/>
                <w:color w:val="1F1F1F"/>
                <w:sz w:val="19"/>
              </w:rPr>
              <w:t>Braunkohle</w:t>
            </w:r>
          </w:p>
        </w:tc>
        <w:tc>
          <w:tcPr>
            <w:tcW w:type="dxa" w:w="2484"/>
            <w:vAlign w:val="center"/>
          </w:tcPr>
          <w:p>
            <w:pPr>
              <w:jc w:val="center"/>
            </w:pPr>
            <w:r>
              <w:rPr>
                <w:rFonts w:ascii="Arial" w:hAnsi="Arial" w:eastAsia="Arial"/>
                <w:color w:val="1F1F1F"/>
                <w:sz w:val="19"/>
              </w:rPr>
              <w:t>102.728.678,00</w:t>
            </w:r>
          </w:p>
        </w:tc>
        <w:tc>
          <w:tcPr>
            <w:tcW w:type="dxa" w:w="2484"/>
            <w:vAlign w:val="center"/>
          </w:tcPr>
          <w:p>
            <w:pPr>
              <w:jc w:val="center"/>
            </w:pPr>
            <w:r>
              <w:rPr>
                <w:rFonts w:ascii="Arial" w:hAnsi="Arial" w:eastAsia="Arial"/>
                <w:color w:val="1F1F1F"/>
                <w:sz w:val="19"/>
              </w:rPr>
              <w:t>19,70 %</w:t>
            </w:r>
          </w:p>
        </w:tc>
      </w:tr>
      <w:tr>
        <w:tc>
          <w:tcPr>
            <w:tcW w:type="dxa" w:w="2484"/>
            <w:vAlign w:val="center"/>
          </w:tcPr>
          <w:p>
            <w:pPr>
              <w:jc w:val="center"/>
            </w:pPr>
            <w:r>
              <w:rPr>
                <w:rFonts w:ascii="Arial" w:hAnsi="Arial" w:eastAsia="Arial"/>
                <w:color w:val="1F1F1F"/>
                <w:sz w:val="19"/>
              </w:rPr>
              <w:t>2019</w:t>
            </w:r>
          </w:p>
        </w:tc>
        <w:tc>
          <w:tcPr>
            <w:tcW w:type="dxa" w:w="2484"/>
            <w:vAlign w:val="center"/>
          </w:tcPr>
          <w:p>
            <w:pPr>
              <w:jc w:val="left"/>
            </w:pPr>
            <w:r>
              <w:rPr>
                <w:rFonts w:ascii="Arial" w:hAnsi="Arial" w:eastAsia="Arial"/>
                <w:color w:val="1F1F1F"/>
                <w:sz w:val="19"/>
              </w:rPr>
              <w:t>Steinkohle</w:t>
            </w:r>
          </w:p>
        </w:tc>
        <w:tc>
          <w:tcPr>
            <w:tcW w:type="dxa" w:w="2484"/>
            <w:vAlign w:val="center"/>
          </w:tcPr>
          <w:p>
            <w:pPr>
              <w:jc w:val="center"/>
            </w:pPr>
            <w:r>
              <w:rPr>
                <w:rFonts w:ascii="Arial" w:hAnsi="Arial" w:eastAsia="Arial"/>
                <w:color w:val="1F1F1F"/>
                <w:sz w:val="19"/>
              </w:rPr>
              <w:t>47.815.284,50</w:t>
            </w:r>
          </w:p>
        </w:tc>
        <w:tc>
          <w:tcPr>
            <w:tcW w:type="dxa" w:w="2484"/>
            <w:vAlign w:val="center"/>
          </w:tcPr>
          <w:p>
            <w:pPr>
              <w:jc w:val="center"/>
            </w:pPr>
            <w:r>
              <w:rPr>
                <w:rFonts w:ascii="Arial" w:hAnsi="Arial" w:eastAsia="Arial"/>
                <w:color w:val="1F1F1F"/>
                <w:sz w:val="19"/>
              </w:rPr>
              <w:t>9,17 %</w:t>
            </w:r>
          </w:p>
        </w:tc>
      </w:tr>
    </w:tbl>
    <w:p/>
    <w:p>
      <w:pPr>
        <w:spacing w:before="200" w:after="120"/>
      </w:pPr>
      <w:r>
        <w:rPr>
          <w:rFonts w:ascii="Arial" w:hAnsi="Arial" w:eastAsia="Arial"/>
          <w:b/>
          <w:color w:val="1F1F1F"/>
          <w:sz w:val="25"/>
        </w:rPr>
        <w:t>Welche Erkenntnisse ergaben sich daraus?</w:t>
      </w:r>
    </w:p>
    <w:p>
      <w:pPr>
        <w:pStyle w:val="ListBullet"/>
      </w:pPr>
      <w:r>
        <w:rPr>
          <w:rFonts w:ascii="Arial" w:hAnsi="Arial" w:eastAsia="Arial"/>
          <w:color w:val="1F1F1F"/>
          <w:sz w:val="21"/>
        </w:rPr>
        <w:t>Diese View machte die Struktur des Strommixes und die Rolle der Kernenergie vor dem Atomausstieg unmittelbar sichtbar.</w:t>
      </w:r>
    </w:p>
    <w:p>
      <w:pPr>
        <w:pStyle w:val="ListBullet"/>
      </w:pPr>
      <w:r>
        <w:rPr>
          <w:rFonts w:ascii="Arial" w:hAnsi="Arial" w:eastAsia="Arial"/>
          <w:color w:val="1F1F1F"/>
          <w:sz w:val="21"/>
        </w:rPr>
        <w:t>Außerdem wurde deutlich, dass erneuerbare Energien im Zeitverlauf an Bedeutung gewonnen haben.</w:t>
      </w:r>
    </w:p>
    <w:p/>
    <w:p>
      <w:pPr>
        <w:spacing w:before="200" w:after="120"/>
      </w:pPr>
      <w:r>
        <w:rPr>
          <w:rFonts w:ascii="Arial" w:hAnsi="Arial" w:eastAsia="Arial"/>
          <w:b/>
          <w:color w:val="1F1F1F"/>
          <w:sz w:val="30"/>
        </w:rPr>
        <w:t>View 3 – v03_ersatz_kernenergie_vergleich_vor_nach</w:t>
      </w:r>
    </w:p>
    <w:p>
      <w:pPr>
        <w:spacing w:after="120" w:line="276" w:lineRule="auto"/>
      </w:pPr>
      <w:r>
        <w:rPr>
          <w:rFonts w:ascii="Arial" w:hAnsi="Arial" w:eastAsia="Arial"/>
          <w:color w:val="1F1F1F"/>
          <w:sz w:val="21"/>
        </w:rPr>
        <w:t>Diese View wurde auf Basis der Tabellen erzeugung und aussenhandel erstellt. Die Daten wurden in die beiden Zeiträume vor_atomausstieg und nach_atomausstieg unterteilt. Anschließend wurden Durchschnittswerte für Gesamtstromerzeugung, Kernenergie, Erdgas, Erneuerbare, Importe, Exporte und den berechneten Verbrauch berechnet.</w:t>
      </w:r>
    </w:p>
    <w:p>
      <w:pPr>
        <w:spacing w:before="200" w:after="120"/>
      </w:pPr>
      <w:r>
        <w:rPr>
          <w:rFonts w:ascii="Arial" w:hAnsi="Arial" w:eastAsia="Arial"/>
          <w:b/>
          <w:color w:val="1F1F1F"/>
          <w:sz w:val="25"/>
        </w:rPr>
        <w:t>SQL-Codeausschnitt</w:t>
      </w:r>
    </w:p>
    <w:p>
      <w:pPr>
        <w:spacing w:before="0" w:after="0" w:line="252" w:lineRule="auto"/>
        <w:ind w:left="216" w:right="216"/>
        <w:pBdr>
          <w:top w:val="single" w:sz="4" w:space="6" w:color="D9D9D9"/>
          <w:left w:val="single" w:sz="4" w:space="6" w:color="D9D9D9"/>
          <w:bottom w:val="single" w:sz="4" w:space="6" w:color="D9D9D9"/>
          <w:right w:val="single" w:sz="4" w:space="6" w:color="D9D9D9"/>
        </w:pBdr>
        <w:shd w:fill="F3F3F3"/>
      </w:pPr>
      <w:r>
        <w:rPr>
          <w:rFonts w:ascii="Consolas" w:hAnsi="Consolas" w:eastAsia="Consolas"/>
          <w:b/>
          <w:color w:val="7030A0"/>
          <w:sz w:val="19"/>
        </w:rPr>
        <w:t xml:space="preserve">CREATE OR REPLACE VIEW </w:t>
      </w:r>
      <w:r>
        <w:rPr>
          <w:rFonts w:ascii="Consolas" w:hAnsi="Consolas" w:eastAsia="Consolas"/>
          <w:b w:val="0"/>
          <w:color w:val="994C00"/>
          <w:sz w:val="19"/>
        </w:rPr>
        <w:t>vw_ersatz_kernenergie_vergleich_vor_nach</w:t>
      </w:r>
      <w:r>
        <w:rPr>
          <w:rFonts w:ascii="Consolas" w:hAnsi="Consolas" w:eastAsia="Consolas"/>
          <w:b/>
          <w:color w:val="7030A0"/>
          <w:sz w:val="19"/>
        </w:rPr>
        <w:t xml:space="preserve"> AS</w:t>
      </w:r>
    </w:p>
    <w:p>
      <w:pPr>
        <w:spacing w:before="0" w:after="0" w:line="252" w:lineRule="auto"/>
        <w:ind w:left="216" w:right="216"/>
        <w:shd w:fill="F3F3F3"/>
      </w:pPr>
      <w:r>
        <w:rPr>
          <w:rFonts w:ascii="Consolas" w:hAnsi="Consolas" w:eastAsia="Consolas"/>
          <w:b/>
          <w:color w:val="7030A0"/>
          <w:sz w:val="19"/>
        </w:rPr>
        <w:t xml:space="preserve">WITH </w:t>
      </w:r>
      <w:r>
        <w:rPr>
          <w:rFonts w:ascii="Consolas" w:hAnsi="Consolas" w:eastAsia="Consolas"/>
          <w:b w:val="0"/>
          <w:color w:val="994C00"/>
          <w:sz w:val="19"/>
        </w:rPr>
        <w:t>erzeugung_monat</w:t>
      </w:r>
      <w:r>
        <w:rPr>
          <w:rFonts w:ascii="Consolas" w:hAnsi="Consolas" w:eastAsia="Consolas"/>
          <w:b/>
          <w:color w:val="7030A0"/>
          <w:sz w:val="19"/>
        </w:rPr>
        <w:t xml:space="preserve"> AS (</w:t>
      </w:r>
    </w:p>
    <w:p>
      <w:pPr>
        <w:spacing w:before="0" w:after="0" w:line="252" w:lineRule="auto"/>
        <w:ind w:left="216" w:right="216"/>
        <w:shd w:fill="F3F3F3"/>
      </w:pPr>
      <w:r>
        <w:rPr>
          <w:rFonts w:ascii="Consolas" w:hAnsi="Consolas" w:eastAsia="Consolas"/>
          <w:b/>
          <w:color w:val="7030A0"/>
          <w:sz w:val="19"/>
        </w:rPr>
        <w:t xml:space="preserve">    SELECT</w:t>
      </w:r>
    </w:p>
    <w:p>
      <w:pPr>
        <w:spacing w:before="0" w:after="0" w:line="252" w:lineRule="auto"/>
        <w:ind w:left="216" w:right="216"/>
        <w:shd w:fill="F3F3F3"/>
      </w:pPr>
      <w:r>
        <w:rPr>
          <w:rFonts w:ascii="Consolas" w:hAnsi="Consolas" w:eastAsia="Consolas"/>
          <w:b/>
          <w:color w:val="7030A0"/>
          <w:sz w:val="19"/>
        </w:rPr>
        <w:t xml:space="preserve">        CASE WHEN datum_von &lt; DATE </w:t>
      </w:r>
      <w:r>
        <w:rPr>
          <w:rFonts w:ascii="Consolas" w:hAnsi="Consolas" w:eastAsia="Consolas"/>
          <w:b w:val="0"/>
          <w:color w:val="994C00"/>
          <w:sz w:val="19"/>
        </w:rPr>
        <w:t>'2023-05-01'</w:t>
      </w:r>
      <w:r>
        <w:rPr>
          <w:rFonts w:ascii="Consolas" w:hAnsi="Consolas" w:eastAsia="Consolas"/>
          <w:b/>
          <w:color w:val="7030A0"/>
          <w:sz w:val="19"/>
        </w:rPr>
        <w:t xml:space="preserve"> THEN </w:t>
      </w:r>
      <w:r>
        <w:rPr>
          <w:rFonts w:ascii="Consolas" w:hAnsi="Consolas" w:eastAsia="Consolas"/>
          <w:b w:val="0"/>
          <w:color w:val="994C00"/>
          <w:sz w:val="19"/>
        </w:rPr>
        <w:t>'vor_atomausstieg'</w:t>
      </w:r>
    </w:p>
    <w:p>
      <w:pPr>
        <w:spacing w:before="0" w:after="0" w:line="252" w:lineRule="auto"/>
        <w:ind w:left="216" w:right="216"/>
        <w:shd w:fill="F3F3F3"/>
      </w:pPr>
      <w:r>
        <w:rPr>
          <w:rFonts w:ascii="Consolas" w:hAnsi="Consolas" w:eastAsia="Consolas"/>
          <w:b/>
          <w:color w:val="7030A0"/>
          <w:sz w:val="19"/>
        </w:rPr>
        <w:t xml:space="preserve">             ELSE </w:t>
      </w:r>
      <w:r>
        <w:rPr>
          <w:rFonts w:ascii="Consolas" w:hAnsi="Consolas" w:eastAsia="Consolas"/>
          <w:b w:val="0"/>
          <w:color w:val="994C00"/>
          <w:sz w:val="19"/>
        </w:rPr>
        <w:t>'nach_atomausstieg'</w:t>
      </w:r>
      <w:r>
        <w:rPr>
          <w:rFonts w:ascii="Consolas" w:hAnsi="Consolas" w:eastAsia="Consolas"/>
          <w:b/>
          <w:color w:val="7030A0"/>
          <w:sz w:val="19"/>
        </w:rPr>
        <w:t xml:space="preserve"> END AS periode,</w:t>
      </w:r>
    </w:p>
    <w:p>
      <w:pPr>
        <w:spacing w:before="0" w:after="0" w:line="252" w:lineRule="auto"/>
        <w:ind w:left="216" w:right="216"/>
        <w:shd w:fill="F3F3F3"/>
      </w:pPr>
      <w:r>
        <w:rPr>
          <w:rFonts w:ascii="Consolas" w:hAnsi="Consolas" w:eastAsia="Consolas"/>
          <w:b w:val="0"/>
          <w:color w:val="1F1F1F"/>
          <w:sz w:val="19"/>
        </w:rPr>
        <w:t xml:space="preserve">        datum_von,</w:t>
      </w:r>
    </w:p>
    <w:p>
      <w:pPr>
        <w:spacing w:before="0" w:after="0" w:line="252" w:lineRule="auto"/>
        <w:ind w:left="216" w:right="216"/>
        <w:shd w:fill="F3F3F3"/>
      </w:pPr>
      <w:r>
        <w:rPr>
          <w:rFonts w:ascii="Consolas" w:hAnsi="Consolas" w:eastAsia="Consolas"/>
          <w:b w:val="0"/>
          <w:color w:val="1F1F1F"/>
          <w:sz w:val="19"/>
        </w:rPr>
        <w:t xml:space="preserve">        SUM(erzeugung_mwh) AS gesamt_erzeugung_mwh,</w:t>
      </w:r>
    </w:p>
    <w:p>
      <w:pPr>
        <w:spacing w:before="0" w:after="0" w:line="252" w:lineRule="auto"/>
        <w:ind w:left="216" w:right="216"/>
        <w:shd w:fill="F3F3F3"/>
      </w:pPr>
      <w:r>
        <w:rPr>
          <w:rFonts w:ascii="Consolas" w:hAnsi="Consolas" w:eastAsia="Consolas"/>
          <w:b/>
          <w:color w:val="7030A0"/>
          <w:sz w:val="19"/>
        </w:rPr>
        <w:t xml:space="preserve">        SUM(CASE WHEN energietraeger = </w:t>
      </w:r>
      <w:r>
        <w:rPr>
          <w:rFonts w:ascii="Consolas" w:hAnsi="Consolas" w:eastAsia="Consolas"/>
          <w:b w:val="0"/>
          <w:color w:val="994C00"/>
          <w:sz w:val="19"/>
        </w:rPr>
        <w:t>'Kernenergie'</w:t>
      </w:r>
      <w:r>
        <w:rPr>
          <w:rFonts w:ascii="Consolas" w:hAnsi="Consolas" w:eastAsia="Consolas"/>
          <w:b w:val="0"/>
          <w:color w:val="1F1F1F"/>
          <w:sz w:val="19"/>
        </w:rPr>
        <w:t xml:space="preserve"> THEN erzeugung_mwh ELSE 0 END) AS kernenergie_mwh,</w:t>
      </w:r>
    </w:p>
    <w:p>
      <w:pPr>
        <w:spacing w:before="0" w:after="0" w:line="252" w:lineRule="auto"/>
        <w:ind w:left="216" w:right="216"/>
        <w:shd w:fill="F3F3F3"/>
      </w:pPr>
      <w:r>
        <w:rPr>
          <w:rFonts w:ascii="Consolas" w:hAnsi="Consolas" w:eastAsia="Consolas"/>
          <w:b/>
          <w:color w:val="7030A0"/>
          <w:sz w:val="19"/>
        </w:rPr>
        <w:t xml:space="preserve">        SUM(CASE WHEN energietraeger = </w:t>
      </w:r>
      <w:r>
        <w:rPr>
          <w:rFonts w:ascii="Consolas" w:hAnsi="Consolas" w:eastAsia="Consolas"/>
          <w:b w:val="0"/>
          <w:color w:val="994C00"/>
          <w:sz w:val="19"/>
        </w:rPr>
        <w:t>'Erdgas'</w:t>
      </w:r>
      <w:r>
        <w:rPr>
          <w:rFonts w:ascii="Consolas" w:hAnsi="Consolas" w:eastAsia="Consolas"/>
          <w:b w:val="0"/>
          <w:color w:val="1F1F1F"/>
          <w:sz w:val="19"/>
        </w:rPr>
        <w:t xml:space="preserve"> THEN erzeugung_mwh ELSE 0 END) AS erdgas_mwh,</w:t>
      </w:r>
    </w:p>
    <w:p>
      <w:pPr>
        <w:spacing w:before="0" w:after="0" w:line="252" w:lineRule="auto"/>
        <w:ind w:left="216" w:right="216"/>
        <w:shd w:fill="F3F3F3"/>
      </w:pPr>
      <w:r>
        <w:rPr>
          <w:rFonts w:ascii="Consolas" w:hAnsi="Consolas" w:eastAsia="Consolas"/>
          <w:b/>
          <w:color w:val="7030A0"/>
          <w:sz w:val="19"/>
        </w:rPr>
        <w:t xml:space="preserve">        SUM(CASE WHEN energietraeger IN (</w:t>
      </w:r>
      <w:r>
        <w:rPr>
          <w:rFonts w:ascii="Consolas" w:hAnsi="Consolas" w:eastAsia="Consolas"/>
          <w:b w:val="0"/>
          <w:color w:val="994C00"/>
          <w:sz w:val="19"/>
        </w:rPr>
        <w:t>'Biomasse', 'Wasserkraft', 'Wind offshore',</w:t>
      </w:r>
    </w:p>
    <w:p>
      <w:pPr>
        <w:spacing w:before="0" w:after="0" w:line="252" w:lineRule="auto"/>
        <w:ind w:left="216" w:right="216"/>
        <w:shd w:fill="F3F3F3"/>
      </w:pPr>
      <w:r>
        <w:rPr>
          <w:rFonts w:ascii="Consolas" w:hAnsi="Consolas" w:eastAsia="Consolas"/>
          <w:b w:val="0"/>
          <w:color w:val="994C00"/>
          <w:sz w:val="19"/>
        </w:rPr>
        <w:t xml:space="preserve">             'Wind onshore', 'Photovoltaik', 'Sonstige Erneuerbare')</w:t>
      </w:r>
      <w:r>
        <w:rPr>
          <w:rFonts w:ascii="Consolas" w:hAnsi="Consolas" w:eastAsia="Consolas"/>
          <w:b w:val="0"/>
          <w:color w:val="1F1F1F"/>
          <w:sz w:val="19"/>
        </w:rPr>
        <w:t xml:space="preserve"> THEN erzeugung_mwh ELSE 0 END) AS erneuerbare_mwh</w:t>
      </w:r>
    </w:p>
    <w:p>
      <w:pPr>
        <w:spacing w:before="0" w:after="0" w:line="252" w:lineRule="auto"/>
        <w:ind w:left="216" w:right="216"/>
        <w:shd w:fill="F3F3F3"/>
      </w:pPr>
      <w:r>
        <w:rPr>
          <w:rFonts w:ascii="Consolas" w:hAnsi="Consolas" w:eastAsia="Consolas"/>
          <w:b/>
          <w:color w:val="7030A0"/>
          <w:sz w:val="19"/>
        </w:rPr>
        <w:t xml:space="preserve">    FROM </w:t>
      </w:r>
      <w:r>
        <w:rPr>
          <w:rFonts w:ascii="Consolas" w:hAnsi="Consolas" w:eastAsia="Consolas"/>
          <w:b w:val="0"/>
          <w:color w:val="994C00"/>
          <w:sz w:val="19"/>
        </w:rPr>
        <w:t>erzeugung</w:t>
      </w:r>
    </w:p>
    <w:p>
      <w:pPr>
        <w:spacing w:before="0" w:after="0" w:line="252" w:lineRule="auto"/>
        <w:ind w:left="216" w:right="216"/>
        <w:shd w:fill="F3F3F3"/>
      </w:pPr>
      <w:r>
        <w:rPr>
          <w:rFonts w:ascii="Consolas" w:hAnsi="Consolas" w:eastAsia="Consolas"/>
          <w:b/>
          <w:color w:val="7030A0"/>
          <w:sz w:val="19"/>
        </w:rPr>
        <w:t>)</w:t>
      </w:r>
    </w:p>
    <w:p/>
    <w:p>
      <w:pPr>
        <w:spacing w:before="200" w:after="120"/>
      </w:pPr>
      <w:r>
        <w:rPr>
          <w:rFonts w:ascii="Arial" w:hAnsi="Arial" w:eastAsia="Arial"/>
          <w:b/>
          <w:color w:val="1F1F1F"/>
          <w:sz w:val="25"/>
        </w:rPr>
        <w:t>Ergebnis der View</w:t>
      </w:r>
    </w:p>
    <w:p>
      <w:pPr>
        <w:spacing w:after="120" w:line="276" w:lineRule="auto"/>
      </w:pPr>
      <w:r>
        <w:rPr>
          <w:rFonts w:ascii="Arial" w:hAnsi="Arial" w:eastAsia="Arial"/>
          <w:color w:val="1F1F1F"/>
          <w:sz w:val="21"/>
        </w:rPr>
        <w:t>Als Ergebnis entsteht eine Vergleichstabelle der beiden Zeiträume vor und nach dem Atomausstieg. Sie enthält die durchschnittliche Gesamtstromerzeugung, Kernenergie, Erneuerbare, Importe, Exporte und den berechneten Stromverbrauch.</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2F3"/>
          </w:tcPr>
          <w:p>
            <w:pPr>
              <w:jc w:val="center"/>
            </w:pPr>
            <w:r>
              <w:rPr>
                <w:rFonts w:ascii="Arial" w:hAnsi="Arial" w:eastAsia="Arial"/>
                <w:b/>
                <w:color w:val="1F1F1F"/>
                <w:sz w:val="20"/>
              </w:rPr>
              <w:t>Periode</w:t>
            </w:r>
          </w:p>
        </w:tc>
        <w:tc>
          <w:tcPr>
            <w:tcW w:type="dxa" w:w="1987"/>
            <w:shd w:fill="D9E2F3"/>
          </w:tcPr>
          <w:p>
            <w:pPr>
              <w:jc w:val="center"/>
            </w:pPr>
            <w:r>
              <w:rPr>
                <w:rFonts w:ascii="Arial" w:hAnsi="Arial" w:eastAsia="Arial"/>
                <w:b/>
                <w:color w:val="1F1F1F"/>
                <w:sz w:val="20"/>
              </w:rPr>
              <w:t>Kernenergie</w:t>
            </w:r>
          </w:p>
        </w:tc>
        <w:tc>
          <w:tcPr>
            <w:tcW w:type="dxa" w:w="1987"/>
            <w:shd w:fill="D9E2F3"/>
          </w:tcPr>
          <w:p>
            <w:pPr>
              <w:jc w:val="center"/>
            </w:pPr>
            <w:r>
              <w:rPr>
                <w:rFonts w:ascii="Arial" w:hAnsi="Arial" w:eastAsia="Arial"/>
                <w:b/>
                <w:color w:val="1F1F1F"/>
                <w:sz w:val="20"/>
              </w:rPr>
              <w:t>Erneuerbare</w:t>
            </w:r>
          </w:p>
        </w:tc>
        <w:tc>
          <w:tcPr>
            <w:tcW w:type="dxa" w:w="1987"/>
            <w:shd w:fill="D9E2F3"/>
          </w:tcPr>
          <w:p>
            <w:pPr>
              <w:jc w:val="center"/>
            </w:pPr>
            <w:r>
              <w:rPr>
                <w:rFonts w:ascii="Arial" w:hAnsi="Arial" w:eastAsia="Arial"/>
                <w:b/>
                <w:color w:val="1F1F1F"/>
                <w:sz w:val="20"/>
              </w:rPr>
              <w:t>Importe</w:t>
            </w:r>
          </w:p>
        </w:tc>
        <w:tc>
          <w:tcPr>
            <w:tcW w:type="dxa" w:w="1987"/>
            <w:shd w:fill="D9E2F3"/>
          </w:tcPr>
          <w:p>
            <w:pPr>
              <w:jc w:val="center"/>
            </w:pPr>
            <w:r>
              <w:rPr>
                <w:rFonts w:ascii="Arial" w:hAnsi="Arial" w:eastAsia="Arial"/>
                <w:b/>
                <w:color w:val="1F1F1F"/>
                <w:sz w:val="20"/>
              </w:rPr>
              <w:t>Verbrauch</w:t>
            </w:r>
          </w:p>
        </w:tc>
      </w:tr>
      <w:tr>
        <w:tc>
          <w:tcPr>
            <w:tcW w:type="dxa" w:w="1987"/>
            <w:vAlign w:val="center"/>
          </w:tcPr>
          <w:p>
            <w:pPr>
              <w:jc w:val="center"/>
            </w:pPr>
            <w:r>
              <w:rPr>
                <w:rFonts w:ascii="Arial" w:hAnsi="Arial" w:eastAsia="Arial"/>
                <w:color w:val="1F1F1F"/>
                <w:sz w:val="19"/>
              </w:rPr>
              <w:t>vor_atomausstieg</w:t>
            </w:r>
          </w:p>
        </w:tc>
        <w:tc>
          <w:tcPr>
            <w:tcW w:type="dxa" w:w="1987"/>
            <w:vAlign w:val="center"/>
          </w:tcPr>
          <w:p>
            <w:pPr>
              <w:jc w:val="left"/>
            </w:pPr>
            <w:r>
              <w:rPr>
                <w:rFonts w:ascii="Arial" w:hAnsi="Arial" w:eastAsia="Arial"/>
                <w:color w:val="1F1F1F"/>
                <w:sz w:val="19"/>
              </w:rPr>
              <w:t>4.556.485,50</w:t>
            </w:r>
          </w:p>
        </w:tc>
        <w:tc>
          <w:tcPr>
            <w:tcW w:type="dxa" w:w="1987"/>
            <w:vAlign w:val="center"/>
          </w:tcPr>
          <w:p>
            <w:pPr>
              <w:jc w:val="center"/>
            </w:pPr>
            <w:r>
              <w:rPr>
                <w:rFonts w:ascii="Arial" w:hAnsi="Arial" w:eastAsia="Arial"/>
                <w:color w:val="1F1F1F"/>
                <w:sz w:val="19"/>
              </w:rPr>
              <w:t>18.999.356,92</w:t>
            </w:r>
          </w:p>
        </w:tc>
        <w:tc>
          <w:tcPr>
            <w:tcW w:type="dxa" w:w="1987"/>
            <w:vAlign w:val="center"/>
          </w:tcPr>
          <w:p>
            <w:pPr>
              <w:jc w:val="center"/>
            </w:pPr>
            <w:r>
              <w:rPr>
                <w:rFonts w:ascii="Arial" w:hAnsi="Arial" w:eastAsia="Arial"/>
                <w:color w:val="1F1F1F"/>
                <w:sz w:val="19"/>
              </w:rPr>
              <w:t>3.446.880,27</w:t>
            </w:r>
          </w:p>
        </w:tc>
        <w:tc>
          <w:tcPr>
            <w:tcW w:type="dxa" w:w="1987"/>
            <w:vAlign w:val="center"/>
          </w:tcPr>
          <w:p>
            <w:pPr>
              <w:jc w:val="center"/>
            </w:pPr>
            <w:r>
              <w:rPr>
                <w:rFonts w:ascii="Arial" w:hAnsi="Arial" w:eastAsia="Arial"/>
                <w:color w:val="1F1F1F"/>
                <w:sz w:val="19"/>
              </w:rPr>
              <w:t>40.299.848,36</w:t>
            </w:r>
          </w:p>
        </w:tc>
      </w:tr>
      <w:tr>
        <w:tc>
          <w:tcPr>
            <w:tcW w:type="dxa" w:w="1987"/>
            <w:vAlign w:val="center"/>
          </w:tcPr>
          <w:p>
            <w:pPr>
              <w:jc w:val="center"/>
            </w:pPr>
            <w:r>
              <w:rPr>
                <w:rFonts w:ascii="Arial" w:hAnsi="Arial" w:eastAsia="Arial"/>
                <w:color w:val="1F1F1F"/>
                <w:sz w:val="19"/>
              </w:rPr>
              <w:t>nach_atomausstieg</w:t>
            </w:r>
          </w:p>
        </w:tc>
        <w:tc>
          <w:tcPr>
            <w:tcW w:type="dxa" w:w="1987"/>
            <w:vAlign w:val="center"/>
          </w:tcPr>
          <w:p>
            <w:pPr>
              <w:jc w:val="left"/>
            </w:pPr>
            <w:r>
              <w:rPr>
                <w:rFonts w:ascii="Arial" w:hAnsi="Arial" w:eastAsia="Arial"/>
                <w:color w:val="1F1F1F"/>
                <w:sz w:val="19"/>
              </w:rPr>
              <w:t>0,00</w:t>
            </w:r>
          </w:p>
        </w:tc>
        <w:tc>
          <w:tcPr>
            <w:tcW w:type="dxa" w:w="1987"/>
            <w:vAlign w:val="center"/>
          </w:tcPr>
          <w:p>
            <w:pPr>
              <w:jc w:val="center"/>
            </w:pPr>
            <w:r>
              <w:rPr>
                <w:rFonts w:ascii="Arial" w:hAnsi="Arial" w:eastAsia="Arial"/>
                <w:color w:val="1F1F1F"/>
                <w:sz w:val="19"/>
              </w:rPr>
              <w:t>21.306.596,57</w:t>
            </w:r>
          </w:p>
        </w:tc>
        <w:tc>
          <w:tcPr>
            <w:tcW w:type="dxa" w:w="1987"/>
            <w:vAlign w:val="center"/>
          </w:tcPr>
          <w:p>
            <w:pPr>
              <w:jc w:val="center"/>
            </w:pPr>
            <w:r>
              <w:rPr>
                <w:rFonts w:ascii="Arial" w:hAnsi="Arial" w:eastAsia="Arial"/>
                <w:color w:val="1F1F1F"/>
                <w:sz w:val="19"/>
              </w:rPr>
              <w:t>6.311.935,45</w:t>
            </w:r>
          </w:p>
        </w:tc>
        <w:tc>
          <w:tcPr>
            <w:tcW w:type="dxa" w:w="1987"/>
            <w:vAlign w:val="center"/>
          </w:tcPr>
          <w:p>
            <w:pPr>
              <w:jc w:val="center"/>
            </w:pPr>
            <w:r>
              <w:rPr>
                <w:rFonts w:ascii="Arial" w:hAnsi="Arial" w:eastAsia="Arial"/>
                <w:color w:val="1F1F1F"/>
                <w:sz w:val="19"/>
              </w:rPr>
              <w:t>38.546.185,11</w:t>
            </w:r>
          </w:p>
        </w:tc>
      </w:tr>
    </w:tbl>
    <w:p/>
    <w:p>
      <w:pPr>
        <w:spacing w:before="200" w:after="120"/>
      </w:pPr>
      <w:r>
        <w:rPr>
          <w:rFonts w:ascii="Arial" w:hAnsi="Arial" w:eastAsia="Arial"/>
          <w:b/>
          <w:color w:val="1F1F1F"/>
          <w:sz w:val="25"/>
        </w:rPr>
        <w:t>Welche Erkenntnisse ergaben sich daraus?</w:t>
      </w:r>
    </w:p>
    <w:p>
      <w:pPr>
        <w:pStyle w:val="ListBullet"/>
      </w:pPr>
      <w:r>
        <w:rPr>
          <w:rFonts w:ascii="Arial" w:hAnsi="Arial" w:eastAsia="Arial"/>
          <w:color w:val="1F1F1F"/>
          <w:sz w:val="21"/>
        </w:rPr>
        <w:t>Die View zeigte, dass die Kernenergie nach dem Atomausstieg auf null fiel, während Erneuerbare und Importe zunahmen.</w:t>
      </w:r>
    </w:p>
    <w:p>
      <w:pPr>
        <w:pStyle w:val="ListBullet"/>
      </w:pPr>
      <w:r>
        <w:rPr>
          <w:rFonts w:ascii="Arial" w:hAnsi="Arial" w:eastAsia="Arial"/>
          <w:color w:val="1F1F1F"/>
          <w:sz w:val="21"/>
        </w:rPr>
        <w:t>Gleichzeitig ging der Stromverbrauch zurück. Daraus wurde abgeleitet, dass der Wegfall der Kernenergie vor allem durch erneuerbare Energien, höhere Importe und sinkenden Verbrauch ausgeglichen wurde.</w:t>
      </w:r>
    </w:p>
    <w:p/>
    <w:p>
      <w:pPr>
        <w:spacing w:before="200" w:after="120"/>
      </w:pPr>
      <w:r>
        <w:rPr>
          <w:rFonts w:ascii="Arial" w:hAnsi="Arial" w:eastAsia="Arial"/>
          <w:b/>
          <w:color w:val="1F1F1F"/>
          <w:sz w:val="30"/>
        </w:rPr>
        <w:t>View 7 – v07_strompreise_insgesamt_halbjahr</w:t>
      </w:r>
    </w:p>
    <w:p>
      <w:pPr>
        <w:spacing w:after="120" w:line="276" w:lineRule="auto"/>
      </w:pPr>
      <w:r>
        <w:rPr>
          <w:rFonts w:ascii="Arial" w:hAnsi="Arial" w:eastAsia="Arial"/>
          <w:color w:val="1F1F1F"/>
          <w:sz w:val="21"/>
        </w:rPr>
        <w:t>Diese View wurde auf Basis der Tabelle strompreise erstellt. Ziel war es, die Daten zu den Haushaltsstrompreisen in ein einheitliches Halbjahresformat zu überführen, um die Preisentwicklung über die Zeit analysieren zu können.</w:t>
      </w:r>
    </w:p>
    <w:p>
      <w:pPr>
        <w:spacing w:before="200" w:after="120"/>
      </w:pPr>
      <w:r>
        <w:rPr>
          <w:rFonts w:ascii="Arial" w:hAnsi="Arial" w:eastAsia="Arial"/>
          <w:b/>
          <w:color w:val="1F1F1F"/>
          <w:sz w:val="25"/>
        </w:rPr>
        <w:t>Ergebnis der View</w:t>
      </w:r>
    </w:p>
    <w:p>
      <w:pPr>
        <w:spacing w:after="120" w:line="276" w:lineRule="auto"/>
      </w:pPr>
      <w:r>
        <w:rPr>
          <w:rFonts w:ascii="Arial" w:hAnsi="Arial" w:eastAsia="Arial"/>
          <w:color w:val="1F1F1F"/>
          <w:sz w:val="21"/>
        </w:rPr>
        <w:t>Das Ergebnis ist eine Tabelle mit den Feldern datum_von, jahr, halbjahr, verbrauchskategorie, strompreis_ohne_steuern_eur_kwh, strompreis_ohne_ust_eur_kwh und strompreis_gesamt_eur_kwh.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tcPr>
          <w:p>
            <w:pPr>
              <w:jc w:val="center"/>
            </w:pPr>
            <w:r>
              <w:rPr>
                <w:rFonts w:ascii="Arial" w:hAnsi="Arial" w:eastAsia="Arial"/>
                <w:b/>
                <w:color w:val="1F1F1F"/>
                <w:sz w:val="20"/>
              </w:rPr>
              <w:t>Datum</w:t>
            </w:r>
          </w:p>
        </w:tc>
        <w:tc>
          <w:tcPr>
            <w:tcW w:type="dxa" w:w="3312"/>
            <w:shd w:fill="D9E2F3"/>
          </w:tcPr>
          <w:p>
            <w:pPr>
              <w:jc w:val="center"/>
            </w:pPr>
            <w:r>
              <w:rPr>
                <w:rFonts w:ascii="Arial" w:hAnsi="Arial" w:eastAsia="Arial"/>
                <w:b/>
                <w:color w:val="1F1F1F"/>
                <w:sz w:val="20"/>
              </w:rPr>
              <w:t>Halbjahr</w:t>
            </w:r>
          </w:p>
        </w:tc>
        <w:tc>
          <w:tcPr>
            <w:tcW w:type="dxa" w:w="3312"/>
            <w:shd w:fill="D9E2F3"/>
          </w:tcPr>
          <w:p>
            <w:pPr>
              <w:jc w:val="center"/>
            </w:pPr>
            <w:r>
              <w:rPr>
                <w:rFonts w:ascii="Arial" w:hAnsi="Arial" w:eastAsia="Arial"/>
                <w:b/>
                <w:color w:val="1F1F1F"/>
                <w:sz w:val="20"/>
              </w:rPr>
              <w:t>Strompreis gesamt</w:t>
            </w:r>
          </w:p>
        </w:tc>
      </w:tr>
      <w:tr>
        <w:tc>
          <w:tcPr>
            <w:tcW w:type="dxa" w:w="3312"/>
            <w:vAlign w:val="center"/>
          </w:tcPr>
          <w:p>
            <w:pPr>
              <w:jc w:val="center"/>
            </w:pPr>
            <w:r>
              <w:rPr>
                <w:rFonts w:ascii="Arial" w:hAnsi="Arial" w:eastAsia="Arial"/>
                <w:color w:val="1F1F1F"/>
                <w:sz w:val="19"/>
              </w:rPr>
              <w:t>2019-01-01</w:t>
            </w:r>
          </w:p>
        </w:tc>
        <w:tc>
          <w:tcPr>
            <w:tcW w:type="dxa" w:w="3312"/>
            <w:vAlign w:val="center"/>
          </w:tcPr>
          <w:p>
            <w:pPr>
              <w:jc w:val="left"/>
            </w:pPr>
            <w:r>
              <w:rPr>
                <w:rFonts w:ascii="Arial" w:hAnsi="Arial" w:eastAsia="Arial"/>
                <w:color w:val="1F1F1F"/>
                <w:sz w:val="19"/>
              </w:rPr>
              <w:t>1. Halbjahr</w:t>
            </w:r>
          </w:p>
        </w:tc>
        <w:tc>
          <w:tcPr>
            <w:tcW w:type="dxa" w:w="3312"/>
            <w:vAlign w:val="center"/>
          </w:tcPr>
          <w:p>
            <w:pPr>
              <w:jc w:val="center"/>
            </w:pPr>
            <w:r>
              <w:rPr>
                <w:rFonts w:ascii="Arial" w:hAnsi="Arial" w:eastAsia="Arial"/>
                <w:color w:val="1F1F1F"/>
                <w:sz w:val="19"/>
              </w:rPr>
              <w:t>29,92 ct/kWh</w:t>
            </w:r>
          </w:p>
        </w:tc>
      </w:tr>
      <w:tr>
        <w:tc>
          <w:tcPr>
            <w:tcW w:type="dxa" w:w="3312"/>
            <w:vAlign w:val="center"/>
          </w:tcPr>
          <w:p>
            <w:pPr>
              <w:jc w:val="center"/>
            </w:pPr>
            <w:r>
              <w:rPr>
                <w:rFonts w:ascii="Arial" w:hAnsi="Arial" w:eastAsia="Arial"/>
                <w:color w:val="1F1F1F"/>
                <w:sz w:val="19"/>
              </w:rPr>
              <w:t>2019-07-01</w:t>
            </w:r>
          </w:p>
        </w:tc>
        <w:tc>
          <w:tcPr>
            <w:tcW w:type="dxa" w:w="3312"/>
            <w:vAlign w:val="center"/>
          </w:tcPr>
          <w:p>
            <w:pPr>
              <w:jc w:val="left"/>
            </w:pPr>
            <w:r>
              <w:rPr>
                <w:rFonts w:ascii="Arial" w:hAnsi="Arial" w:eastAsia="Arial"/>
                <w:color w:val="1F1F1F"/>
                <w:sz w:val="19"/>
              </w:rPr>
              <w:t>2. Halbjahr</w:t>
            </w:r>
          </w:p>
        </w:tc>
        <w:tc>
          <w:tcPr>
            <w:tcW w:type="dxa" w:w="3312"/>
            <w:vAlign w:val="center"/>
          </w:tcPr>
          <w:p>
            <w:pPr>
              <w:jc w:val="center"/>
            </w:pPr>
            <w:r>
              <w:rPr>
                <w:rFonts w:ascii="Arial" w:hAnsi="Arial" w:eastAsia="Arial"/>
                <w:color w:val="1F1F1F"/>
                <w:sz w:val="19"/>
              </w:rPr>
              <w:t>31,94 ct/kWh</w:t>
            </w:r>
          </w:p>
        </w:tc>
      </w:tr>
      <w:tr>
        <w:tc>
          <w:tcPr>
            <w:tcW w:type="dxa" w:w="3312"/>
            <w:vAlign w:val="center"/>
          </w:tcPr>
          <w:p>
            <w:pPr>
              <w:jc w:val="center"/>
            </w:pPr>
            <w:r>
              <w:rPr>
                <w:rFonts w:ascii="Arial" w:hAnsi="Arial" w:eastAsia="Arial"/>
                <w:color w:val="1F1F1F"/>
                <w:sz w:val="19"/>
              </w:rPr>
              <w:t>2020-01-01</w:t>
            </w:r>
          </w:p>
        </w:tc>
        <w:tc>
          <w:tcPr>
            <w:tcW w:type="dxa" w:w="3312"/>
            <w:vAlign w:val="center"/>
          </w:tcPr>
          <w:p>
            <w:pPr>
              <w:jc w:val="left"/>
            </w:pPr>
            <w:r>
              <w:rPr>
                <w:rFonts w:ascii="Arial" w:hAnsi="Arial" w:eastAsia="Arial"/>
                <w:color w:val="1F1F1F"/>
                <w:sz w:val="19"/>
              </w:rPr>
              <w:t>1. Halbjahr</w:t>
            </w:r>
          </w:p>
        </w:tc>
        <w:tc>
          <w:tcPr>
            <w:tcW w:type="dxa" w:w="3312"/>
            <w:vAlign w:val="center"/>
          </w:tcPr>
          <w:p>
            <w:pPr>
              <w:jc w:val="center"/>
            </w:pPr>
            <w:r>
              <w:rPr>
                <w:rFonts w:ascii="Arial" w:hAnsi="Arial" w:eastAsia="Arial"/>
                <w:color w:val="1F1F1F"/>
                <w:sz w:val="19"/>
              </w:rPr>
              <w:t>31,16 ct/kWh</w:t>
            </w:r>
          </w:p>
        </w:tc>
      </w:tr>
      <w:tr>
        <w:tc>
          <w:tcPr>
            <w:tcW w:type="dxa" w:w="3312"/>
            <w:vAlign w:val="center"/>
          </w:tcPr>
          <w:p>
            <w:pPr>
              <w:jc w:val="center"/>
            </w:pPr>
            <w:r>
              <w:rPr>
                <w:rFonts w:ascii="Arial" w:hAnsi="Arial" w:eastAsia="Arial"/>
                <w:color w:val="1F1F1F"/>
                <w:sz w:val="19"/>
              </w:rPr>
              <w:t>2020-07-01</w:t>
            </w:r>
          </w:p>
        </w:tc>
        <w:tc>
          <w:tcPr>
            <w:tcW w:type="dxa" w:w="3312"/>
            <w:vAlign w:val="center"/>
          </w:tcPr>
          <w:p>
            <w:pPr>
              <w:jc w:val="left"/>
            </w:pPr>
            <w:r>
              <w:rPr>
                <w:rFonts w:ascii="Arial" w:hAnsi="Arial" w:eastAsia="Arial"/>
                <w:color w:val="1F1F1F"/>
                <w:sz w:val="19"/>
              </w:rPr>
              <w:t>2. Halbjahr</w:t>
            </w:r>
          </w:p>
        </w:tc>
        <w:tc>
          <w:tcPr>
            <w:tcW w:type="dxa" w:w="3312"/>
            <w:vAlign w:val="center"/>
          </w:tcPr>
          <w:p>
            <w:pPr>
              <w:jc w:val="center"/>
            </w:pPr>
            <w:r>
              <w:rPr>
                <w:rFonts w:ascii="Arial" w:hAnsi="Arial" w:eastAsia="Arial"/>
                <w:color w:val="1F1F1F"/>
                <w:sz w:val="19"/>
              </w:rPr>
              <w:t>32,64 ct/kWh</w:t>
            </w:r>
          </w:p>
        </w:tc>
      </w:tr>
      <w:tr>
        <w:tc>
          <w:tcPr>
            <w:tcW w:type="dxa" w:w="3312"/>
            <w:vAlign w:val="center"/>
          </w:tcPr>
          <w:p>
            <w:pPr>
              <w:jc w:val="center"/>
            </w:pPr>
            <w:r>
              <w:rPr>
                <w:rFonts w:ascii="Arial" w:hAnsi="Arial" w:eastAsia="Arial"/>
                <w:color w:val="1F1F1F"/>
                <w:sz w:val="19"/>
              </w:rPr>
              <w:t>2023-01-01</w:t>
            </w:r>
          </w:p>
        </w:tc>
        <w:tc>
          <w:tcPr>
            <w:tcW w:type="dxa" w:w="3312"/>
            <w:vAlign w:val="center"/>
          </w:tcPr>
          <w:p>
            <w:pPr>
              <w:jc w:val="left"/>
            </w:pPr>
            <w:r>
              <w:rPr>
                <w:rFonts w:ascii="Arial" w:hAnsi="Arial" w:eastAsia="Arial"/>
                <w:color w:val="1F1F1F"/>
                <w:sz w:val="19"/>
              </w:rPr>
              <w:t>1. Halbjahr</w:t>
            </w:r>
          </w:p>
        </w:tc>
        <w:tc>
          <w:tcPr>
            <w:tcW w:type="dxa" w:w="3312"/>
            <w:vAlign w:val="center"/>
          </w:tcPr>
          <w:p>
            <w:pPr>
              <w:jc w:val="center"/>
            </w:pPr>
            <w:r>
              <w:rPr>
                <w:rFonts w:ascii="Arial" w:hAnsi="Arial" w:eastAsia="Arial"/>
                <w:color w:val="1F1F1F"/>
                <w:sz w:val="19"/>
              </w:rPr>
              <w:t>46,91 ct/kWh</w:t>
            </w:r>
          </w:p>
        </w:tc>
      </w:tr>
    </w:tbl>
    <w:p/>
    <w:p>
      <w:pPr>
        <w:spacing w:before="200" w:after="120"/>
      </w:pPr>
      <w:r>
        <w:rPr>
          <w:rFonts w:ascii="Arial" w:hAnsi="Arial" w:eastAsia="Arial"/>
          <w:b/>
          <w:color w:val="1F1F1F"/>
          <w:sz w:val="25"/>
        </w:rPr>
        <w:t>Welche Erkenntnisse ergaben sich daraus?</w:t>
      </w:r>
    </w:p>
    <w:p>
      <w:pPr>
        <w:pStyle w:val="ListBullet"/>
      </w:pPr>
      <w:r>
        <w:rPr>
          <w:rFonts w:ascii="Arial" w:hAnsi="Arial" w:eastAsia="Arial"/>
          <w:color w:val="1F1F1F"/>
          <w:sz w:val="21"/>
        </w:rPr>
        <w:t>Diese View machte sichtbar, wie sich die Haushaltsstrompreise entwickelt haben.</w:t>
      </w:r>
    </w:p>
    <w:p>
      <w:pPr>
        <w:pStyle w:val="ListBullet"/>
      </w:pPr>
      <w:r>
        <w:rPr>
          <w:rFonts w:ascii="Arial" w:hAnsi="Arial" w:eastAsia="Arial"/>
          <w:color w:val="1F1F1F"/>
          <w:sz w:val="21"/>
        </w:rPr>
        <w:t>Besonders auffällig war der starke Preisanstieg im Jahr 2023, gefolgt von einem leichten Rückgang auf weiterhin hohem Niveau.</w:t>
      </w:r>
    </w:p>
    <w:p/>
    <w:p>
      <w:pPr>
        <w:spacing w:before="200" w:after="120"/>
      </w:pPr>
      <w:r>
        <w:rPr>
          <w:rFonts w:ascii="Arial" w:hAnsi="Arial" w:eastAsia="Arial"/>
          <w:b/>
          <w:color w:val="1F1F1F"/>
          <w:sz w:val="30"/>
        </w:rPr>
        <w:t>View 9 – v09_preisbestandteile_insgesamt</w:t>
      </w:r>
    </w:p>
    <w:p>
      <w:pPr>
        <w:spacing w:after="120" w:line="276" w:lineRule="auto"/>
      </w:pPr>
      <w:r>
        <w:rPr>
          <w:rFonts w:ascii="Arial" w:hAnsi="Arial" w:eastAsia="Arial"/>
          <w:color w:val="1F1F1F"/>
          <w:sz w:val="21"/>
        </w:rPr>
        <w:t>Diese View wurde auf Basis der Tabelle strompreisbestandteile erstellt. Ihr Zweck war es, die Struktur des Haushaltsstrompreises in seine zentralen Bestandteile zu zerlegen.</w:t>
      </w:r>
    </w:p>
    <w:p>
      <w:pPr>
        <w:spacing w:before="200" w:after="120"/>
      </w:pPr>
      <w:r>
        <w:rPr>
          <w:rFonts w:ascii="Arial" w:hAnsi="Arial" w:eastAsia="Arial"/>
          <w:b/>
          <w:color w:val="1F1F1F"/>
          <w:sz w:val="25"/>
        </w:rPr>
        <w:t>SQL-Codeausschnitt</w:t>
      </w:r>
    </w:p>
    <w:p>
      <w:pPr>
        <w:spacing w:before="0" w:after="0" w:line="252" w:lineRule="auto"/>
        <w:ind w:left="216" w:right="216"/>
        <w:pBdr>
          <w:top w:val="single" w:sz="4" w:space="6" w:color="D9D9D9"/>
          <w:left w:val="single" w:sz="4" w:space="6" w:color="D9D9D9"/>
          <w:bottom w:val="single" w:sz="4" w:space="6" w:color="D9D9D9"/>
          <w:right w:val="single" w:sz="4" w:space="6" w:color="D9D9D9"/>
        </w:pBdr>
        <w:shd w:fill="F3F3F3"/>
      </w:pPr>
      <w:r>
        <w:rPr>
          <w:rFonts w:ascii="Consolas" w:hAnsi="Consolas" w:eastAsia="Consolas"/>
          <w:b/>
          <w:color w:val="7030A0"/>
          <w:sz w:val="19"/>
        </w:rPr>
        <w:t>SELECT</w:t>
      </w:r>
    </w:p>
    <w:p>
      <w:pPr>
        <w:spacing w:before="0" w:after="0" w:line="252" w:lineRule="auto"/>
        <w:ind w:left="216" w:right="216"/>
        <w:shd w:fill="F3F3F3"/>
      </w:pPr>
      <w:r>
        <w:rPr>
          <w:rFonts w:ascii="Consolas" w:hAnsi="Consolas" w:eastAsia="Consolas"/>
          <w:b w:val="0"/>
          <w:color w:val="1F1F1F"/>
          <w:sz w:val="19"/>
        </w:rPr>
        <w:t xml:space="preserve">    jahr,</w:t>
      </w:r>
    </w:p>
    <w:p>
      <w:pPr>
        <w:spacing w:before="0" w:after="0" w:line="252" w:lineRule="auto"/>
        <w:ind w:left="216" w:right="216"/>
        <w:shd w:fill="F3F3F3"/>
      </w:pPr>
      <w:r>
        <w:rPr>
          <w:rFonts w:ascii="Consolas" w:hAnsi="Consolas" w:eastAsia="Consolas"/>
          <w:b w:val="0"/>
          <w:color w:val="1F1F1F"/>
          <w:sz w:val="19"/>
        </w:rPr>
        <w:t xml:space="preserve">    energie_und_vertrieb_cent_kwh,</w:t>
      </w:r>
    </w:p>
    <w:p>
      <w:pPr>
        <w:spacing w:before="0" w:after="0" w:line="252" w:lineRule="auto"/>
        <w:ind w:left="216" w:right="216"/>
        <w:shd w:fill="F3F3F3"/>
      </w:pPr>
      <w:r>
        <w:rPr>
          <w:rFonts w:ascii="Consolas" w:hAnsi="Consolas" w:eastAsia="Consolas"/>
          <w:b w:val="0"/>
          <w:color w:val="1F1F1F"/>
          <w:sz w:val="19"/>
        </w:rPr>
        <w:t xml:space="preserve">    netzkosten_cent_kwh,</w:t>
      </w:r>
    </w:p>
    <w:p>
      <w:pPr>
        <w:spacing w:before="0" w:after="0" w:line="252" w:lineRule="auto"/>
        <w:ind w:left="216" w:right="216"/>
        <w:shd w:fill="F3F3F3"/>
      </w:pPr>
      <w:r>
        <w:rPr>
          <w:rFonts w:ascii="Consolas" w:hAnsi="Consolas" w:eastAsia="Consolas"/>
          <w:b w:val="0"/>
          <w:color w:val="1F1F1F"/>
          <w:sz w:val="19"/>
        </w:rPr>
        <w:t xml:space="preserve">    steuern_abgaben_umlagen_cent_kwh,</w:t>
      </w:r>
    </w:p>
    <w:p>
      <w:pPr>
        <w:spacing w:before="0" w:after="0" w:line="252" w:lineRule="auto"/>
        <w:ind w:left="216" w:right="216"/>
        <w:shd w:fill="F3F3F3"/>
      </w:pPr>
      <w:r>
        <w:rPr>
          <w:rFonts w:ascii="Consolas" w:hAnsi="Consolas" w:eastAsia="Consolas"/>
          <w:b w:val="0"/>
          <w:color w:val="1F1F1F"/>
          <w:sz w:val="19"/>
        </w:rPr>
        <w:t xml:space="preserve">    strompreis_gesamt_cent_kwh</w:t>
      </w:r>
    </w:p>
    <w:p>
      <w:pPr>
        <w:spacing w:before="0" w:after="0" w:line="252" w:lineRule="auto"/>
        <w:ind w:left="216" w:right="216"/>
        <w:shd w:fill="F3F3F3"/>
      </w:pPr>
      <w:r>
        <w:rPr>
          <w:rFonts w:ascii="Consolas" w:hAnsi="Consolas" w:eastAsia="Consolas"/>
          <w:b/>
          <w:color w:val="7030A0"/>
          <w:sz w:val="19"/>
        </w:rPr>
        <w:t xml:space="preserve">FROM </w:t>
      </w:r>
      <w:r>
        <w:rPr>
          <w:rFonts w:ascii="Consolas" w:hAnsi="Consolas" w:eastAsia="Consolas"/>
          <w:b w:val="0"/>
          <w:color w:val="994C00"/>
          <w:sz w:val="19"/>
        </w:rPr>
        <w:t>strompreisbestandteile</w:t>
      </w:r>
    </w:p>
    <w:p>
      <w:pPr>
        <w:spacing w:before="0" w:after="0" w:line="252" w:lineRule="auto"/>
        <w:ind w:left="216" w:right="216"/>
        <w:shd w:fill="F3F3F3"/>
      </w:pPr>
      <w:r>
        <w:rPr>
          <w:rFonts w:ascii="Consolas" w:hAnsi="Consolas" w:eastAsia="Consolas"/>
          <w:b/>
          <w:color w:val="7030A0"/>
          <w:sz w:val="19"/>
        </w:rPr>
        <w:t>ORDER BY</w:t>
      </w:r>
      <w:r>
        <w:rPr>
          <w:rFonts w:ascii="Consolas" w:hAnsi="Consolas" w:eastAsia="Consolas"/>
          <w:b w:val="0"/>
          <w:color w:val="1F1F1F"/>
          <w:sz w:val="19"/>
        </w:rPr>
        <w:t xml:space="preserve"> jahr;</w:t>
      </w:r>
    </w:p>
    <w:p/>
    <w:p>
      <w:pPr>
        <w:spacing w:before="200" w:after="120"/>
      </w:pPr>
      <w:r>
        <w:rPr>
          <w:rFonts w:ascii="Arial" w:hAnsi="Arial" w:eastAsia="Arial"/>
          <w:b/>
          <w:color w:val="1F1F1F"/>
          <w:sz w:val="25"/>
        </w:rPr>
        <w:t>Ergebnis der View</w:t>
      </w:r>
    </w:p>
    <w:p>
      <w:pPr>
        <w:spacing w:after="120" w:line="276" w:lineRule="auto"/>
      </w:pPr>
      <w:r>
        <w:rPr>
          <w:rFonts w:ascii="Arial" w:hAnsi="Arial" w:eastAsia="Arial"/>
          <w:color w:val="1F1F1F"/>
          <w:sz w:val="21"/>
        </w:rPr>
        <w:t>Als Ergebnis entsteht eine Tabelle, in der für jedes Jahr die Komponenten energie_und_vertrieb_cent_kwh, netzkosten_cent_kwh, steuern_abgaben_umlagen_cent_kwh und strompreis_gesamt_cent_kwh dargestellt werden.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2F3"/>
          </w:tcPr>
          <w:p>
            <w:pPr>
              <w:jc w:val="center"/>
            </w:pPr>
            <w:r>
              <w:rPr>
                <w:rFonts w:ascii="Arial" w:hAnsi="Arial" w:eastAsia="Arial"/>
                <w:b/>
                <w:color w:val="1F1F1F"/>
                <w:sz w:val="20"/>
              </w:rPr>
              <w:t>Jahr</w:t>
            </w:r>
          </w:p>
        </w:tc>
        <w:tc>
          <w:tcPr>
            <w:tcW w:type="dxa" w:w="1987"/>
            <w:shd w:fill="D9E2F3"/>
          </w:tcPr>
          <w:p>
            <w:pPr>
              <w:jc w:val="center"/>
            </w:pPr>
            <w:r>
              <w:rPr>
                <w:rFonts w:ascii="Arial" w:hAnsi="Arial" w:eastAsia="Arial"/>
                <w:b/>
                <w:color w:val="1F1F1F"/>
                <w:sz w:val="20"/>
              </w:rPr>
              <w:t>Energie und Vertrieb</w:t>
            </w:r>
          </w:p>
        </w:tc>
        <w:tc>
          <w:tcPr>
            <w:tcW w:type="dxa" w:w="1987"/>
            <w:shd w:fill="D9E2F3"/>
          </w:tcPr>
          <w:p>
            <w:pPr>
              <w:jc w:val="center"/>
            </w:pPr>
            <w:r>
              <w:rPr>
                <w:rFonts w:ascii="Arial" w:hAnsi="Arial" w:eastAsia="Arial"/>
                <w:b/>
                <w:color w:val="1F1F1F"/>
                <w:sz w:val="20"/>
              </w:rPr>
              <w:t>Netzkosten</w:t>
            </w:r>
          </w:p>
        </w:tc>
        <w:tc>
          <w:tcPr>
            <w:tcW w:type="dxa" w:w="1987"/>
            <w:shd w:fill="D9E2F3"/>
          </w:tcPr>
          <w:p>
            <w:pPr>
              <w:jc w:val="center"/>
            </w:pPr>
            <w:r>
              <w:rPr>
                <w:rFonts w:ascii="Arial" w:hAnsi="Arial" w:eastAsia="Arial"/>
                <w:b/>
                <w:color w:val="1F1F1F"/>
                <w:sz w:val="20"/>
              </w:rPr>
              <w:t>Steuern, Abgaben und Umlagen</w:t>
            </w:r>
          </w:p>
        </w:tc>
        <w:tc>
          <w:tcPr>
            <w:tcW w:type="dxa" w:w="1987"/>
            <w:shd w:fill="D9E2F3"/>
          </w:tcPr>
          <w:p>
            <w:pPr>
              <w:jc w:val="center"/>
            </w:pPr>
            <w:r>
              <w:rPr>
                <w:rFonts w:ascii="Arial" w:hAnsi="Arial" w:eastAsia="Arial"/>
                <w:b/>
                <w:color w:val="1F1F1F"/>
                <w:sz w:val="20"/>
              </w:rPr>
              <w:t>Strompreis gesamt</w:t>
            </w:r>
          </w:p>
        </w:tc>
      </w:tr>
      <w:tr>
        <w:tc>
          <w:tcPr>
            <w:tcW w:type="dxa" w:w="1987"/>
            <w:vAlign w:val="center"/>
          </w:tcPr>
          <w:p>
            <w:pPr>
              <w:jc w:val="center"/>
            </w:pPr>
            <w:r>
              <w:rPr>
                <w:rFonts w:ascii="Arial" w:hAnsi="Arial" w:eastAsia="Arial"/>
                <w:color w:val="1F1F1F"/>
                <w:sz w:val="19"/>
              </w:rPr>
              <w:t>2019</w:t>
            </w:r>
          </w:p>
        </w:tc>
        <w:tc>
          <w:tcPr>
            <w:tcW w:type="dxa" w:w="1987"/>
            <w:vAlign w:val="center"/>
          </w:tcPr>
          <w:p>
            <w:pPr>
              <w:jc w:val="left"/>
            </w:pPr>
            <w:r>
              <w:rPr>
                <w:rFonts w:ascii="Arial" w:hAnsi="Arial" w:eastAsia="Arial"/>
                <w:color w:val="1F1F1F"/>
                <w:sz w:val="19"/>
              </w:rPr>
              <w:t>6,17</w:t>
            </w:r>
          </w:p>
        </w:tc>
        <w:tc>
          <w:tcPr>
            <w:tcW w:type="dxa" w:w="1987"/>
            <w:vAlign w:val="center"/>
          </w:tcPr>
          <w:p>
            <w:pPr>
              <w:jc w:val="center"/>
            </w:pPr>
            <w:r>
              <w:rPr>
                <w:rFonts w:ascii="Arial" w:hAnsi="Arial" w:eastAsia="Arial"/>
                <w:color w:val="1F1F1F"/>
                <w:sz w:val="19"/>
              </w:rPr>
              <w:t>8,04</w:t>
            </w:r>
          </w:p>
        </w:tc>
        <w:tc>
          <w:tcPr>
            <w:tcW w:type="dxa" w:w="1987"/>
            <w:vAlign w:val="center"/>
          </w:tcPr>
          <w:p>
            <w:pPr>
              <w:jc w:val="center"/>
            </w:pPr>
            <w:r>
              <w:rPr>
                <w:rFonts w:ascii="Arial" w:hAnsi="Arial" w:eastAsia="Arial"/>
                <w:color w:val="1F1F1F"/>
                <w:sz w:val="19"/>
              </w:rPr>
              <w:t>15,71</w:t>
            </w:r>
          </w:p>
        </w:tc>
        <w:tc>
          <w:tcPr>
            <w:tcW w:type="dxa" w:w="1987"/>
            <w:vAlign w:val="center"/>
          </w:tcPr>
          <w:p>
            <w:pPr>
              <w:jc w:val="center"/>
            </w:pPr>
            <w:r>
              <w:rPr>
                <w:rFonts w:ascii="Arial" w:hAnsi="Arial" w:eastAsia="Arial"/>
                <w:color w:val="1F1F1F"/>
                <w:sz w:val="19"/>
              </w:rPr>
              <w:t>29,92</w:t>
            </w:r>
          </w:p>
        </w:tc>
      </w:tr>
      <w:tr>
        <w:tc>
          <w:tcPr>
            <w:tcW w:type="dxa" w:w="1987"/>
            <w:vAlign w:val="center"/>
          </w:tcPr>
          <w:p>
            <w:pPr>
              <w:jc w:val="center"/>
            </w:pPr>
            <w:r>
              <w:rPr>
                <w:rFonts w:ascii="Arial" w:hAnsi="Arial" w:eastAsia="Arial"/>
                <w:color w:val="1F1F1F"/>
                <w:sz w:val="19"/>
              </w:rPr>
              <w:t>2020</w:t>
            </w:r>
          </w:p>
        </w:tc>
        <w:tc>
          <w:tcPr>
            <w:tcW w:type="dxa" w:w="1987"/>
            <w:vAlign w:val="center"/>
          </w:tcPr>
          <w:p>
            <w:pPr>
              <w:jc w:val="left"/>
            </w:pPr>
            <w:r>
              <w:rPr>
                <w:rFonts w:ascii="Arial" w:hAnsi="Arial" w:eastAsia="Arial"/>
                <w:color w:val="1F1F1F"/>
                <w:sz w:val="19"/>
              </w:rPr>
              <w:t>6,67</w:t>
            </w:r>
          </w:p>
        </w:tc>
        <w:tc>
          <w:tcPr>
            <w:tcW w:type="dxa" w:w="1987"/>
            <w:vAlign w:val="center"/>
          </w:tcPr>
          <w:p>
            <w:pPr>
              <w:jc w:val="center"/>
            </w:pPr>
            <w:r>
              <w:rPr>
                <w:rFonts w:ascii="Arial" w:hAnsi="Arial" w:eastAsia="Arial"/>
                <w:color w:val="1F1F1F"/>
                <w:sz w:val="19"/>
              </w:rPr>
              <w:t>8,85</w:t>
            </w:r>
          </w:p>
        </w:tc>
        <w:tc>
          <w:tcPr>
            <w:tcW w:type="dxa" w:w="1987"/>
            <w:vAlign w:val="center"/>
          </w:tcPr>
          <w:p>
            <w:pPr>
              <w:jc w:val="center"/>
            </w:pPr>
            <w:r>
              <w:rPr>
                <w:rFonts w:ascii="Arial" w:hAnsi="Arial" w:eastAsia="Arial"/>
                <w:color w:val="1F1F1F"/>
                <w:sz w:val="19"/>
              </w:rPr>
              <w:t>16,64</w:t>
            </w:r>
          </w:p>
        </w:tc>
        <w:tc>
          <w:tcPr>
            <w:tcW w:type="dxa" w:w="1987"/>
            <w:vAlign w:val="center"/>
          </w:tcPr>
          <w:p>
            <w:pPr>
              <w:jc w:val="center"/>
            </w:pPr>
            <w:r>
              <w:rPr>
                <w:rFonts w:ascii="Arial" w:hAnsi="Arial" w:eastAsia="Arial"/>
                <w:color w:val="1F1F1F"/>
                <w:sz w:val="19"/>
              </w:rPr>
              <w:t>31,16</w:t>
            </w:r>
          </w:p>
        </w:tc>
      </w:tr>
      <w:tr>
        <w:tc>
          <w:tcPr>
            <w:tcW w:type="dxa" w:w="1987"/>
            <w:vAlign w:val="center"/>
          </w:tcPr>
          <w:p>
            <w:pPr>
              <w:jc w:val="center"/>
            </w:pPr>
            <w:r>
              <w:rPr>
                <w:rFonts w:ascii="Arial" w:hAnsi="Arial" w:eastAsia="Arial"/>
                <w:color w:val="1F1F1F"/>
                <w:sz w:val="19"/>
              </w:rPr>
              <w:t>2021</w:t>
            </w:r>
          </w:p>
        </w:tc>
        <w:tc>
          <w:tcPr>
            <w:tcW w:type="dxa" w:w="1987"/>
            <w:vAlign w:val="center"/>
          </w:tcPr>
          <w:p>
            <w:pPr>
              <w:jc w:val="left"/>
            </w:pPr>
            <w:r>
              <w:rPr>
                <w:rFonts w:ascii="Arial" w:hAnsi="Arial" w:eastAsia="Arial"/>
                <w:color w:val="1F1F1F"/>
                <w:sz w:val="19"/>
              </w:rPr>
              <w:t>8,27</w:t>
            </w:r>
          </w:p>
        </w:tc>
        <w:tc>
          <w:tcPr>
            <w:tcW w:type="dxa" w:w="1987"/>
            <w:vAlign w:val="center"/>
          </w:tcPr>
          <w:p>
            <w:pPr>
              <w:jc w:val="center"/>
            </w:pPr>
            <w:r>
              <w:rPr>
                <w:rFonts w:ascii="Arial" w:hAnsi="Arial" w:eastAsia="Arial"/>
                <w:color w:val="1F1F1F"/>
                <w:sz w:val="19"/>
              </w:rPr>
              <w:t>8,08</w:t>
            </w:r>
          </w:p>
        </w:tc>
        <w:tc>
          <w:tcPr>
            <w:tcW w:type="dxa" w:w="1987"/>
            <w:vAlign w:val="center"/>
          </w:tcPr>
          <w:p>
            <w:pPr>
              <w:jc w:val="center"/>
            </w:pPr>
            <w:r>
              <w:rPr>
                <w:rFonts w:ascii="Arial" w:hAnsi="Arial" w:eastAsia="Arial"/>
                <w:color w:val="1F1F1F"/>
                <w:sz w:val="19"/>
              </w:rPr>
              <w:t>16,28</w:t>
            </w:r>
          </w:p>
        </w:tc>
        <w:tc>
          <w:tcPr>
            <w:tcW w:type="dxa" w:w="1987"/>
            <w:vAlign w:val="center"/>
          </w:tcPr>
          <w:p>
            <w:pPr>
              <w:jc w:val="center"/>
            </w:pPr>
            <w:r>
              <w:rPr>
                <w:rFonts w:ascii="Arial" w:hAnsi="Arial" w:eastAsia="Arial"/>
                <w:color w:val="1F1F1F"/>
                <w:sz w:val="19"/>
              </w:rPr>
              <w:t>32,63</w:t>
            </w:r>
          </w:p>
        </w:tc>
      </w:tr>
      <w:tr>
        <w:tc>
          <w:tcPr>
            <w:tcW w:type="dxa" w:w="1987"/>
            <w:vAlign w:val="center"/>
          </w:tcPr>
          <w:p>
            <w:pPr>
              <w:jc w:val="center"/>
            </w:pPr>
            <w:r>
              <w:rPr>
                <w:rFonts w:ascii="Arial" w:hAnsi="Arial" w:eastAsia="Arial"/>
                <w:color w:val="1F1F1F"/>
                <w:sz w:val="19"/>
              </w:rPr>
              <w:t>2022</w:t>
            </w:r>
          </w:p>
        </w:tc>
        <w:tc>
          <w:tcPr>
            <w:tcW w:type="dxa" w:w="1987"/>
            <w:vAlign w:val="center"/>
          </w:tcPr>
          <w:p>
            <w:pPr>
              <w:jc w:val="left"/>
            </w:pPr>
            <w:r>
              <w:rPr>
                <w:rFonts w:ascii="Arial" w:hAnsi="Arial" w:eastAsia="Arial"/>
                <w:color w:val="1F1F1F"/>
                <w:sz w:val="19"/>
              </w:rPr>
              <w:t>13,49</w:t>
            </w:r>
          </w:p>
        </w:tc>
        <w:tc>
          <w:tcPr>
            <w:tcW w:type="dxa" w:w="1987"/>
            <w:vAlign w:val="center"/>
          </w:tcPr>
          <w:p>
            <w:pPr>
              <w:jc w:val="center"/>
            </w:pPr>
            <w:r>
              <w:rPr>
                <w:rFonts w:ascii="Arial" w:hAnsi="Arial" w:eastAsia="Arial"/>
                <w:color w:val="1F1F1F"/>
                <w:sz w:val="19"/>
              </w:rPr>
              <w:t>8,56</w:t>
            </w:r>
          </w:p>
        </w:tc>
        <w:tc>
          <w:tcPr>
            <w:tcW w:type="dxa" w:w="1987"/>
            <w:vAlign w:val="center"/>
          </w:tcPr>
          <w:p>
            <w:pPr>
              <w:jc w:val="center"/>
            </w:pPr>
            <w:r>
              <w:rPr>
                <w:rFonts w:ascii="Arial" w:hAnsi="Arial" w:eastAsia="Arial"/>
                <w:color w:val="1F1F1F"/>
                <w:sz w:val="19"/>
              </w:rPr>
              <w:t>12,21</w:t>
            </w:r>
          </w:p>
        </w:tc>
        <w:tc>
          <w:tcPr>
            <w:tcW w:type="dxa" w:w="1987"/>
            <w:vAlign w:val="center"/>
          </w:tcPr>
          <w:p>
            <w:pPr>
              <w:jc w:val="center"/>
            </w:pPr>
            <w:r>
              <w:rPr>
                <w:rFonts w:ascii="Arial" w:hAnsi="Arial" w:eastAsia="Arial"/>
                <w:color w:val="1F1F1F"/>
                <w:sz w:val="19"/>
              </w:rPr>
              <w:t>34,27</w:t>
            </w:r>
          </w:p>
        </w:tc>
      </w:tr>
      <w:tr>
        <w:tc>
          <w:tcPr>
            <w:tcW w:type="dxa" w:w="1987"/>
            <w:vAlign w:val="center"/>
          </w:tcPr>
          <w:p>
            <w:pPr>
              <w:jc w:val="center"/>
            </w:pPr>
            <w:r>
              <w:rPr>
                <w:rFonts w:ascii="Arial" w:hAnsi="Arial" w:eastAsia="Arial"/>
                <w:color w:val="1F1F1F"/>
                <w:sz w:val="19"/>
              </w:rPr>
              <w:t>2023</w:t>
            </w:r>
          </w:p>
        </w:tc>
        <w:tc>
          <w:tcPr>
            <w:tcW w:type="dxa" w:w="1987"/>
            <w:vAlign w:val="center"/>
          </w:tcPr>
          <w:p>
            <w:pPr>
              <w:jc w:val="left"/>
            </w:pPr>
            <w:r>
              <w:rPr>
                <w:rFonts w:ascii="Arial" w:hAnsi="Arial" w:eastAsia="Arial"/>
                <w:color w:val="1F1F1F"/>
                <w:sz w:val="19"/>
              </w:rPr>
              <w:t>20,63</w:t>
            </w:r>
          </w:p>
        </w:tc>
        <w:tc>
          <w:tcPr>
            <w:tcW w:type="dxa" w:w="1987"/>
            <w:vAlign w:val="center"/>
          </w:tcPr>
          <w:p>
            <w:pPr>
              <w:jc w:val="center"/>
            </w:pPr>
            <w:r>
              <w:rPr>
                <w:rFonts w:ascii="Arial" w:hAnsi="Arial" w:eastAsia="Arial"/>
                <w:color w:val="1F1F1F"/>
                <w:sz w:val="19"/>
              </w:rPr>
              <w:t>9,78</w:t>
            </w:r>
          </w:p>
        </w:tc>
        <w:tc>
          <w:tcPr>
            <w:tcW w:type="dxa" w:w="1987"/>
            <w:vAlign w:val="center"/>
          </w:tcPr>
          <w:p>
            <w:pPr>
              <w:jc w:val="center"/>
            </w:pPr>
            <w:r>
              <w:rPr>
                <w:rFonts w:ascii="Arial" w:hAnsi="Arial" w:eastAsia="Arial"/>
                <w:color w:val="1F1F1F"/>
                <w:sz w:val="19"/>
              </w:rPr>
              <w:t>11,61</w:t>
            </w:r>
          </w:p>
        </w:tc>
        <w:tc>
          <w:tcPr>
            <w:tcW w:type="dxa" w:w="1987"/>
            <w:vAlign w:val="center"/>
          </w:tcPr>
          <w:p>
            <w:pPr>
              <w:jc w:val="center"/>
            </w:pPr>
            <w:r>
              <w:rPr>
                <w:rFonts w:ascii="Arial" w:hAnsi="Arial" w:eastAsia="Arial"/>
                <w:color w:val="1F1F1F"/>
                <w:sz w:val="19"/>
              </w:rPr>
              <w:t>42,02</w:t>
            </w:r>
          </w:p>
        </w:tc>
      </w:tr>
    </w:tbl>
    <w:p/>
    <w:p>
      <w:pPr>
        <w:spacing w:before="200" w:after="120"/>
      </w:pPr>
      <w:r>
        <w:rPr>
          <w:rFonts w:ascii="Arial" w:hAnsi="Arial" w:eastAsia="Arial"/>
          <w:b/>
          <w:color w:val="1F1F1F"/>
          <w:sz w:val="25"/>
        </w:rPr>
        <w:t>Welche Erkenntnisse ergaben sich daraus?</w:t>
      </w:r>
    </w:p>
    <w:p>
      <w:pPr>
        <w:pStyle w:val="ListBullet"/>
      </w:pPr>
      <w:r>
        <w:rPr>
          <w:rFonts w:ascii="Arial" w:hAnsi="Arial" w:eastAsia="Arial"/>
          <w:color w:val="1F1F1F"/>
          <w:sz w:val="21"/>
        </w:rPr>
        <w:t>Die View zeigte, aus welchen Bestandteilen sich der Endpreis zusammensetzt.</w:t>
      </w:r>
    </w:p>
    <w:p>
      <w:pPr>
        <w:pStyle w:val="ListBullet"/>
      </w:pPr>
      <w:r>
        <w:rPr>
          <w:rFonts w:ascii="Arial" w:hAnsi="Arial" w:eastAsia="Arial"/>
          <w:color w:val="1F1F1F"/>
          <w:sz w:val="21"/>
        </w:rPr>
        <w:t>Besonders deutlich stieg der Bestandteil Energie und Vertrieb; auch die Netzkosten nahmen zu.</w:t>
      </w:r>
    </w:p>
    <w:p/>
    <w:p>
      <w:pPr>
        <w:spacing w:before="200" w:after="120"/>
      </w:pPr>
      <w:r>
        <w:rPr>
          <w:rFonts w:ascii="Arial" w:hAnsi="Arial" w:eastAsia="Arial"/>
          <w:b/>
          <w:color w:val="1F1F1F"/>
          <w:sz w:val="30"/>
        </w:rPr>
        <w:t>View 12 – v12_stromhandel_jahr</w:t>
      </w:r>
    </w:p>
    <w:p>
      <w:pPr>
        <w:spacing w:after="120" w:line="276" w:lineRule="auto"/>
      </w:pPr>
      <w:r>
        <w:rPr>
          <w:rFonts w:ascii="Arial" w:hAnsi="Arial" w:eastAsia="Arial"/>
          <w:color w:val="1F1F1F"/>
          <w:sz w:val="21"/>
        </w:rPr>
        <w:t>Diese View wurde auf Basis der Tabelle aussenhandel erstellt. Ihr Ziel war es, Import- und Exportdaten pro Jahr zu aggregieren und die Handelsbilanz sichtbar zu machen.</w:t>
      </w:r>
    </w:p>
    <w:p>
      <w:pPr>
        <w:spacing w:before="200" w:after="120"/>
      </w:pPr>
      <w:r>
        <w:rPr>
          <w:rFonts w:ascii="Arial" w:hAnsi="Arial" w:eastAsia="Arial"/>
          <w:b/>
          <w:color w:val="1F1F1F"/>
          <w:sz w:val="25"/>
        </w:rPr>
        <w:t>Ergebnis der View</w:t>
      </w:r>
    </w:p>
    <w:p>
      <w:pPr>
        <w:spacing w:after="120" w:line="276" w:lineRule="auto"/>
      </w:pPr>
      <w:r>
        <w:rPr>
          <w:rFonts w:ascii="Arial" w:hAnsi="Arial" w:eastAsia="Arial"/>
          <w:color w:val="1F1F1F"/>
          <w:sz w:val="21"/>
        </w:rPr>
        <w:t>Das Ergebnis ist eine Tabelle, in der für jedes Jahr und jede handelsart die gesamte Handelsmenge ausgewiesen wird.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tcPr>
          <w:p>
            <w:pPr>
              <w:jc w:val="center"/>
            </w:pPr>
            <w:r>
              <w:rPr>
                <w:rFonts w:ascii="Arial" w:hAnsi="Arial" w:eastAsia="Arial"/>
                <w:b/>
                <w:color w:val="1F1F1F"/>
                <w:sz w:val="20"/>
              </w:rPr>
              <w:t>Jahr</w:t>
            </w:r>
          </w:p>
        </w:tc>
        <w:tc>
          <w:tcPr>
            <w:tcW w:type="dxa" w:w="3312"/>
            <w:shd w:fill="D9E2F3"/>
          </w:tcPr>
          <w:p>
            <w:pPr>
              <w:jc w:val="center"/>
            </w:pPr>
            <w:r>
              <w:rPr>
                <w:rFonts w:ascii="Arial" w:hAnsi="Arial" w:eastAsia="Arial"/>
                <w:b/>
                <w:color w:val="1F1F1F"/>
                <w:sz w:val="20"/>
              </w:rPr>
              <w:t>Handelsart</w:t>
            </w:r>
          </w:p>
        </w:tc>
        <w:tc>
          <w:tcPr>
            <w:tcW w:type="dxa" w:w="3312"/>
            <w:shd w:fill="D9E2F3"/>
          </w:tcPr>
          <w:p>
            <w:pPr>
              <w:jc w:val="center"/>
            </w:pPr>
            <w:r>
              <w:rPr>
                <w:rFonts w:ascii="Arial" w:hAnsi="Arial" w:eastAsia="Arial"/>
                <w:b/>
                <w:color w:val="1F1F1F"/>
                <w:sz w:val="20"/>
              </w:rPr>
              <w:t>Gesamtmenge</w:t>
            </w:r>
          </w:p>
        </w:tc>
      </w:tr>
      <w:tr>
        <w:tc>
          <w:tcPr>
            <w:tcW w:type="dxa" w:w="3312"/>
            <w:vAlign w:val="center"/>
          </w:tcPr>
          <w:p>
            <w:pPr>
              <w:jc w:val="center"/>
            </w:pPr>
            <w:r>
              <w:rPr>
                <w:rFonts w:ascii="Arial" w:hAnsi="Arial" w:eastAsia="Arial"/>
                <w:color w:val="1F1F1F"/>
                <w:sz w:val="19"/>
              </w:rPr>
              <w:t>2019</w:t>
            </w:r>
          </w:p>
        </w:tc>
        <w:tc>
          <w:tcPr>
            <w:tcW w:type="dxa" w:w="3312"/>
            <w:vAlign w:val="center"/>
          </w:tcPr>
          <w:p>
            <w:pPr>
              <w:jc w:val="left"/>
            </w:pPr>
            <w:r>
              <w:rPr>
                <w:rFonts w:ascii="Arial" w:hAnsi="Arial" w:eastAsia="Arial"/>
                <w:color w:val="1F1F1F"/>
                <w:sz w:val="19"/>
              </w:rPr>
              <w:t>Export</w:t>
            </w:r>
          </w:p>
        </w:tc>
        <w:tc>
          <w:tcPr>
            <w:tcW w:type="dxa" w:w="3312"/>
            <w:vAlign w:val="center"/>
          </w:tcPr>
          <w:p>
            <w:pPr>
              <w:jc w:val="center"/>
            </w:pPr>
            <w:r>
              <w:rPr>
                <w:rFonts w:ascii="Arial" w:hAnsi="Arial" w:eastAsia="Arial"/>
                <w:color w:val="1F1F1F"/>
                <w:sz w:val="19"/>
              </w:rPr>
              <w:t>66.897.531</w:t>
            </w:r>
          </w:p>
        </w:tc>
      </w:tr>
      <w:tr>
        <w:tc>
          <w:tcPr>
            <w:tcW w:type="dxa" w:w="3312"/>
            <w:vAlign w:val="center"/>
          </w:tcPr>
          <w:p>
            <w:pPr>
              <w:jc w:val="center"/>
            </w:pPr>
            <w:r>
              <w:rPr>
                <w:rFonts w:ascii="Arial" w:hAnsi="Arial" w:eastAsia="Arial"/>
                <w:color w:val="1F1F1F"/>
                <w:sz w:val="19"/>
              </w:rPr>
              <w:t>2019</w:t>
            </w:r>
          </w:p>
        </w:tc>
        <w:tc>
          <w:tcPr>
            <w:tcW w:type="dxa" w:w="3312"/>
            <w:vAlign w:val="center"/>
          </w:tcPr>
          <w:p>
            <w:pPr>
              <w:jc w:val="left"/>
            </w:pPr>
            <w:r>
              <w:rPr>
                <w:rFonts w:ascii="Arial" w:hAnsi="Arial" w:eastAsia="Arial"/>
                <w:color w:val="1F1F1F"/>
                <w:sz w:val="19"/>
              </w:rPr>
              <w:t>Import</w:t>
            </w:r>
          </w:p>
        </w:tc>
        <w:tc>
          <w:tcPr>
            <w:tcW w:type="dxa" w:w="3312"/>
            <w:vAlign w:val="center"/>
          </w:tcPr>
          <w:p>
            <w:pPr>
              <w:jc w:val="center"/>
            </w:pPr>
            <w:r>
              <w:rPr>
                <w:rFonts w:ascii="Arial" w:hAnsi="Arial" w:eastAsia="Arial"/>
                <w:color w:val="1F1F1F"/>
                <w:sz w:val="19"/>
              </w:rPr>
              <w:t>31.218.987</w:t>
            </w:r>
          </w:p>
        </w:tc>
      </w:tr>
      <w:tr>
        <w:tc>
          <w:tcPr>
            <w:tcW w:type="dxa" w:w="3312"/>
            <w:vAlign w:val="center"/>
          </w:tcPr>
          <w:p>
            <w:pPr>
              <w:jc w:val="center"/>
            </w:pPr>
            <w:r>
              <w:rPr>
                <w:rFonts w:ascii="Arial" w:hAnsi="Arial" w:eastAsia="Arial"/>
                <w:color w:val="1F1F1F"/>
                <w:sz w:val="19"/>
              </w:rPr>
              <w:t>2023</w:t>
            </w:r>
          </w:p>
        </w:tc>
        <w:tc>
          <w:tcPr>
            <w:tcW w:type="dxa" w:w="3312"/>
            <w:vAlign w:val="center"/>
          </w:tcPr>
          <w:p>
            <w:pPr>
              <w:jc w:val="left"/>
            </w:pPr>
            <w:r>
              <w:rPr>
                <w:rFonts w:ascii="Arial" w:hAnsi="Arial" w:eastAsia="Arial"/>
                <w:color w:val="1F1F1F"/>
                <w:sz w:val="19"/>
              </w:rPr>
              <w:t>Export</w:t>
            </w:r>
          </w:p>
        </w:tc>
        <w:tc>
          <w:tcPr>
            <w:tcW w:type="dxa" w:w="3312"/>
            <w:vAlign w:val="center"/>
          </w:tcPr>
          <w:p>
            <w:pPr>
              <w:jc w:val="center"/>
            </w:pPr>
            <w:r>
              <w:rPr>
                <w:rFonts w:ascii="Arial" w:hAnsi="Arial" w:eastAsia="Arial"/>
                <w:color w:val="1F1F1F"/>
                <w:sz w:val="19"/>
              </w:rPr>
              <w:t>51.546.000</w:t>
            </w:r>
          </w:p>
        </w:tc>
      </w:tr>
      <w:tr>
        <w:tc>
          <w:tcPr>
            <w:tcW w:type="dxa" w:w="3312"/>
            <w:vAlign w:val="center"/>
          </w:tcPr>
          <w:p>
            <w:pPr>
              <w:jc w:val="center"/>
            </w:pPr>
            <w:r>
              <w:rPr>
                <w:rFonts w:ascii="Arial" w:hAnsi="Arial" w:eastAsia="Arial"/>
                <w:color w:val="1F1F1F"/>
                <w:sz w:val="19"/>
              </w:rPr>
              <w:t>2023</w:t>
            </w:r>
          </w:p>
        </w:tc>
        <w:tc>
          <w:tcPr>
            <w:tcW w:type="dxa" w:w="3312"/>
            <w:vAlign w:val="center"/>
          </w:tcPr>
          <w:p>
            <w:pPr>
              <w:jc w:val="left"/>
            </w:pPr>
            <w:r>
              <w:rPr>
                <w:rFonts w:ascii="Arial" w:hAnsi="Arial" w:eastAsia="Arial"/>
                <w:color w:val="1F1F1F"/>
                <w:sz w:val="19"/>
              </w:rPr>
              <w:t>Import</w:t>
            </w:r>
          </w:p>
        </w:tc>
        <w:tc>
          <w:tcPr>
            <w:tcW w:type="dxa" w:w="3312"/>
            <w:vAlign w:val="center"/>
          </w:tcPr>
          <w:p>
            <w:pPr>
              <w:jc w:val="center"/>
            </w:pPr>
            <w:r>
              <w:rPr>
                <w:rFonts w:ascii="Arial" w:hAnsi="Arial" w:eastAsia="Arial"/>
                <w:color w:val="1F1F1F"/>
                <w:sz w:val="19"/>
              </w:rPr>
              <w:t>63.108.000</w:t>
            </w:r>
          </w:p>
        </w:tc>
      </w:tr>
      <w:tr>
        <w:tc>
          <w:tcPr>
            <w:tcW w:type="dxa" w:w="3312"/>
            <w:vAlign w:val="center"/>
          </w:tcPr>
          <w:p>
            <w:pPr>
              <w:jc w:val="center"/>
            </w:pPr>
            <w:r>
              <w:rPr>
                <w:rFonts w:ascii="Arial" w:hAnsi="Arial" w:eastAsia="Arial"/>
                <w:color w:val="1F1F1F"/>
                <w:sz w:val="19"/>
              </w:rPr>
              <w:t>2024</w:t>
            </w:r>
          </w:p>
        </w:tc>
        <w:tc>
          <w:tcPr>
            <w:tcW w:type="dxa" w:w="3312"/>
            <w:vAlign w:val="center"/>
          </w:tcPr>
          <w:p>
            <w:pPr>
              <w:jc w:val="left"/>
            </w:pPr>
            <w:r>
              <w:rPr>
                <w:rFonts w:ascii="Arial" w:hAnsi="Arial" w:eastAsia="Arial"/>
                <w:color w:val="1F1F1F"/>
                <w:sz w:val="19"/>
              </w:rPr>
              <w:t>Export</w:t>
            </w:r>
          </w:p>
        </w:tc>
        <w:tc>
          <w:tcPr>
            <w:tcW w:type="dxa" w:w="3312"/>
            <w:vAlign w:val="center"/>
          </w:tcPr>
          <w:p>
            <w:pPr>
              <w:jc w:val="center"/>
            </w:pPr>
            <w:r>
              <w:rPr>
                <w:rFonts w:ascii="Arial" w:hAnsi="Arial" w:eastAsia="Arial"/>
                <w:color w:val="1F1F1F"/>
                <w:sz w:val="19"/>
              </w:rPr>
              <w:t>48.901.000</w:t>
            </w:r>
          </w:p>
        </w:tc>
      </w:tr>
      <w:tr>
        <w:tc>
          <w:tcPr>
            <w:tcW w:type="dxa" w:w="3312"/>
            <w:vAlign w:val="center"/>
          </w:tcPr>
          <w:p>
            <w:pPr>
              <w:jc w:val="center"/>
            </w:pPr>
            <w:r>
              <w:rPr>
                <w:rFonts w:ascii="Arial" w:hAnsi="Arial" w:eastAsia="Arial"/>
                <w:color w:val="1F1F1F"/>
                <w:sz w:val="19"/>
              </w:rPr>
              <w:t>2024</w:t>
            </w:r>
          </w:p>
        </w:tc>
        <w:tc>
          <w:tcPr>
            <w:tcW w:type="dxa" w:w="3312"/>
            <w:vAlign w:val="center"/>
          </w:tcPr>
          <w:p>
            <w:pPr>
              <w:jc w:val="left"/>
            </w:pPr>
            <w:r>
              <w:rPr>
                <w:rFonts w:ascii="Arial" w:hAnsi="Arial" w:eastAsia="Arial"/>
                <w:color w:val="1F1F1F"/>
                <w:sz w:val="19"/>
              </w:rPr>
              <w:t>Import</w:t>
            </w:r>
          </w:p>
        </w:tc>
        <w:tc>
          <w:tcPr>
            <w:tcW w:type="dxa" w:w="3312"/>
            <w:vAlign w:val="center"/>
          </w:tcPr>
          <w:p>
            <w:pPr>
              <w:jc w:val="center"/>
            </w:pPr>
            <w:r>
              <w:rPr>
                <w:rFonts w:ascii="Arial" w:hAnsi="Arial" w:eastAsia="Arial"/>
                <w:color w:val="1F1F1F"/>
                <w:sz w:val="19"/>
              </w:rPr>
              <w:t>78.016.000</w:t>
            </w:r>
          </w:p>
        </w:tc>
      </w:tr>
    </w:tbl>
    <w:p/>
    <w:p>
      <w:pPr>
        <w:spacing w:before="200" w:after="120"/>
      </w:pPr>
      <w:r>
        <w:rPr>
          <w:rFonts w:ascii="Arial" w:hAnsi="Arial" w:eastAsia="Arial"/>
          <w:b/>
          <w:color w:val="1F1F1F"/>
          <w:sz w:val="25"/>
        </w:rPr>
        <w:t>Welche Erkenntnisse ergaben sich daraus?</w:t>
      </w:r>
    </w:p>
    <w:p>
      <w:pPr>
        <w:pStyle w:val="ListBullet"/>
      </w:pPr>
      <w:r>
        <w:rPr>
          <w:rFonts w:ascii="Arial" w:hAnsi="Arial" w:eastAsia="Arial"/>
          <w:color w:val="1F1F1F"/>
          <w:sz w:val="21"/>
        </w:rPr>
        <w:t>Diese View machte sichtbar, dass die Importe ab 2023 die Exporte überstiegen und die Handelsbilanz negativ wurde.</w:t>
      </w:r>
    </w:p>
    <w:p>
      <w:pPr>
        <w:pStyle w:val="ListBullet"/>
      </w:pPr>
      <w:r>
        <w:rPr>
          <w:rFonts w:ascii="Arial" w:hAnsi="Arial" w:eastAsia="Arial"/>
          <w:color w:val="1F1F1F"/>
          <w:sz w:val="21"/>
        </w:rPr>
        <w:t>Damit bestätigte sich, dass ein Teil des Ausgleichs des Kernenergieausstiegs über höhere Importe erfolgte.</w:t>
      </w:r>
    </w:p>
    <w:p/>
    <w:p>
      <w:pPr>
        <w:spacing w:before="200" w:after="120"/>
      </w:pPr>
      <w:r>
        <w:rPr>
          <w:rFonts w:ascii="Arial" w:hAnsi="Arial" w:eastAsia="Arial"/>
          <w:b/>
          <w:color w:val="1F1F1F"/>
          <w:sz w:val="30"/>
        </w:rPr>
        <w:t>View 13 – v13_vw_brennstoffpreise_vorjahr</w:t>
      </w:r>
    </w:p>
    <w:p>
      <w:pPr>
        <w:spacing w:after="120" w:line="276" w:lineRule="auto"/>
      </w:pPr>
      <w:r>
        <w:rPr>
          <w:rFonts w:ascii="Arial" w:hAnsi="Arial" w:eastAsia="Arial"/>
          <w:color w:val="1F1F1F"/>
          <w:sz w:val="21"/>
        </w:rPr>
        <w:t>Diese View wurde auf Basis der Tabelle brennstoffpreise erstellt, die zuvor aus der Datei fuel_prices.csv vorbereitet wurde. Ziel war es, den Brennstoffpreisindex und die Veränderung gegenüber dem Vorjahr darzustellen.</w:t>
      </w:r>
    </w:p>
    <w:p>
      <w:pPr>
        <w:spacing w:before="200" w:after="120"/>
      </w:pPr>
      <w:r>
        <w:rPr>
          <w:rFonts w:ascii="Arial" w:hAnsi="Arial" w:eastAsia="Arial"/>
          <w:b/>
          <w:color w:val="1F1F1F"/>
          <w:sz w:val="25"/>
        </w:rPr>
        <w:t>SQL-Codeausschnitt</w:t>
      </w:r>
    </w:p>
    <w:p>
      <w:pPr>
        <w:spacing w:before="0" w:after="0" w:line="252" w:lineRule="auto"/>
        <w:ind w:left="216" w:right="216"/>
        <w:pBdr>
          <w:top w:val="single" w:sz="4" w:space="6" w:color="D9D9D9"/>
          <w:left w:val="single" w:sz="4" w:space="6" w:color="D9D9D9"/>
          <w:bottom w:val="single" w:sz="4" w:space="6" w:color="D9D9D9"/>
          <w:right w:val="single" w:sz="4" w:space="6" w:color="D9D9D9"/>
        </w:pBdr>
        <w:shd w:fill="F3F3F3"/>
      </w:pPr>
      <w:r>
        <w:rPr>
          <w:rFonts w:ascii="Consolas" w:hAnsi="Consolas" w:eastAsia="Consolas"/>
          <w:b/>
          <w:color w:val="7030A0"/>
          <w:sz w:val="19"/>
        </w:rPr>
        <w:t xml:space="preserve">CREATE VIEW </w:t>
      </w:r>
      <w:r>
        <w:rPr>
          <w:rFonts w:ascii="Consolas" w:hAnsi="Consolas" w:eastAsia="Consolas"/>
          <w:b w:val="0"/>
          <w:color w:val="994C00"/>
          <w:sz w:val="19"/>
        </w:rPr>
        <w:t>vw_fuel_price_yoy</w:t>
      </w:r>
      <w:r>
        <w:rPr>
          <w:rFonts w:ascii="Consolas" w:hAnsi="Consolas" w:eastAsia="Consolas"/>
          <w:b/>
          <w:color w:val="7030A0"/>
          <w:sz w:val="19"/>
        </w:rPr>
        <w:t xml:space="preserve"> AS</w:t>
      </w:r>
    </w:p>
    <w:p>
      <w:pPr>
        <w:spacing w:before="0" w:after="0" w:line="252" w:lineRule="auto"/>
        <w:ind w:left="216" w:right="216"/>
        <w:shd w:fill="F3F3F3"/>
      </w:pPr>
      <w:r>
        <w:rPr>
          <w:rFonts w:ascii="Consolas" w:hAnsi="Consolas" w:eastAsia="Consolas"/>
          <w:b/>
          <w:color w:val="7030A0"/>
          <w:sz w:val="19"/>
        </w:rPr>
        <w:t>SELECT</w:t>
      </w:r>
    </w:p>
    <w:p>
      <w:pPr>
        <w:spacing w:before="0" w:after="0" w:line="252" w:lineRule="auto"/>
        <w:ind w:left="216" w:right="216"/>
        <w:shd w:fill="F3F3F3"/>
      </w:pPr>
      <w:r>
        <w:rPr>
          <w:rFonts w:ascii="Consolas" w:hAnsi="Consolas" w:eastAsia="Consolas"/>
          <w:b w:val="0"/>
          <w:color w:val="1F1F1F"/>
          <w:sz w:val="19"/>
        </w:rPr>
        <w:t xml:space="preserve">    jahr,</w:t>
      </w:r>
    </w:p>
    <w:p>
      <w:pPr>
        <w:spacing w:before="0" w:after="0" w:line="252" w:lineRule="auto"/>
        <w:ind w:left="216" w:right="216"/>
        <w:shd w:fill="F3F3F3"/>
      </w:pPr>
      <w:r>
        <w:rPr>
          <w:rFonts w:ascii="Consolas" w:hAnsi="Consolas" w:eastAsia="Consolas"/>
          <w:b w:val="0"/>
          <w:color w:val="1F1F1F"/>
          <w:sz w:val="19"/>
        </w:rPr>
        <w:t xml:space="preserve">    brennstoffart,</w:t>
      </w:r>
    </w:p>
    <w:p>
      <w:pPr>
        <w:spacing w:before="0" w:after="0" w:line="252" w:lineRule="auto"/>
        <w:ind w:left="216" w:right="216"/>
        <w:shd w:fill="F3F3F3"/>
      </w:pPr>
      <w:r>
        <w:rPr>
          <w:rFonts w:ascii="Consolas" w:hAnsi="Consolas" w:eastAsia="Consolas"/>
          <w:b w:val="0"/>
          <w:color w:val="1F1F1F"/>
          <w:sz w:val="19"/>
        </w:rPr>
        <w:t xml:space="preserve">    preisindex,</w:t>
      </w:r>
    </w:p>
    <w:p>
      <w:pPr>
        <w:spacing w:before="0" w:after="0" w:line="252" w:lineRule="auto"/>
        <w:ind w:left="216" w:right="216"/>
        <w:shd w:fill="F3F3F3"/>
      </w:pPr>
      <w:r>
        <w:rPr>
          <w:rFonts w:ascii="Consolas" w:hAnsi="Consolas" w:eastAsia="Consolas"/>
          <w:b w:val="0"/>
          <w:color w:val="1F1F1F"/>
          <w:sz w:val="19"/>
        </w:rPr>
        <w:t xml:space="preserve">    </w:t>
      </w:r>
      <w:r>
        <w:rPr>
          <w:rFonts w:ascii="Consolas" w:hAnsi="Consolas" w:eastAsia="Consolas"/>
          <w:b/>
          <w:color w:val="BF9000"/>
          <w:sz w:val="19"/>
        </w:rPr>
        <w:t>LAG</w:t>
      </w:r>
      <w:r>
        <w:rPr>
          <w:rFonts w:ascii="Consolas" w:hAnsi="Consolas" w:eastAsia="Consolas"/>
          <w:b w:val="0"/>
          <w:color w:val="1F1F1F"/>
          <w:sz w:val="19"/>
        </w:rPr>
        <w:t>(preisindex) OVER (</w:t>
      </w:r>
    </w:p>
    <w:p>
      <w:pPr>
        <w:spacing w:before="0" w:after="0" w:line="252" w:lineRule="auto"/>
        <w:ind w:left="216" w:right="216"/>
        <w:shd w:fill="F3F3F3"/>
      </w:pPr>
      <w:r>
        <w:rPr>
          <w:rFonts w:ascii="Consolas" w:hAnsi="Consolas" w:eastAsia="Consolas"/>
          <w:b w:val="0"/>
          <w:color w:val="1F1F1F"/>
          <w:sz w:val="19"/>
        </w:rPr>
        <w:t xml:space="preserve">        PARTITION BY brennstoffart</w:t>
      </w:r>
    </w:p>
    <w:p>
      <w:pPr>
        <w:spacing w:before="0" w:after="0" w:line="252" w:lineRule="auto"/>
        <w:ind w:left="216" w:right="216"/>
        <w:shd w:fill="F3F3F3"/>
      </w:pPr>
      <w:r>
        <w:rPr>
          <w:rFonts w:ascii="Consolas" w:hAnsi="Consolas" w:eastAsia="Consolas"/>
          <w:b w:val="0"/>
          <w:color w:val="1F1F1F"/>
          <w:sz w:val="19"/>
        </w:rPr>
        <w:t xml:space="preserve">        ORDER BY jahr</w:t>
      </w:r>
    </w:p>
    <w:p>
      <w:pPr>
        <w:spacing w:before="0" w:after="0" w:line="252" w:lineRule="auto"/>
        <w:ind w:left="216" w:right="216"/>
        <w:shd w:fill="F3F3F3"/>
      </w:pPr>
      <w:r>
        <w:rPr>
          <w:rFonts w:ascii="Consolas" w:hAnsi="Consolas" w:eastAsia="Consolas"/>
          <w:b w:val="0"/>
          <w:color w:val="1F1F1F"/>
          <w:sz w:val="19"/>
        </w:rPr>
        <w:t xml:space="preserve">    ) AS vorheriges_jahr,</w:t>
      </w:r>
    </w:p>
    <w:p>
      <w:pPr>
        <w:spacing w:before="0" w:after="0" w:line="252" w:lineRule="auto"/>
        <w:ind w:left="216" w:right="216"/>
        <w:shd w:fill="F3F3F3"/>
      </w:pPr>
      <w:r>
        <w:rPr>
          <w:rFonts w:ascii="Consolas" w:hAnsi="Consolas" w:eastAsia="Consolas"/>
          <w:b w:val="0"/>
          <w:color w:val="1F1F1F"/>
          <w:sz w:val="19"/>
        </w:rPr>
        <w:t xml:space="preserve">    </w:t>
      </w:r>
      <w:r>
        <w:rPr>
          <w:rFonts w:ascii="Consolas" w:hAnsi="Consolas" w:eastAsia="Consolas"/>
          <w:b/>
          <w:color w:val="BF9000"/>
          <w:sz w:val="19"/>
        </w:rPr>
        <w:t>ROUND</w:t>
      </w:r>
      <w:r>
        <w:rPr>
          <w:rFonts w:ascii="Consolas" w:hAnsi="Consolas" w:eastAsia="Consolas"/>
          <w:b w:val="0"/>
          <w:color w:val="1F1F1F"/>
          <w:sz w:val="19"/>
        </w:rPr>
        <w:t>(</w:t>
      </w:r>
    </w:p>
    <w:p>
      <w:pPr>
        <w:spacing w:before="0" w:after="0" w:line="252" w:lineRule="auto"/>
        <w:ind w:left="216" w:right="216"/>
        <w:shd w:fill="F3F3F3"/>
      </w:pPr>
      <w:r>
        <w:rPr>
          <w:rFonts w:ascii="Consolas" w:hAnsi="Consolas" w:eastAsia="Consolas"/>
          <w:b w:val="0"/>
          <w:color w:val="1F1F1F"/>
          <w:sz w:val="19"/>
        </w:rPr>
        <w:t xml:space="preserve">        (preisindex - </w:t>
      </w:r>
      <w:r>
        <w:rPr>
          <w:rFonts w:ascii="Consolas" w:hAnsi="Consolas" w:eastAsia="Consolas"/>
          <w:b/>
          <w:color w:val="BF9000"/>
          <w:sz w:val="19"/>
        </w:rPr>
        <w:t>LAG</w:t>
      </w:r>
      <w:r>
        <w:rPr>
          <w:rFonts w:ascii="Consolas" w:hAnsi="Consolas" w:eastAsia="Consolas"/>
          <w:b w:val="0"/>
          <w:color w:val="1F1F1F"/>
          <w:sz w:val="19"/>
        </w:rPr>
        <w:t>(preisindex) OVER (PARTITION BY brennstoffart ORDER BY jahr))</w:t>
      </w:r>
    </w:p>
    <w:p>
      <w:pPr>
        <w:spacing w:before="0" w:after="0" w:line="252" w:lineRule="auto"/>
        <w:ind w:left="216" w:right="216"/>
        <w:shd w:fill="F3F3F3"/>
      </w:pPr>
      <w:r>
        <w:rPr>
          <w:rFonts w:ascii="Consolas" w:hAnsi="Consolas" w:eastAsia="Consolas"/>
          <w:b w:val="0"/>
          <w:color w:val="1F1F1F"/>
          <w:sz w:val="19"/>
        </w:rPr>
        <w:t xml:space="preserve">        / </w:t>
      </w:r>
      <w:r>
        <w:rPr>
          <w:rFonts w:ascii="Consolas" w:hAnsi="Consolas" w:eastAsia="Consolas"/>
          <w:b/>
          <w:color w:val="BF9000"/>
          <w:sz w:val="19"/>
        </w:rPr>
        <w:t>LAG</w:t>
      </w:r>
      <w:r>
        <w:rPr>
          <w:rFonts w:ascii="Consolas" w:hAnsi="Consolas" w:eastAsia="Consolas"/>
          <w:b w:val="0"/>
          <w:color w:val="1F1F1F"/>
          <w:sz w:val="19"/>
        </w:rPr>
        <w:t>(preisindex) OVER (PARTITION BY brennstoffart ORDER BY jahr) * 100,</w:t>
      </w:r>
    </w:p>
    <w:p>
      <w:pPr>
        <w:spacing w:before="0" w:after="0" w:line="252" w:lineRule="auto"/>
        <w:ind w:left="216" w:right="216"/>
        <w:shd w:fill="F3F3F3"/>
      </w:pPr>
      <w:r>
        <w:rPr>
          <w:rFonts w:ascii="Consolas" w:hAnsi="Consolas" w:eastAsia="Consolas"/>
          <w:b w:val="0"/>
          <w:color w:val="1F1F1F"/>
          <w:sz w:val="19"/>
        </w:rPr>
        <w:t xml:space="preserve">        2</w:t>
      </w:r>
    </w:p>
    <w:p>
      <w:pPr>
        <w:spacing w:before="0" w:after="0" w:line="252" w:lineRule="auto"/>
        <w:ind w:left="216" w:right="216"/>
        <w:shd w:fill="F3F3F3"/>
      </w:pPr>
      <w:r>
        <w:rPr>
          <w:rFonts w:ascii="Consolas" w:hAnsi="Consolas" w:eastAsia="Consolas"/>
          <w:b w:val="0"/>
          <w:color w:val="1F1F1F"/>
          <w:sz w:val="19"/>
        </w:rPr>
        <w:t xml:space="preserve">    ) AS yoy_change</w:t>
      </w:r>
    </w:p>
    <w:p>
      <w:pPr>
        <w:spacing w:before="0" w:after="0" w:line="252" w:lineRule="auto"/>
        <w:ind w:left="216" w:right="216"/>
        <w:shd w:fill="F3F3F3"/>
      </w:pPr>
      <w:r>
        <w:rPr>
          <w:rFonts w:ascii="Consolas" w:hAnsi="Consolas" w:eastAsia="Consolas"/>
          <w:b/>
          <w:color w:val="7030A0"/>
          <w:sz w:val="19"/>
        </w:rPr>
        <w:t xml:space="preserve">FROM </w:t>
      </w:r>
      <w:r>
        <w:rPr>
          <w:rFonts w:ascii="Consolas" w:hAnsi="Consolas" w:eastAsia="Consolas"/>
          <w:b w:val="0"/>
          <w:color w:val="994C00"/>
          <w:sz w:val="19"/>
        </w:rPr>
        <w:t>brennstoffpreise</w:t>
      </w:r>
      <w:r>
        <w:rPr>
          <w:rFonts w:ascii="Consolas" w:hAnsi="Consolas" w:eastAsia="Consolas"/>
          <w:b w:val="0"/>
          <w:color w:val="1F1F1F"/>
          <w:sz w:val="19"/>
        </w:rPr>
        <w:t>;</w:t>
      </w:r>
    </w:p>
    <w:p/>
    <w:p>
      <w:pPr>
        <w:spacing w:before="200" w:after="120"/>
      </w:pPr>
      <w:r>
        <w:rPr>
          <w:rFonts w:ascii="Arial" w:hAnsi="Arial" w:eastAsia="Arial"/>
          <w:b/>
          <w:color w:val="1F1F1F"/>
          <w:sz w:val="25"/>
        </w:rPr>
        <w:t>Ergebnis der View</w:t>
      </w:r>
    </w:p>
    <w:p>
      <w:pPr>
        <w:spacing w:after="120" w:line="276" w:lineRule="auto"/>
      </w:pPr>
      <w:r>
        <w:rPr>
          <w:rFonts w:ascii="Arial" w:hAnsi="Arial" w:eastAsia="Arial"/>
          <w:color w:val="1F1F1F"/>
          <w:sz w:val="21"/>
        </w:rPr>
        <w:t>Das Ergebnis ist eine Tabelle mit den Feldern jahr, brennstoffart, preisindex, vorheriges_jahr und yoy_change.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2F3"/>
          </w:tcPr>
          <w:p>
            <w:pPr>
              <w:jc w:val="center"/>
            </w:pPr>
            <w:r>
              <w:rPr>
                <w:rFonts w:ascii="Arial" w:hAnsi="Arial" w:eastAsia="Arial"/>
                <w:b/>
                <w:color w:val="1F1F1F"/>
                <w:sz w:val="20"/>
              </w:rPr>
              <w:t>Jahr</w:t>
            </w:r>
          </w:p>
        </w:tc>
        <w:tc>
          <w:tcPr>
            <w:tcW w:type="dxa" w:w="1987"/>
            <w:shd w:fill="D9E2F3"/>
          </w:tcPr>
          <w:p>
            <w:pPr>
              <w:jc w:val="center"/>
            </w:pPr>
            <w:r>
              <w:rPr>
                <w:rFonts w:ascii="Arial" w:hAnsi="Arial" w:eastAsia="Arial"/>
                <w:b/>
                <w:color w:val="1F1F1F"/>
                <w:sz w:val="20"/>
              </w:rPr>
              <w:t>Brennstoffart</w:t>
            </w:r>
          </w:p>
        </w:tc>
        <w:tc>
          <w:tcPr>
            <w:tcW w:type="dxa" w:w="1987"/>
            <w:shd w:fill="D9E2F3"/>
          </w:tcPr>
          <w:p>
            <w:pPr>
              <w:jc w:val="center"/>
            </w:pPr>
            <w:r>
              <w:rPr>
                <w:rFonts w:ascii="Arial" w:hAnsi="Arial" w:eastAsia="Arial"/>
                <w:b/>
                <w:color w:val="1F1F1F"/>
                <w:sz w:val="20"/>
              </w:rPr>
              <w:t>Preisindex</w:t>
            </w:r>
          </w:p>
        </w:tc>
        <w:tc>
          <w:tcPr>
            <w:tcW w:type="dxa" w:w="1987"/>
            <w:shd w:fill="D9E2F3"/>
          </w:tcPr>
          <w:p>
            <w:pPr>
              <w:jc w:val="center"/>
            </w:pPr>
            <w:r>
              <w:rPr>
                <w:rFonts w:ascii="Arial" w:hAnsi="Arial" w:eastAsia="Arial"/>
                <w:b/>
                <w:color w:val="1F1F1F"/>
                <w:sz w:val="20"/>
              </w:rPr>
              <w:t>Vorjahr</w:t>
            </w:r>
          </w:p>
        </w:tc>
        <w:tc>
          <w:tcPr>
            <w:tcW w:type="dxa" w:w="1987"/>
            <w:shd w:fill="D9E2F3"/>
          </w:tcPr>
          <w:p>
            <w:pPr>
              <w:jc w:val="center"/>
            </w:pPr>
            <w:r>
              <w:rPr>
                <w:rFonts w:ascii="Arial" w:hAnsi="Arial" w:eastAsia="Arial"/>
                <w:b/>
                <w:color w:val="1F1F1F"/>
                <w:sz w:val="20"/>
              </w:rPr>
              <w:t>YoY-Veränderung</w:t>
            </w:r>
          </w:p>
        </w:tc>
      </w:tr>
      <w:tr>
        <w:tc>
          <w:tcPr>
            <w:tcW w:type="dxa" w:w="1987"/>
            <w:vAlign w:val="center"/>
          </w:tcPr>
          <w:p>
            <w:pPr>
              <w:jc w:val="center"/>
            </w:pPr>
            <w:r>
              <w:rPr>
                <w:rFonts w:ascii="Arial" w:hAnsi="Arial" w:eastAsia="Arial"/>
                <w:color w:val="1F1F1F"/>
                <w:sz w:val="19"/>
              </w:rPr>
              <w:t>2021</w:t>
            </w:r>
          </w:p>
        </w:tc>
        <w:tc>
          <w:tcPr>
            <w:tcW w:type="dxa" w:w="1987"/>
            <w:vAlign w:val="center"/>
          </w:tcPr>
          <w:p>
            <w:pPr>
              <w:jc w:val="left"/>
            </w:pPr>
            <w:r>
              <w:rPr>
                <w:rFonts w:ascii="Arial" w:hAnsi="Arial" w:eastAsia="Arial"/>
                <w:color w:val="1F1F1F"/>
                <w:sz w:val="19"/>
              </w:rPr>
              <w:t>Erdgas</w:t>
            </w:r>
          </w:p>
        </w:tc>
        <w:tc>
          <w:tcPr>
            <w:tcW w:type="dxa" w:w="1987"/>
            <w:vAlign w:val="center"/>
          </w:tcPr>
          <w:p>
            <w:pPr>
              <w:jc w:val="center"/>
            </w:pPr>
            <w:r>
              <w:rPr>
                <w:rFonts w:ascii="Arial" w:hAnsi="Arial" w:eastAsia="Arial"/>
                <w:color w:val="1F1F1F"/>
                <w:sz w:val="19"/>
              </w:rPr>
              <w:t>100,0</w:t>
            </w:r>
          </w:p>
        </w:tc>
        <w:tc>
          <w:tcPr>
            <w:tcW w:type="dxa" w:w="1987"/>
            <w:vAlign w:val="center"/>
          </w:tcPr>
          <w:p>
            <w:pPr>
              <w:jc w:val="center"/>
            </w:pPr>
            <w:r>
              <w:rPr>
                <w:rFonts w:ascii="Arial" w:hAnsi="Arial" w:eastAsia="Arial"/>
                <w:color w:val="1F1F1F"/>
                <w:sz w:val="19"/>
              </w:rPr>
              <w:t>41,9</w:t>
            </w:r>
          </w:p>
        </w:tc>
        <w:tc>
          <w:tcPr>
            <w:tcW w:type="dxa" w:w="1987"/>
            <w:vAlign w:val="center"/>
          </w:tcPr>
          <w:p>
            <w:pPr>
              <w:jc w:val="center"/>
            </w:pPr>
            <w:r>
              <w:rPr>
                <w:rFonts w:ascii="Arial" w:hAnsi="Arial" w:eastAsia="Arial"/>
                <w:color w:val="1F1F1F"/>
                <w:sz w:val="19"/>
              </w:rPr>
              <w:t>138,66 %</w:t>
            </w:r>
          </w:p>
        </w:tc>
      </w:tr>
      <w:tr>
        <w:tc>
          <w:tcPr>
            <w:tcW w:type="dxa" w:w="1987"/>
            <w:vAlign w:val="center"/>
          </w:tcPr>
          <w:p>
            <w:pPr>
              <w:jc w:val="center"/>
            </w:pPr>
            <w:r>
              <w:rPr>
                <w:rFonts w:ascii="Arial" w:hAnsi="Arial" w:eastAsia="Arial"/>
                <w:color w:val="1F1F1F"/>
                <w:sz w:val="19"/>
              </w:rPr>
              <w:t>2022</w:t>
            </w:r>
          </w:p>
        </w:tc>
        <w:tc>
          <w:tcPr>
            <w:tcW w:type="dxa" w:w="1987"/>
            <w:vAlign w:val="center"/>
          </w:tcPr>
          <w:p>
            <w:pPr>
              <w:jc w:val="left"/>
            </w:pPr>
            <w:r>
              <w:rPr>
                <w:rFonts w:ascii="Arial" w:hAnsi="Arial" w:eastAsia="Arial"/>
                <w:color w:val="1F1F1F"/>
                <w:sz w:val="19"/>
              </w:rPr>
              <w:t>Erdgas</w:t>
            </w:r>
          </w:p>
        </w:tc>
        <w:tc>
          <w:tcPr>
            <w:tcW w:type="dxa" w:w="1987"/>
            <w:vAlign w:val="center"/>
          </w:tcPr>
          <w:p>
            <w:pPr>
              <w:jc w:val="center"/>
            </w:pPr>
            <w:r>
              <w:rPr>
                <w:rFonts w:ascii="Arial" w:hAnsi="Arial" w:eastAsia="Arial"/>
                <w:color w:val="1F1F1F"/>
                <w:sz w:val="19"/>
              </w:rPr>
              <w:t>252,2</w:t>
            </w:r>
          </w:p>
        </w:tc>
        <w:tc>
          <w:tcPr>
            <w:tcW w:type="dxa" w:w="1987"/>
            <w:vAlign w:val="center"/>
          </w:tcPr>
          <w:p>
            <w:pPr>
              <w:jc w:val="center"/>
            </w:pPr>
            <w:r>
              <w:rPr>
                <w:rFonts w:ascii="Arial" w:hAnsi="Arial" w:eastAsia="Arial"/>
                <w:color w:val="1F1F1F"/>
                <w:sz w:val="19"/>
              </w:rPr>
              <w:t>100,0</w:t>
            </w:r>
          </w:p>
        </w:tc>
        <w:tc>
          <w:tcPr>
            <w:tcW w:type="dxa" w:w="1987"/>
            <w:vAlign w:val="center"/>
          </w:tcPr>
          <w:p>
            <w:pPr>
              <w:jc w:val="center"/>
            </w:pPr>
            <w:r>
              <w:rPr>
                <w:rFonts w:ascii="Arial" w:hAnsi="Arial" w:eastAsia="Arial"/>
                <w:color w:val="1F1F1F"/>
                <w:sz w:val="19"/>
              </w:rPr>
              <w:t>152,20 %</w:t>
            </w:r>
          </w:p>
        </w:tc>
      </w:tr>
      <w:tr>
        <w:tc>
          <w:tcPr>
            <w:tcW w:type="dxa" w:w="1987"/>
            <w:vAlign w:val="center"/>
          </w:tcPr>
          <w:p>
            <w:pPr>
              <w:jc w:val="center"/>
            </w:pPr>
            <w:r>
              <w:rPr>
                <w:rFonts w:ascii="Arial" w:hAnsi="Arial" w:eastAsia="Arial"/>
                <w:color w:val="1F1F1F"/>
                <w:sz w:val="19"/>
              </w:rPr>
              <w:t>2023</w:t>
            </w:r>
          </w:p>
        </w:tc>
        <w:tc>
          <w:tcPr>
            <w:tcW w:type="dxa" w:w="1987"/>
            <w:vAlign w:val="center"/>
          </w:tcPr>
          <w:p>
            <w:pPr>
              <w:jc w:val="left"/>
            </w:pPr>
            <w:r>
              <w:rPr>
                <w:rFonts w:ascii="Arial" w:hAnsi="Arial" w:eastAsia="Arial"/>
                <w:color w:val="1F1F1F"/>
                <w:sz w:val="19"/>
              </w:rPr>
              <w:t>Erdgas</w:t>
            </w:r>
          </w:p>
        </w:tc>
        <w:tc>
          <w:tcPr>
            <w:tcW w:type="dxa" w:w="1987"/>
            <w:vAlign w:val="center"/>
          </w:tcPr>
          <w:p>
            <w:pPr>
              <w:jc w:val="center"/>
            </w:pPr>
            <w:r>
              <w:rPr>
                <w:rFonts w:ascii="Arial" w:hAnsi="Arial" w:eastAsia="Arial"/>
                <w:color w:val="1F1F1F"/>
                <w:sz w:val="19"/>
              </w:rPr>
              <w:t>123,7</w:t>
            </w:r>
          </w:p>
        </w:tc>
        <w:tc>
          <w:tcPr>
            <w:tcW w:type="dxa" w:w="1987"/>
            <w:vAlign w:val="center"/>
          </w:tcPr>
          <w:p>
            <w:pPr>
              <w:jc w:val="center"/>
            </w:pPr>
            <w:r>
              <w:rPr>
                <w:rFonts w:ascii="Arial" w:hAnsi="Arial" w:eastAsia="Arial"/>
                <w:color w:val="1F1F1F"/>
                <w:sz w:val="19"/>
              </w:rPr>
              <w:t>252,2</w:t>
            </w:r>
          </w:p>
        </w:tc>
        <w:tc>
          <w:tcPr>
            <w:tcW w:type="dxa" w:w="1987"/>
            <w:vAlign w:val="center"/>
          </w:tcPr>
          <w:p>
            <w:pPr>
              <w:jc w:val="center"/>
            </w:pPr>
            <w:r>
              <w:rPr>
                <w:rFonts w:ascii="Arial" w:hAnsi="Arial" w:eastAsia="Arial"/>
                <w:color w:val="1F1F1F"/>
                <w:sz w:val="19"/>
              </w:rPr>
              <w:t>-50,95 %</w:t>
            </w:r>
          </w:p>
        </w:tc>
      </w:tr>
      <w:tr>
        <w:tc>
          <w:tcPr>
            <w:tcW w:type="dxa" w:w="1987"/>
            <w:vAlign w:val="center"/>
          </w:tcPr>
          <w:p>
            <w:pPr>
              <w:jc w:val="center"/>
            </w:pPr>
            <w:r>
              <w:rPr>
                <w:rFonts w:ascii="Arial" w:hAnsi="Arial" w:eastAsia="Arial"/>
                <w:color w:val="1F1F1F"/>
                <w:sz w:val="19"/>
              </w:rPr>
              <w:t>2022</w:t>
            </w:r>
          </w:p>
        </w:tc>
        <w:tc>
          <w:tcPr>
            <w:tcW w:type="dxa" w:w="1987"/>
            <w:vAlign w:val="center"/>
          </w:tcPr>
          <w:p>
            <w:pPr>
              <w:jc w:val="left"/>
            </w:pPr>
            <w:r>
              <w:rPr>
                <w:rFonts w:ascii="Arial" w:hAnsi="Arial" w:eastAsia="Arial"/>
                <w:color w:val="1F1F1F"/>
                <w:sz w:val="19"/>
              </w:rPr>
              <w:t>Steinkohle</w:t>
            </w:r>
          </w:p>
        </w:tc>
        <w:tc>
          <w:tcPr>
            <w:tcW w:type="dxa" w:w="1987"/>
            <w:vAlign w:val="center"/>
          </w:tcPr>
          <w:p>
            <w:pPr>
              <w:jc w:val="center"/>
            </w:pPr>
            <w:r>
              <w:rPr>
                <w:rFonts w:ascii="Arial" w:hAnsi="Arial" w:eastAsia="Arial"/>
                <w:color w:val="1F1F1F"/>
                <w:sz w:val="19"/>
              </w:rPr>
              <w:t>259,1</w:t>
            </w:r>
          </w:p>
        </w:tc>
        <w:tc>
          <w:tcPr>
            <w:tcW w:type="dxa" w:w="1987"/>
            <w:vAlign w:val="center"/>
          </w:tcPr>
          <w:p>
            <w:pPr>
              <w:jc w:val="center"/>
            </w:pPr>
            <w:r>
              <w:rPr>
                <w:rFonts w:ascii="Arial" w:hAnsi="Arial" w:eastAsia="Arial"/>
                <w:color w:val="1F1F1F"/>
                <w:sz w:val="19"/>
              </w:rPr>
              <w:t>100,0</w:t>
            </w:r>
          </w:p>
        </w:tc>
        <w:tc>
          <w:tcPr>
            <w:tcW w:type="dxa" w:w="1987"/>
            <w:vAlign w:val="center"/>
          </w:tcPr>
          <w:p>
            <w:pPr>
              <w:jc w:val="center"/>
            </w:pPr>
            <w:r>
              <w:rPr>
                <w:rFonts w:ascii="Arial" w:hAnsi="Arial" w:eastAsia="Arial"/>
                <w:color w:val="1F1F1F"/>
                <w:sz w:val="19"/>
              </w:rPr>
              <w:t>159,10 %</w:t>
            </w:r>
          </w:p>
        </w:tc>
      </w:tr>
      <w:tr>
        <w:tc>
          <w:tcPr>
            <w:tcW w:type="dxa" w:w="1987"/>
            <w:vAlign w:val="center"/>
          </w:tcPr>
          <w:p>
            <w:pPr>
              <w:jc w:val="center"/>
            </w:pPr>
            <w:r>
              <w:rPr>
                <w:rFonts w:ascii="Arial" w:hAnsi="Arial" w:eastAsia="Arial"/>
                <w:color w:val="1F1F1F"/>
                <w:sz w:val="19"/>
              </w:rPr>
              <w:t>2022</w:t>
            </w:r>
          </w:p>
        </w:tc>
        <w:tc>
          <w:tcPr>
            <w:tcW w:type="dxa" w:w="1987"/>
            <w:vAlign w:val="center"/>
          </w:tcPr>
          <w:p>
            <w:pPr>
              <w:jc w:val="left"/>
            </w:pPr>
            <w:r>
              <w:rPr>
                <w:rFonts w:ascii="Arial" w:hAnsi="Arial" w:eastAsia="Arial"/>
                <w:color w:val="1F1F1F"/>
                <w:sz w:val="19"/>
              </w:rPr>
              <w:t>Braunkohle</w:t>
            </w:r>
          </w:p>
        </w:tc>
        <w:tc>
          <w:tcPr>
            <w:tcW w:type="dxa" w:w="1987"/>
            <w:vAlign w:val="center"/>
          </w:tcPr>
          <w:p>
            <w:pPr>
              <w:jc w:val="center"/>
            </w:pPr>
            <w:r>
              <w:rPr>
                <w:rFonts w:ascii="Arial" w:hAnsi="Arial" w:eastAsia="Arial"/>
                <w:color w:val="1F1F1F"/>
                <w:sz w:val="19"/>
              </w:rPr>
              <w:t>105,2</w:t>
            </w:r>
          </w:p>
        </w:tc>
        <w:tc>
          <w:tcPr>
            <w:tcW w:type="dxa" w:w="1987"/>
            <w:vAlign w:val="center"/>
          </w:tcPr>
          <w:p>
            <w:pPr>
              <w:jc w:val="center"/>
            </w:pPr>
            <w:r>
              <w:rPr>
                <w:rFonts w:ascii="Arial" w:hAnsi="Arial" w:eastAsia="Arial"/>
                <w:color w:val="1F1F1F"/>
                <w:sz w:val="19"/>
              </w:rPr>
              <w:t>100,0</w:t>
            </w:r>
          </w:p>
        </w:tc>
        <w:tc>
          <w:tcPr>
            <w:tcW w:type="dxa" w:w="1987"/>
            <w:vAlign w:val="center"/>
          </w:tcPr>
          <w:p>
            <w:pPr>
              <w:jc w:val="center"/>
            </w:pPr>
            <w:r>
              <w:rPr>
                <w:rFonts w:ascii="Arial" w:hAnsi="Arial" w:eastAsia="Arial"/>
                <w:color w:val="1F1F1F"/>
                <w:sz w:val="19"/>
              </w:rPr>
              <w:t>5,20 %</w:t>
            </w:r>
          </w:p>
        </w:tc>
      </w:tr>
    </w:tbl>
    <w:p/>
    <w:p>
      <w:pPr>
        <w:spacing w:before="200" w:after="120"/>
      </w:pPr>
      <w:r>
        <w:rPr>
          <w:rFonts w:ascii="Arial" w:hAnsi="Arial" w:eastAsia="Arial"/>
          <w:b/>
          <w:color w:val="1F1F1F"/>
          <w:sz w:val="25"/>
        </w:rPr>
        <w:t>Welche Erkenntnisse ergaben sich daraus?</w:t>
      </w:r>
    </w:p>
    <w:p>
      <w:pPr>
        <w:pStyle w:val="ListBullet"/>
      </w:pPr>
      <w:r>
        <w:rPr>
          <w:rFonts w:ascii="Arial" w:hAnsi="Arial" w:eastAsia="Arial"/>
          <w:color w:val="1F1F1F"/>
          <w:sz w:val="21"/>
        </w:rPr>
        <w:t>Die View zeigte, dass insbesondere die Preise für Erdgas und Steinkohle stark gestiegen sind, während sich Braunkohle deutlich stabiler entwickelte.</w:t>
      </w:r>
    </w:p>
    <w:p>
      <w:pPr>
        <w:pStyle w:val="ListBullet"/>
      </w:pPr>
      <w:r>
        <w:rPr>
          <w:rFonts w:ascii="Arial" w:hAnsi="Arial" w:eastAsia="Arial"/>
          <w:color w:val="1F1F1F"/>
          <w:sz w:val="21"/>
        </w:rPr>
        <w:t>Dadurch wurde deutlich, dass vor allem externe Markt- und Krisenfaktoren die Haushaltsstrompreise beeinflusst haben – nicht der Atomausstieg allein.</w:t>
      </w:r>
    </w:p>
    <w:p/>
    <w:p>
      <w:pPr>
        <w:spacing w:before="200" w:after="120"/>
      </w:pPr>
      <w:r>
        <w:rPr>
          <w:rFonts w:ascii="Arial" w:hAnsi="Arial" w:eastAsia="Arial"/>
          <w:b/>
          <w:color w:val="1F1F1F"/>
          <w:sz w:val="30"/>
        </w:rPr>
        <w:t>Gesamtfazit der analytischen Arbeit</w:t>
      </w:r>
    </w:p>
    <w:p>
      <w:pPr>
        <w:spacing w:after="120" w:line="276" w:lineRule="auto"/>
      </w:pPr>
      <w:r>
        <w:rPr>
          <w:rFonts w:ascii="Arial" w:hAnsi="Arial" w:eastAsia="Arial"/>
          <w:color w:val="1F1F1F"/>
          <w:sz w:val="21"/>
        </w:rPr>
        <w:t>In diesem Arbeitsschritt wurden SQL-Views erstellt, die es ermöglichten, von rohen Monatsdaten zu analytisch nutzbaren Tabellen für Power BI überzugehen. Diese Views halfen dabei, die Struktur des Strommixes sichtbar zu machen, die Rolle der Kernenergie vor dem Atomausstieg zu bestimmen, die Ersatzmechanismen für die weggefallene Kernenergie zu analysieren, die Entwicklung der Haushaltsstrompreise nachzuvollziehen, die Preisbestandteile transparent darzustellen und den Einfluss externer Faktoren – insbesondere der Preise für Erdgas und Steinkohle – zu erklären.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