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7AE83" w14:textId="0717821B" w:rsidR="00C23434" w:rsidRDefault="00C23434" w:rsidP="00C23434">
      <w:pPr>
        <w:rPr>
          <w:b/>
          <w:bCs/>
          <w:sz w:val="32"/>
          <w:szCs w:val="32"/>
        </w:rPr>
      </w:pPr>
      <w:r w:rsidRPr="00C23434">
        <w:rPr>
          <w:b/>
          <w:bCs/>
          <w:sz w:val="32"/>
          <w:szCs w:val="32"/>
        </w:rPr>
        <w:t>Benzodiazepine-associated delirium in critically ill adults</w:t>
      </w:r>
    </w:p>
    <w:p w14:paraId="4E6565EE" w14:textId="23043AB2" w:rsidR="00B336C7" w:rsidRDefault="00B336C7" w:rsidP="00C23434">
      <w:pPr>
        <w:rPr>
          <w:b/>
          <w:bCs/>
          <w:sz w:val="32"/>
          <w:szCs w:val="32"/>
        </w:rPr>
      </w:pPr>
    </w:p>
    <w:p w14:paraId="744C9355" w14:textId="08B214D9" w:rsidR="00B336C7" w:rsidRDefault="00B336C7" w:rsidP="00C23434">
      <w:pPr>
        <w:rPr>
          <w:b/>
          <w:bCs/>
          <w:sz w:val="32"/>
          <w:szCs w:val="32"/>
        </w:rPr>
      </w:pPr>
      <w:r>
        <w:rPr>
          <w:b/>
          <w:bCs/>
          <w:sz w:val="32"/>
          <w:szCs w:val="32"/>
        </w:rPr>
        <w:fldChar w:fldCharType="begin" w:fldLock="1"/>
      </w:r>
      <w:r>
        <w:rPr>
          <w:b/>
          <w:bCs/>
          <w:sz w:val="32"/>
          <w:szCs w:val="32"/>
        </w:rPr>
        <w:instrText>ADDIN CSL_CITATION {"citationItems":[{"id":"ITEM-1","itemData":{"DOI":"10.1007/s00134-015-4063-z","ISBN":"6173738171","ISSN":"0342-4642","PMID":"26404392","abstract":"Purpose: The association between benzodiazepine use and delirium risk in the ICU remains unclear. Prior investigations have failed to account for disease severity prior to delirium onset, competing events that may preclude delirium detection, other important delirium risk factors, and an adequate number of patients receiving continuous midazolam. The aim of this study was to address these limitations and evaluate the association between benzodiazepine exposure and ICU delirium occurrence. Methods: In a cohort of consecutive critically ill adults, daily mental status was classified as either awake without delirium, delirium, or coma. In a first-order Markov model, multinomial logistic regression analysis was used, which considered five possible outcomes the next day (i.e., awake without delirium, delirium, coma, ICU discharge, and death) and 16 delirium-related covariables, to quantify the association between benzodiazepine use and delirium occurrence the following day. Results: Among 1112 patients, 9867 daily transitions occurred. Benzodiazepine administration in an awake patient without delirium was associated with increased risk of delirium the next day [OR 1.04 (per 5 mg of midazolam equivalent administered) 95 % CI 1.02–1.05). When the method of benzodiazepine administration was incorporated in the model, the odds of transitioning to delirium was higher with benzodiazepines given continuously (OR 1.04, 95 % CI 1.03–1.06) compared to benzodiazepines given intermittently (OR 0.97, 95 % CI 0.88–1.05). Conclusions: After addressing potential methodological limitations of prior studies, we confirm that benzodiazepine administration increases the risk for delirium in critically ill adults but this association seems to be limited to continuous infusion use only.","author":[{"dropping-particle":"","family":"Zaal","given":"Irene J.","non-dropping-particle":"","parse-names":false,"suffix":""},{"dropping-particle":"","family":"Devlin","given":"John W.","non-dropping-particle":"","parse-names":false,"suffix":""},{"dropping-particle":"","family":"Hazelbag","given":"Marijn","non-dropping-particle":"","parse-names":false,"suffix":""},{"dropping-particle":"","family":"Klein Klouwenberg","given":"Peter M. C.","non-dropping-particle":"","parse-names":false,"suffix":""},{"dropping-particle":"","family":"Kooi","given":"Arendina W.","non-dropping-particle":"van der","parse-names":false,"suffix":""},{"dropping-particle":"","family":"Ong","given":"David S. Y.","non-dropping-particle":"","parse-names":false,"suffix":""},{"dropping-particle":"","family":"Cremer","given":"Olaf L.","non-dropping-particle":"","parse-names":false,"suffix":""},{"dropping-particle":"","family":"Groenwold","given":"Rolf H.","non-dropping-particle":"","parse-names":false,"suffix":""},{"dropping-particle":"","family":"Slooter","given":"Arjen J. C.","non-dropping-particle":"","parse-names":false,"suffix":""}],"container-title":"Intensive Care Medicine","id":"ITEM-1","issue":"12","issued":{"date-parts":[["2015","12","24"]]},"page":"2130-2137","publisher":"Springer Berlin Heidelberg","title":"Benzodiazepine-associated delirium in critically ill adults","type":"article-journal","volume":"41"},"uris":["http://www.mendeley.com/documents/?uuid=0cea4a92-20b8-42f1-97f9-cb52e5c58f42"]}],"mendeley":{"formattedCitation":"(Zaal et al., 2015)","plainTextFormattedCitation":"(Zaal et al., 2015)","previouslyFormattedCitation":"(Zaal et al., 2015)"},"properties":{"noteIndex":0},"schema":"https://github.com/citation-style-language/schema/raw/master/csl-citation.json"}</w:instrText>
      </w:r>
      <w:r>
        <w:rPr>
          <w:b/>
          <w:bCs/>
          <w:sz w:val="32"/>
          <w:szCs w:val="32"/>
        </w:rPr>
        <w:fldChar w:fldCharType="separate"/>
      </w:r>
      <w:r w:rsidRPr="00B336C7">
        <w:rPr>
          <w:bCs/>
          <w:noProof/>
          <w:sz w:val="32"/>
          <w:szCs w:val="32"/>
          <w:lang w:val="pt-BR"/>
        </w:rPr>
        <w:t>(Zaal et al., 2015)</w:t>
      </w:r>
      <w:r>
        <w:rPr>
          <w:b/>
          <w:bCs/>
          <w:sz w:val="32"/>
          <w:szCs w:val="32"/>
        </w:rPr>
        <w:fldChar w:fldCharType="end"/>
      </w:r>
    </w:p>
    <w:p w14:paraId="32D66D19" w14:textId="77777777" w:rsidR="00B336C7" w:rsidRDefault="00B336C7" w:rsidP="00C23434">
      <w:pPr>
        <w:rPr>
          <w:b/>
          <w:bCs/>
          <w:sz w:val="32"/>
          <w:szCs w:val="32"/>
        </w:rPr>
      </w:pPr>
    </w:p>
    <w:p w14:paraId="7C0A8439" w14:textId="588BDD35" w:rsidR="00B336C7" w:rsidRPr="00B336C7" w:rsidRDefault="00B336C7" w:rsidP="00B336C7">
      <w:pPr>
        <w:widowControl w:val="0"/>
        <w:autoSpaceDE w:val="0"/>
        <w:autoSpaceDN w:val="0"/>
        <w:adjustRightInd w:val="0"/>
        <w:ind w:left="480" w:hanging="480"/>
        <w:rPr>
          <w:rFonts w:ascii="Calibri" w:hAnsi="Calibri"/>
          <w:noProof/>
          <w:sz w:val="32"/>
        </w:rPr>
      </w:pPr>
      <w:r>
        <w:rPr>
          <w:b/>
          <w:bCs/>
          <w:sz w:val="32"/>
          <w:szCs w:val="32"/>
          <w:lang w:val="pt-BR"/>
        </w:rPr>
        <w:fldChar w:fldCharType="begin" w:fldLock="1"/>
      </w:r>
      <w:r>
        <w:rPr>
          <w:b/>
          <w:bCs/>
          <w:sz w:val="32"/>
          <w:szCs w:val="32"/>
          <w:lang w:val="pt-BR"/>
        </w:rPr>
        <w:instrText xml:space="preserve">ADDIN Mendeley Bibliography CSL_BIBLIOGRAPHY </w:instrText>
      </w:r>
      <w:r>
        <w:rPr>
          <w:b/>
          <w:bCs/>
          <w:sz w:val="32"/>
          <w:szCs w:val="32"/>
          <w:lang w:val="pt-BR"/>
        </w:rPr>
        <w:fldChar w:fldCharType="separate"/>
      </w:r>
      <w:r w:rsidRPr="00B336C7">
        <w:rPr>
          <w:rFonts w:ascii="Calibri" w:hAnsi="Calibri" w:cs="Times New Roman"/>
          <w:noProof/>
          <w:sz w:val="32"/>
        </w:rPr>
        <w:t xml:space="preserve">Zaal, I. J., Devlin, J. W., Hazelbag, M., Klein Klouwenberg, P. M. C., van der Kooi, A. W., Ong, D. S. Y., … Slooter, A. J. C. (2015). Benzodiazepine-associated delirium in critically ill adults. </w:t>
      </w:r>
      <w:r w:rsidRPr="00B336C7">
        <w:rPr>
          <w:rFonts w:ascii="Calibri" w:hAnsi="Calibri" w:cs="Times New Roman"/>
          <w:i/>
          <w:iCs/>
          <w:noProof/>
          <w:sz w:val="32"/>
        </w:rPr>
        <w:t>Intensive Care Medicine</w:t>
      </w:r>
      <w:r w:rsidRPr="00B336C7">
        <w:rPr>
          <w:rFonts w:ascii="Calibri" w:hAnsi="Calibri" w:cs="Times New Roman"/>
          <w:noProof/>
          <w:sz w:val="32"/>
        </w:rPr>
        <w:t xml:space="preserve">, </w:t>
      </w:r>
      <w:r w:rsidRPr="00B336C7">
        <w:rPr>
          <w:rFonts w:ascii="Calibri" w:hAnsi="Calibri" w:cs="Times New Roman"/>
          <w:i/>
          <w:iCs/>
          <w:noProof/>
          <w:sz w:val="32"/>
        </w:rPr>
        <w:t>41</w:t>
      </w:r>
      <w:r w:rsidRPr="00B336C7">
        <w:rPr>
          <w:rFonts w:ascii="Calibri" w:hAnsi="Calibri" w:cs="Times New Roman"/>
          <w:noProof/>
          <w:sz w:val="32"/>
        </w:rPr>
        <w:t>(12), 2130–2137. https://doi.org/10.1007/s00134-015-4063-z</w:t>
      </w:r>
    </w:p>
    <w:p w14:paraId="78E7957E" w14:textId="58D21F7A" w:rsidR="00C23434" w:rsidRPr="00157DC6" w:rsidRDefault="00B336C7" w:rsidP="00C23434">
      <w:pPr>
        <w:rPr>
          <w:b/>
          <w:bCs/>
          <w:sz w:val="32"/>
          <w:szCs w:val="32"/>
          <w:lang w:val="pt-BR"/>
        </w:rPr>
      </w:pPr>
      <w:r>
        <w:rPr>
          <w:b/>
          <w:bCs/>
          <w:sz w:val="32"/>
          <w:szCs w:val="32"/>
          <w:lang w:val="pt-BR"/>
        </w:rPr>
        <w:fldChar w:fldCharType="end"/>
      </w:r>
    </w:p>
    <w:p w14:paraId="4391BC1A" w14:textId="77777777" w:rsidR="00C23434" w:rsidRPr="00B336C7" w:rsidRDefault="00C23434" w:rsidP="00C23434">
      <w:pPr>
        <w:rPr>
          <w:lang w:val="pt-BR"/>
        </w:rPr>
      </w:pPr>
    </w:p>
    <w:p w14:paraId="36885338" w14:textId="2530F16C" w:rsidR="005E68DA" w:rsidRDefault="00C23434" w:rsidP="00C23434">
      <w:pPr>
        <w:rPr>
          <w:lang w:val="pt-BR"/>
        </w:rPr>
      </w:pPr>
      <w:r w:rsidRPr="00C23434">
        <w:rPr>
          <w:lang w:val="pt-BR"/>
        </w:rPr>
        <w:t xml:space="preserve">A associação entre o uso de </w:t>
      </w:r>
      <w:proofErr w:type="spellStart"/>
      <w:r w:rsidRPr="00C23434">
        <w:rPr>
          <w:lang w:val="pt-BR"/>
        </w:rPr>
        <w:t>benzodiazepinas</w:t>
      </w:r>
      <w:proofErr w:type="spellEnd"/>
      <w:r w:rsidRPr="00C23434">
        <w:rPr>
          <w:lang w:val="pt-BR"/>
        </w:rPr>
        <w:t xml:space="preserve"> e o risco de delírio na UCI permanece pouco clara. As investigações anteriores não tiveram em conta a gravidade da doença antes do início do delírio, eventos concorrentes que podem impedir a detecção do delírio, outros fatores importantes de risco de delírio e um número adequado de doentes que recebem </w:t>
      </w:r>
      <w:proofErr w:type="spellStart"/>
      <w:r w:rsidRPr="00C23434">
        <w:rPr>
          <w:lang w:val="pt-BR"/>
        </w:rPr>
        <w:t>midazolam</w:t>
      </w:r>
      <w:proofErr w:type="spellEnd"/>
      <w:r w:rsidRPr="00C23434">
        <w:rPr>
          <w:lang w:val="pt-BR"/>
        </w:rPr>
        <w:t xml:space="preserve"> contínuo. O objetivo deste estudo era abordar estas limitações e avaliar a associação entre a exposição à </w:t>
      </w:r>
      <w:proofErr w:type="spellStart"/>
      <w:r w:rsidRPr="00C23434">
        <w:rPr>
          <w:lang w:val="pt-BR"/>
        </w:rPr>
        <w:t>benzodiazepina</w:t>
      </w:r>
      <w:proofErr w:type="spellEnd"/>
      <w:r w:rsidRPr="00C23434">
        <w:rPr>
          <w:lang w:val="pt-BR"/>
        </w:rPr>
        <w:t xml:space="preserve"> e a ocorrência de delirium na UCI. </w:t>
      </w:r>
    </w:p>
    <w:p w14:paraId="7CA8A9BC" w14:textId="77777777" w:rsidR="005E68DA" w:rsidRDefault="005E68DA" w:rsidP="00C23434">
      <w:pPr>
        <w:rPr>
          <w:lang w:val="pt-BR"/>
        </w:rPr>
      </w:pPr>
    </w:p>
    <w:p w14:paraId="76DAD123" w14:textId="26ED6782" w:rsidR="00C23434" w:rsidRPr="00C23434" w:rsidRDefault="00C23434" w:rsidP="00C23434">
      <w:pPr>
        <w:rPr>
          <w:lang w:val="pt-BR"/>
        </w:rPr>
      </w:pPr>
      <w:r w:rsidRPr="00C23434">
        <w:rPr>
          <w:lang w:val="pt-BR"/>
        </w:rPr>
        <w:t xml:space="preserve">Métodos: Numa coorte de adultos consecutivos gravemente doentes, o estado mental diário foi classificado ou como acordado sem delírio, delírio, ou coma. Num modelo </w:t>
      </w:r>
      <w:proofErr w:type="spellStart"/>
      <w:r w:rsidRPr="00C23434">
        <w:rPr>
          <w:lang w:val="pt-BR"/>
        </w:rPr>
        <w:t>Markov</w:t>
      </w:r>
      <w:proofErr w:type="spellEnd"/>
      <w:r w:rsidRPr="00C23434">
        <w:rPr>
          <w:lang w:val="pt-BR"/>
        </w:rPr>
        <w:t xml:space="preserve"> de primeira ordem, foi utilizada a análise de regressão logística </w:t>
      </w:r>
      <w:proofErr w:type="spellStart"/>
      <w:r w:rsidRPr="00C23434">
        <w:rPr>
          <w:lang w:val="pt-BR"/>
        </w:rPr>
        <w:t>multinomial</w:t>
      </w:r>
      <w:proofErr w:type="spellEnd"/>
      <w:r w:rsidRPr="00C23434">
        <w:rPr>
          <w:lang w:val="pt-BR"/>
        </w:rPr>
        <w:t xml:space="preserve">, que considerou cinco resultados possíveis no dia seguinte (ou seja, acordada sem delírio, delírio, alta da UCI em coma, e morte) e 16 </w:t>
      </w:r>
      <w:proofErr w:type="spellStart"/>
      <w:r w:rsidRPr="00C23434">
        <w:rPr>
          <w:lang w:val="pt-BR"/>
        </w:rPr>
        <w:t>covariáveis</w:t>
      </w:r>
      <w:proofErr w:type="spellEnd"/>
      <w:r w:rsidRPr="00C23434">
        <w:rPr>
          <w:lang w:val="pt-BR"/>
        </w:rPr>
        <w:t xml:space="preserve"> relacionadas com delírios, para quantificar a associação entre o uso de </w:t>
      </w:r>
      <w:proofErr w:type="spellStart"/>
      <w:r w:rsidRPr="00C23434">
        <w:rPr>
          <w:lang w:val="pt-BR"/>
        </w:rPr>
        <w:t>benzodiazepinas</w:t>
      </w:r>
      <w:proofErr w:type="spellEnd"/>
      <w:r w:rsidRPr="00C23434">
        <w:rPr>
          <w:lang w:val="pt-BR"/>
        </w:rPr>
        <w:t xml:space="preserve"> e a ocorrência de delírios no dia seguinte. </w:t>
      </w:r>
    </w:p>
    <w:p w14:paraId="439626E6" w14:textId="77777777" w:rsidR="00C23434" w:rsidRPr="00C23434" w:rsidRDefault="00C23434" w:rsidP="00C23434">
      <w:pPr>
        <w:rPr>
          <w:lang w:val="pt-BR"/>
        </w:rPr>
      </w:pPr>
    </w:p>
    <w:p w14:paraId="725F10B4" w14:textId="77777777" w:rsidR="00C23434" w:rsidRPr="00C23434" w:rsidRDefault="00C23434" w:rsidP="00C23434">
      <w:pPr>
        <w:rPr>
          <w:lang w:val="pt-BR"/>
        </w:rPr>
      </w:pPr>
      <w:r w:rsidRPr="00C23434">
        <w:rPr>
          <w:lang w:val="pt-BR"/>
        </w:rPr>
        <w:t xml:space="preserve">Resultados: Entre 1112 pacientes, ocorreram 9867 transições diárias. A administração de </w:t>
      </w:r>
      <w:proofErr w:type="spellStart"/>
      <w:r w:rsidRPr="00C23434">
        <w:rPr>
          <w:lang w:val="pt-BR"/>
        </w:rPr>
        <w:t>benzodiazepina</w:t>
      </w:r>
      <w:proofErr w:type="spellEnd"/>
      <w:r w:rsidRPr="00C23434">
        <w:rPr>
          <w:lang w:val="pt-BR"/>
        </w:rPr>
        <w:t xml:space="preserve"> num paciente acordado sem delírio foi associada a um risco acrescido de delírio no dia seguinte [OR 1,04 (por 5 mg de equivalente de </w:t>
      </w:r>
      <w:proofErr w:type="spellStart"/>
      <w:r w:rsidRPr="00C23434">
        <w:rPr>
          <w:lang w:val="pt-BR"/>
        </w:rPr>
        <w:t>midazolam</w:t>
      </w:r>
      <w:proofErr w:type="spellEnd"/>
      <w:r w:rsidRPr="00C23434">
        <w:rPr>
          <w:lang w:val="pt-BR"/>
        </w:rPr>
        <w:t xml:space="preserve"> administrado) 95 % CI 1,02-1,05). Quando o método de administração de </w:t>
      </w:r>
      <w:proofErr w:type="spellStart"/>
      <w:r w:rsidRPr="00C23434">
        <w:rPr>
          <w:lang w:val="pt-BR"/>
        </w:rPr>
        <w:t>benzodiazepinas</w:t>
      </w:r>
      <w:proofErr w:type="spellEnd"/>
      <w:r w:rsidRPr="00C23434">
        <w:rPr>
          <w:lang w:val="pt-BR"/>
        </w:rPr>
        <w:t xml:space="preserve"> foi incorporado no modelo, a probabilidade de transição para o delírio era maior com a administração contínua de </w:t>
      </w:r>
      <w:proofErr w:type="spellStart"/>
      <w:r w:rsidRPr="00C23434">
        <w:rPr>
          <w:lang w:val="pt-BR"/>
        </w:rPr>
        <w:t>benzodiazepinas</w:t>
      </w:r>
      <w:proofErr w:type="spellEnd"/>
      <w:r w:rsidRPr="00C23434">
        <w:rPr>
          <w:lang w:val="pt-BR"/>
        </w:rPr>
        <w:t xml:space="preserve"> (OR 1,04, 95% CI 1,03-1,06) em comparação com a administração intermitente de </w:t>
      </w:r>
      <w:proofErr w:type="spellStart"/>
      <w:r w:rsidRPr="00C23434">
        <w:rPr>
          <w:lang w:val="pt-BR"/>
        </w:rPr>
        <w:t>benzodiazepinas</w:t>
      </w:r>
      <w:proofErr w:type="spellEnd"/>
      <w:r w:rsidRPr="00C23434">
        <w:rPr>
          <w:lang w:val="pt-BR"/>
        </w:rPr>
        <w:t xml:space="preserve"> (OR 0,97, 95% CI 0,88-1,05). </w:t>
      </w:r>
    </w:p>
    <w:p w14:paraId="4410D0B6" w14:textId="77777777" w:rsidR="00C23434" w:rsidRPr="00C23434" w:rsidRDefault="00C23434" w:rsidP="00C23434">
      <w:pPr>
        <w:rPr>
          <w:lang w:val="pt-BR"/>
        </w:rPr>
      </w:pPr>
    </w:p>
    <w:p w14:paraId="5423B1C1" w14:textId="776D2DF7" w:rsidR="005A37EE" w:rsidRDefault="00C23434" w:rsidP="00C23434">
      <w:pPr>
        <w:rPr>
          <w:lang w:val="pt-BR"/>
        </w:rPr>
      </w:pPr>
      <w:r w:rsidRPr="00C23434">
        <w:rPr>
          <w:lang w:val="pt-BR"/>
        </w:rPr>
        <w:t xml:space="preserve">Conclusões: Após abordar as potenciais limitações metodológicas de estudos anteriores, confirmamos que a administração de </w:t>
      </w:r>
      <w:proofErr w:type="spellStart"/>
      <w:r w:rsidRPr="00C23434">
        <w:rPr>
          <w:lang w:val="pt-BR"/>
        </w:rPr>
        <w:t>benzodiazepinas</w:t>
      </w:r>
      <w:proofErr w:type="spellEnd"/>
      <w:r w:rsidRPr="00C23434">
        <w:rPr>
          <w:lang w:val="pt-BR"/>
        </w:rPr>
        <w:t xml:space="preserve"> aumenta o risco de delírio em adultos gravemente doentes, mas esta associação parece limitar-se apenas ao uso contínuo de infusão</w:t>
      </w:r>
    </w:p>
    <w:p w14:paraId="32894A6D" w14:textId="57F90E70" w:rsidR="00DB51CA" w:rsidRDefault="00DB51CA" w:rsidP="00C23434">
      <w:pPr>
        <w:rPr>
          <w:lang w:val="pt-BR"/>
        </w:rPr>
      </w:pPr>
    </w:p>
    <w:p w14:paraId="08ABCC89" w14:textId="41D2622F" w:rsidR="00DB51CA" w:rsidRDefault="00DB51CA" w:rsidP="00C23434">
      <w:pPr>
        <w:rPr>
          <w:lang w:val="pt-BR"/>
        </w:rPr>
      </w:pPr>
    </w:p>
    <w:p w14:paraId="3F0D8AAD" w14:textId="5E600A6F" w:rsidR="00DB51CA" w:rsidRPr="00C23434" w:rsidRDefault="00DB51CA" w:rsidP="00C23434">
      <w:pPr>
        <w:rPr>
          <w:lang w:val="pt-BR"/>
        </w:rPr>
      </w:pPr>
      <w:r w:rsidRPr="00DB51CA">
        <w:rPr>
          <w:lang w:val="pt-BR"/>
        </w:rPr>
        <w:t xml:space="preserve">Os medicamentos são um importante fator de risco modificável para o delírio em doentes críticos [4-7]. Os benzodiazepínicos são frequentemente administrados para manter o conforto e a segurança do doente na UCI [8]. Embora várias investigações tenham encontrado uma relação positiva entre o uso de </w:t>
      </w:r>
      <w:proofErr w:type="spellStart"/>
      <w:r w:rsidRPr="00DB51CA">
        <w:rPr>
          <w:lang w:val="pt-BR"/>
        </w:rPr>
        <w:t>benzodiazepinas</w:t>
      </w:r>
      <w:proofErr w:type="spellEnd"/>
      <w:r w:rsidRPr="00DB51CA">
        <w:rPr>
          <w:lang w:val="pt-BR"/>
        </w:rPr>
        <w:t xml:space="preserve"> e a ocorrência de delírios em adultos gravemente doentes [9-16], outros relatórios não conseguiram demonstrar uma </w:t>
      </w:r>
      <w:r w:rsidRPr="00DB51CA">
        <w:rPr>
          <w:lang w:val="pt-BR"/>
        </w:rPr>
        <w:lastRenderedPageBreak/>
        <w:t xml:space="preserve">tal associação [17-23]. Ao investigar a relação entre o uso de </w:t>
      </w:r>
      <w:proofErr w:type="spellStart"/>
      <w:r w:rsidRPr="00DB51CA">
        <w:rPr>
          <w:lang w:val="pt-BR"/>
        </w:rPr>
        <w:t>benzodiazepinas</w:t>
      </w:r>
      <w:proofErr w:type="spellEnd"/>
      <w:r w:rsidRPr="00DB51CA">
        <w:rPr>
          <w:lang w:val="pt-BR"/>
        </w:rPr>
        <w:t xml:space="preserve"> e a ocorrência de delírios na UCI, é importante utilizar métodos de análise </w:t>
      </w:r>
      <w:proofErr w:type="spellStart"/>
      <w:r w:rsidRPr="00DB51CA">
        <w:rPr>
          <w:lang w:val="pt-BR"/>
        </w:rPr>
        <w:t>multivariável</w:t>
      </w:r>
      <w:proofErr w:type="spellEnd"/>
      <w:r w:rsidRPr="00DB51CA">
        <w:rPr>
          <w:lang w:val="pt-BR"/>
        </w:rPr>
        <w:t xml:space="preserve"> dependentes do tempo, dado que a gravidade da doença, a administração de </w:t>
      </w:r>
      <w:proofErr w:type="spellStart"/>
      <w:r w:rsidRPr="00DB51CA">
        <w:rPr>
          <w:lang w:val="pt-BR"/>
        </w:rPr>
        <w:t>benzodiazepinas</w:t>
      </w:r>
      <w:proofErr w:type="spellEnd"/>
      <w:r w:rsidRPr="00DB51CA">
        <w:rPr>
          <w:lang w:val="pt-BR"/>
        </w:rPr>
        <w:t xml:space="preserve">, e a ocorrência de delírios oscilam frequentemente ao longo da estadia na UCI [24]. Estudos anteriores de avaliação da associação entre o uso de </w:t>
      </w:r>
      <w:proofErr w:type="spellStart"/>
      <w:r w:rsidRPr="00DB51CA">
        <w:rPr>
          <w:lang w:val="pt-BR"/>
        </w:rPr>
        <w:t>benzodiazepina</w:t>
      </w:r>
      <w:proofErr w:type="spellEnd"/>
      <w:r w:rsidRPr="00DB51CA">
        <w:rPr>
          <w:lang w:val="pt-BR"/>
        </w:rPr>
        <w:t xml:space="preserve"> e delírio não consideraram a natureza variável no tempo da gravidade da doença antes do início do delírio [9-23], realizaram a avaliação do delírio apenas uma vez por dia [9, 11-16, 18, 19, 22, 23], tiveram uma pequena proporção de doentes em </w:t>
      </w:r>
      <w:proofErr w:type="spellStart"/>
      <w:r w:rsidRPr="00DB51CA">
        <w:rPr>
          <w:lang w:val="pt-BR"/>
        </w:rPr>
        <w:t>midazolam</w:t>
      </w:r>
      <w:proofErr w:type="spellEnd"/>
      <w:r w:rsidRPr="00DB51CA">
        <w:rPr>
          <w:lang w:val="pt-BR"/>
        </w:rPr>
        <w:t xml:space="preserve"> (um agente utilizado muito mais frequentemente do que o </w:t>
      </w:r>
      <w:proofErr w:type="spellStart"/>
      <w:r w:rsidRPr="00DB51CA">
        <w:rPr>
          <w:lang w:val="pt-BR"/>
        </w:rPr>
        <w:t>lorazepam</w:t>
      </w:r>
      <w:proofErr w:type="spellEnd"/>
      <w:r w:rsidRPr="00DB51CA">
        <w:rPr>
          <w:lang w:val="pt-BR"/>
        </w:rPr>
        <w:t xml:space="preserve">) [9, 13], 16, 18-23], assumiu que o delírio não pode ser precedido por coma [11, 12, 14-23], não considerou que as </w:t>
      </w:r>
      <w:proofErr w:type="spellStart"/>
      <w:r w:rsidRPr="00DB51CA">
        <w:rPr>
          <w:lang w:val="pt-BR"/>
        </w:rPr>
        <w:t>benzodiazepinas</w:t>
      </w:r>
      <w:proofErr w:type="spellEnd"/>
      <w:r w:rsidRPr="00DB51CA">
        <w:rPr>
          <w:lang w:val="pt-BR"/>
        </w:rPr>
        <w:t xml:space="preserve"> administradas por estratégias de administração intermitente versus contínua podem estar associadas a diferentes riscos de delírio [9-23], e não considerou riscos concorrentes para a avaliação do delírio, tais como a alta da UCI e a morte [9-23]. Num esforço para abordar cada uma destas limitações e para avaliar as duas transições diárias da UCI de maior interesse para os clínicos quando estão a considerar o risco de ocorrência de delírio associado ao uso de </w:t>
      </w:r>
      <w:proofErr w:type="spellStart"/>
      <w:r w:rsidRPr="00DB51CA">
        <w:rPr>
          <w:lang w:val="pt-BR"/>
        </w:rPr>
        <w:t>benzodiazepina</w:t>
      </w:r>
      <w:proofErr w:type="spellEnd"/>
      <w:r w:rsidRPr="00DB51CA">
        <w:rPr>
          <w:lang w:val="pt-BR"/>
        </w:rPr>
        <w:t xml:space="preserve">, procurámos determinar se a administração de uma </w:t>
      </w:r>
      <w:proofErr w:type="spellStart"/>
      <w:r w:rsidRPr="00DB51CA">
        <w:rPr>
          <w:lang w:val="pt-BR"/>
        </w:rPr>
        <w:t>benzodiazepina</w:t>
      </w:r>
      <w:proofErr w:type="spellEnd"/>
      <w:r w:rsidRPr="00DB51CA">
        <w:rPr>
          <w:lang w:val="pt-BR"/>
        </w:rPr>
        <w:t xml:space="preserve"> é um </w:t>
      </w:r>
      <w:proofErr w:type="spellStart"/>
      <w:r w:rsidRPr="00DB51CA">
        <w:rPr>
          <w:lang w:val="pt-BR"/>
        </w:rPr>
        <w:t>factor</w:t>
      </w:r>
      <w:proofErr w:type="spellEnd"/>
      <w:r w:rsidRPr="00DB51CA">
        <w:rPr>
          <w:lang w:val="pt-BR"/>
        </w:rPr>
        <w:t xml:space="preserve"> de risco independente para a transição de um estado de vigília sem delírio para delírio ou de coma para delírio no dia seguinte. Em segundo lugar, a associação entre delírio e uso contínuo intravenoso (IV) versus uso intermitente de </w:t>
      </w:r>
      <w:proofErr w:type="spellStart"/>
      <w:r w:rsidRPr="00DB51CA">
        <w:rPr>
          <w:lang w:val="pt-BR"/>
        </w:rPr>
        <w:t>benzodiazepina</w:t>
      </w:r>
      <w:proofErr w:type="spellEnd"/>
      <w:r w:rsidRPr="00DB51CA">
        <w:rPr>
          <w:lang w:val="pt-BR"/>
        </w:rPr>
        <w:t xml:space="preserve"> foi explorada como indicação, pelo que o processo de tomada de decisão por parte do </w:t>
      </w:r>
      <w:proofErr w:type="spellStart"/>
      <w:r w:rsidRPr="00DB51CA">
        <w:rPr>
          <w:lang w:val="pt-BR"/>
        </w:rPr>
        <w:t>prescritor</w:t>
      </w:r>
      <w:proofErr w:type="spellEnd"/>
      <w:r w:rsidRPr="00DB51CA">
        <w:rPr>
          <w:lang w:val="pt-BR"/>
        </w:rPr>
        <w:t xml:space="preserve"> da UCI poderia ser diferente entre estas duas estratégias de administração [25, 26]. </w:t>
      </w:r>
    </w:p>
    <w:sectPr w:rsidR="00DB51CA" w:rsidRPr="00C23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34"/>
    <w:rsid w:val="00134548"/>
    <w:rsid w:val="00157DC6"/>
    <w:rsid w:val="0030569A"/>
    <w:rsid w:val="005C6397"/>
    <w:rsid w:val="005E68DA"/>
    <w:rsid w:val="005F4C69"/>
    <w:rsid w:val="00B336C7"/>
    <w:rsid w:val="00B61E7E"/>
    <w:rsid w:val="00B951D7"/>
    <w:rsid w:val="00BB4EFB"/>
    <w:rsid w:val="00C016A5"/>
    <w:rsid w:val="00C23434"/>
    <w:rsid w:val="00DB5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9972"/>
  <w15:chartTrackingRefBased/>
  <w15:docId w15:val="{920CF9D3-C35D-2C43-AD3D-89E126BF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395D7-BCF3-7949-A998-3C0A9BA2C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8</cp:revision>
  <dcterms:created xsi:type="dcterms:W3CDTF">2021-07-14T16:01:00Z</dcterms:created>
  <dcterms:modified xsi:type="dcterms:W3CDTF">2021-07-16T10:48:00Z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