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F5328" w14:textId="77777777" w:rsidR="00FE1F37" w:rsidRPr="00FE1F37" w:rsidRDefault="00FE1F37" w:rsidP="00FE1F37">
      <w:pPr>
        <w:jc w:val="both"/>
        <w:rPr>
          <w:rFonts w:ascii="Times New Roman" w:eastAsia="Times New Roman" w:hAnsi="Times New Roman" w:cs="Times New Roman"/>
          <w:lang w:val="pt-BR" w:eastAsia="en-GB"/>
        </w:rPr>
      </w:pPr>
      <w:proofErr w:type="spellStart"/>
      <w:r w:rsidRPr="00FE1F37">
        <w:rPr>
          <w:rFonts w:ascii="Times New Roman" w:eastAsia="Times New Roman" w:hAnsi="Times New Roman" w:cs="Times New Roman"/>
          <w:lang w:val="pt-BR" w:eastAsia="en-GB"/>
        </w:rPr>
        <w:t>Logistic</w:t>
      </w:r>
      <w:proofErr w:type="spellEnd"/>
      <w:r w:rsidRPr="00FE1F37">
        <w:rPr>
          <w:rFonts w:ascii="Times New Roman" w:eastAsia="Times New Roman" w:hAnsi="Times New Roman" w:cs="Times New Roman"/>
          <w:lang w:val="pt-BR" w:eastAsia="en-GB"/>
        </w:rPr>
        <w:t xml:space="preserve"> </w:t>
      </w:r>
      <w:proofErr w:type="spellStart"/>
      <w:r w:rsidRPr="00FE1F37">
        <w:rPr>
          <w:rFonts w:ascii="Times New Roman" w:eastAsia="Times New Roman" w:hAnsi="Times New Roman" w:cs="Times New Roman"/>
          <w:lang w:val="pt-BR" w:eastAsia="en-GB"/>
        </w:rPr>
        <w:t>Regression</w:t>
      </w:r>
      <w:proofErr w:type="spellEnd"/>
      <w:r w:rsidRPr="00FE1F37">
        <w:rPr>
          <w:rFonts w:ascii="Times New Roman" w:eastAsia="Times New Roman" w:hAnsi="Times New Roman" w:cs="Times New Roman"/>
          <w:lang w:val="pt-BR" w:eastAsia="en-GB"/>
        </w:rPr>
        <w:t xml:space="preserve">: A </w:t>
      </w:r>
      <w:proofErr w:type="spellStart"/>
      <w:r w:rsidRPr="00FE1F37">
        <w:rPr>
          <w:rFonts w:ascii="Times New Roman" w:eastAsia="Times New Roman" w:hAnsi="Times New Roman" w:cs="Times New Roman"/>
          <w:lang w:val="pt-BR" w:eastAsia="en-GB"/>
        </w:rPr>
        <w:t>Brief</w:t>
      </w:r>
      <w:proofErr w:type="spellEnd"/>
      <w:r w:rsidRPr="00FE1F37">
        <w:rPr>
          <w:rFonts w:ascii="Times New Roman" w:eastAsia="Times New Roman" w:hAnsi="Times New Roman" w:cs="Times New Roman"/>
          <w:lang w:val="pt-BR" w:eastAsia="en-GB"/>
        </w:rPr>
        <w:t xml:space="preserve"> Primer</w:t>
      </w:r>
    </w:p>
    <w:p w14:paraId="47F51382" w14:textId="75F60B6E" w:rsidR="00FE1F37" w:rsidRDefault="00FE1F37" w:rsidP="00FE1F37">
      <w:pPr>
        <w:jc w:val="both"/>
        <w:rPr>
          <w:lang w:val="pt-BR"/>
        </w:rPr>
      </w:pPr>
    </w:p>
    <w:p w14:paraId="7B217C5C" w14:textId="4EACC9EF" w:rsidR="00FE1F37" w:rsidRDefault="00FE1F37" w:rsidP="00FE1F37">
      <w:pPr>
        <w:jc w:val="both"/>
        <w:rPr>
          <w:lang w:val="pt-BR"/>
        </w:rPr>
      </w:pPr>
    </w:p>
    <w:p w14:paraId="55CBC10C" w14:textId="34EE1E60" w:rsidR="00FE1F37" w:rsidRDefault="00FE1F37" w:rsidP="00FE1F37">
      <w:pPr>
        <w:jc w:val="both"/>
        <w:rPr>
          <w:lang w:val="pt-BR"/>
        </w:rPr>
      </w:pPr>
      <w:r>
        <w:rPr>
          <w:lang w:val="pt-BR"/>
        </w:rPr>
        <w:fldChar w:fldCharType="begin" w:fldLock="1"/>
      </w:r>
      <w:r>
        <w:rPr>
          <w:lang w:val="pt-BR"/>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Pr>
          <w:lang w:val="pt-BR"/>
        </w:rPr>
        <w:fldChar w:fldCharType="separate"/>
      </w:r>
      <w:r w:rsidRPr="00FE1F37">
        <w:rPr>
          <w:noProof/>
          <w:lang w:val="pt-BR"/>
        </w:rPr>
        <w:t>(Stoltzfus, 2011)</w:t>
      </w:r>
      <w:r>
        <w:rPr>
          <w:lang w:val="pt-BR"/>
        </w:rPr>
        <w:fldChar w:fldCharType="end"/>
      </w:r>
    </w:p>
    <w:p w14:paraId="12E6C975" w14:textId="3ACB39DD" w:rsidR="00FE1F37" w:rsidRDefault="00FE1F37" w:rsidP="00FE1F37">
      <w:pPr>
        <w:jc w:val="both"/>
        <w:rPr>
          <w:lang w:val="pt-BR"/>
        </w:rPr>
      </w:pPr>
    </w:p>
    <w:p w14:paraId="0625CCF7" w14:textId="2ECCF81C" w:rsidR="00FE1F37" w:rsidRPr="00FE1F37" w:rsidRDefault="00FE1F37" w:rsidP="00FE1F37">
      <w:pPr>
        <w:widowControl w:val="0"/>
        <w:autoSpaceDE w:val="0"/>
        <w:autoSpaceDN w:val="0"/>
        <w:adjustRightInd w:val="0"/>
        <w:ind w:left="480" w:hanging="480"/>
        <w:jc w:val="both"/>
        <w:rPr>
          <w:rFonts w:ascii="Calibri" w:hAnsi="Calibri"/>
          <w:noProof/>
        </w:rPr>
      </w:pPr>
      <w:r>
        <w:rPr>
          <w:lang w:val="pt-BR"/>
        </w:rPr>
        <w:fldChar w:fldCharType="begin" w:fldLock="1"/>
      </w:r>
      <w:r>
        <w:rPr>
          <w:lang w:val="pt-BR"/>
        </w:rPr>
        <w:instrText xml:space="preserve">ADDIN Mendeley Bibliography CSL_BIBLIOGRAPHY </w:instrText>
      </w:r>
      <w:r>
        <w:rPr>
          <w:lang w:val="pt-BR"/>
        </w:rPr>
        <w:fldChar w:fldCharType="separate"/>
      </w:r>
      <w:r w:rsidRPr="00FE1F37">
        <w:rPr>
          <w:rFonts w:ascii="Calibri" w:hAnsi="Calibri" w:cs="Times New Roman"/>
          <w:noProof/>
        </w:rPr>
        <w:t xml:space="preserve">Stoltzfus, J. C. (2011). Logistic regression: A brief primer. </w:t>
      </w:r>
      <w:r w:rsidRPr="00FE1F37">
        <w:rPr>
          <w:rFonts w:ascii="Calibri" w:hAnsi="Calibri" w:cs="Times New Roman"/>
          <w:i/>
          <w:iCs/>
          <w:noProof/>
        </w:rPr>
        <w:t>Academic Emergency Medicine</w:t>
      </w:r>
      <w:r w:rsidRPr="00FE1F37">
        <w:rPr>
          <w:rFonts w:ascii="Calibri" w:hAnsi="Calibri" w:cs="Times New Roman"/>
          <w:noProof/>
        </w:rPr>
        <w:t xml:space="preserve">, </w:t>
      </w:r>
      <w:r w:rsidRPr="00FE1F37">
        <w:rPr>
          <w:rFonts w:ascii="Calibri" w:hAnsi="Calibri" w:cs="Times New Roman"/>
          <w:i/>
          <w:iCs/>
          <w:noProof/>
        </w:rPr>
        <w:t>18</w:t>
      </w:r>
      <w:r w:rsidRPr="00FE1F37">
        <w:rPr>
          <w:rFonts w:ascii="Calibri" w:hAnsi="Calibri" w:cs="Times New Roman"/>
          <w:noProof/>
        </w:rPr>
        <w:t>(10), 1099–1104. https://doi.org/10.1111/j.1553-2712.2011.01185.x</w:t>
      </w:r>
    </w:p>
    <w:p w14:paraId="21779B25" w14:textId="7334CE09" w:rsidR="00FE1F37" w:rsidRPr="00FE1F37" w:rsidRDefault="00FE1F37" w:rsidP="00FE1F37">
      <w:pPr>
        <w:jc w:val="both"/>
        <w:rPr>
          <w:lang w:val="pt-BR"/>
        </w:rPr>
      </w:pPr>
      <w:r>
        <w:rPr>
          <w:lang w:val="pt-BR"/>
        </w:rPr>
        <w:fldChar w:fldCharType="end"/>
      </w:r>
    </w:p>
    <w:p w14:paraId="60350EF2" w14:textId="77777777" w:rsidR="00FE1F37" w:rsidRPr="00FE1F37" w:rsidRDefault="00FE1F37" w:rsidP="00FE1F37">
      <w:pPr>
        <w:jc w:val="both"/>
        <w:rPr>
          <w:lang w:val="pt-BR"/>
        </w:rPr>
      </w:pPr>
    </w:p>
    <w:p w14:paraId="363EB4C9" w14:textId="1FFA4BA7" w:rsidR="00FE1F37" w:rsidRPr="00FE1F37" w:rsidRDefault="00FE1F37" w:rsidP="00FE1F37">
      <w:pPr>
        <w:jc w:val="both"/>
        <w:rPr>
          <w:lang w:val="pt-BR"/>
        </w:rPr>
      </w:pPr>
      <w:r w:rsidRPr="00FE1F37">
        <w:rPr>
          <w:lang w:val="pt-BR"/>
        </w:rPr>
        <w:t xml:space="preserve">As técnicas de regressão são versáteis na sua aplicação à investigação médica porque podem medir as associações, prever resultados, e controlar para efeitos variáveis confusos. Como uma dessas técnicas, a regressão logística é uma forma eficiente e poderosa de analisar o efeito de um grupo de variáveis independentes sobre um resultado binário, quantificando a contribuição única de cada variável independente. Utilizando componentes da regressão linear </w:t>
      </w:r>
      <w:proofErr w:type="spellStart"/>
      <w:r w:rsidRPr="00FE1F37">
        <w:rPr>
          <w:lang w:val="pt-BR"/>
        </w:rPr>
        <w:t>reflectidos</w:t>
      </w:r>
      <w:proofErr w:type="spellEnd"/>
      <w:r w:rsidRPr="00FE1F37">
        <w:rPr>
          <w:lang w:val="pt-BR"/>
        </w:rPr>
        <w:t xml:space="preserve"> na escala </w:t>
      </w:r>
      <w:proofErr w:type="spellStart"/>
      <w:r w:rsidRPr="00FE1F37">
        <w:rPr>
          <w:lang w:val="pt-BR"/>
        </w:rPr>
        <w:t>logítica</w:t>
      </w:r>
      <w:proofErr w:type="spellEnd"/>
      <w:r w:rsidRPr="00FE1F37">
        <w:rPr>
          <w:lang w:val="pt-BR"/>
        </w:rPr>
        <w:t xml:space="preserve">, a regressão logística identifica iterativamente a combinação linear mais forte de variáveis com a maior probabilidade de detectar o resultado observado. </w:t>
      </w:r>
    </w:p>
    <w:p w14:paraId="1EAA421D" w14:textId="77777777" w:rsidR="00FE1F37" w:rsidRPr="00FE1F37" w:rsidRDefault="00FE1F37" w:rsidP="00FE1F37">
      <w:pPr>
        <w:jc w:val="both"/>
        <w:rPr>
          <w:lang w:val="pt-BR"/>
        </w:rPr>
      </w:pPr>
    </w:p>
    <w:p w14:paraId="28F955ED" w14:textId="04B703C4" w:rsidR="005A37EE" w:rsidRPr="00FE1F37" w:rsidRDefault="00FE1F37" w:rsidP="00FE1F37">
      <w:pPr>
        <w:jc w:val="both"/>
        <w:rPr>
          <w:lang w:val="pt-BR"/>
        </w:rPr>
      </w:pPr>
      <w:r w:rsidRPr="00FE1F37">
        <w:rPr>
          <w:lang w:val="pt-BR"/>
        </w:rPr>
        <w:t xml:space="preserve">Considerações importantes na condução da regressão logística incluem a </w:t>
      </w:r>
      <w:proofErr w:type="spellStart"/>
      <w:r w:rsidRPr="00FE1F37">
        <w:rPr>
          <w:lang w:val="pt-BR"/>
        </w:rPr>
        <w:t>selecção</w:t>
      </w:r>
      <w:proofErr w:type="spellEnd"/>
      <w:r w:rsidRPr="00FE1F37">
        <w:rPr>
          <w:lang w:val="pt-BR"/>
        </w:rPr>
        <w:t xml:space="preserve"> de variáveis independentes, a garantia de que os pressupostos relevantes são cumpridos, e a escolha de uma estratégia adequada de construção de modelos. Para a </w:t>
      </w:r>
      <w:proofErr w:type="spellStart"/>
      <w:r w:rsidRPr="00FE1F37">
        <w:rPr>
          <w:lang w:val="pt-BR"/>
        </w:rPr>
        <w:t>selecção</w:t>
      </w:r>
      <w:proofErr w:type="spellEnd"/>
      <w:r w:rsidRPr="00FE1F37">
        <w:rPr>
          <w:lang w:val="pt-BR"/>
        </w:rPr>
        <w:t xml:space="preserve"> de variáveis independentes, deve-se orientar por </w:t>
      </w:r>
      <w:proofErr w:type="spellStart"/>
      <w:r w:rsidRPr="00FE1F37">
        <w:rPr>
          <w:lang w:val="pt-BR"/>
        </w:rPr>
        <w:t>factores</w:t>
      </w:r>
      <w:proofErr w:type="spellEnd"/>
      <w:r w:rsidRPr="00FE1F37">
        <w:rPr>
          <w:lang w:val="pt-BR"/>
        </w:rPr>
        <w:t xml:space="preserve"> tais como teoria aceite, investigações empíricas anteriores, considerações clínicas, e análises estatísticas </w:t>
      </w:r>
      <w:proofErr w:type="spellStart"/>
      <w:r w:rsidRPr="00FE1F37">
        <w:rPr>
          <w:lang w:val="pt-BR"/>
        </w:rPr>
        <w:t>univariadas</w:t>
      </w:r>
      <w:proofErr w:type="spellEnd"/>
      <w:r w:rsidRPr="00FE1F37">
        <w:rPr>
          <w:lang w:val="pt-BR"/>
        </w:rPr>
        <w:t xml:space="preserve">, com reconhecimento de potenciais variáveis confusas que devem ser contabilizadas. Os pressupostos básicos que devem ser cumpridos para a regressão logística incluem independência de erros, linearidade no </w:t>
      </w:r>
      <w:proofErr w:type="spellStart"/>
      <w:r w:rsidRPr="00FE1F37">
        <w:rPr>
          <w:lang w:val="pt-BR"/>
        </w:rPr>
        <w:t>logit</w:t>
      </w:r>
      <w:proofErr w:type="spellEnd"/>
      <w:r w:rsidRPr="00FE1F37">
        <w:rPr>
          <w:lang w:val="pt-BR"/>
        </w:rPr>
        <w:t xml:space="preserve"> para variáveis contínuas, ausência de </w:t>
      </w:r>
      <w:proofErr w:type="spellStart"/>
      <w:r w:rsidRPr="00FE1F37">
        <w:rPr>
          <w:lang w:val="pt-BR"/>
        </w:rPr>
        <w:t>multicolinearidade</w:t>
      </w:r>
      <w:proofErr w:type="spellEnd"/>
      <w:r w:rsidRPr="00FE1F37">
        <w:rPr>
          <w:lang w:val="pt-BR"/>
        </w:rPr>
        <w:t xml:space="preserve">, e ausência de </w:t>
      </w:r>
      <w:proofErr w:type="spellStart"/>
      <w:r w:rsidRPr="00FE1F37">
        <w:rPr>
          <w:lang w:val="pt-BR"/>
        </w:rPr>
        <w:t>outliers</w:t>
      </w:r>
      <w:proofErr w:type="spellEnd"/>
      <w:r w:rsidRPr="00FE1F37">
        <w:rPr>
          <w:lang w:val="pt-BR"/>
        </w:rPr>
        <w:t xml:space="preserve"> fortemente influentes. Além disso, deve haver um número adequado de eventos por variável independente para evitar um modelo de </w:t>
      </w:r>
      <w:proofErr w:type="spellStart"/>
      <w:r w:rsidRPr="00FE1F37">
        <w:rPr>
          <w:lang w:val="pt-BR"/>
        </w:rPr>
        <w:t>sobreajustamento</w:t>
      </w:r>
      <w:proofErr w:type="spellEnd"/>
      <w:r w:rsidRPr="00FE1F37">
        <w:rPr>
          <w:lang w:val="pt-BR"/>
        </w:rPr>
        <w:t xml:space="preserve">, com "regras de polegar" mínimas geralmente recomendadas, variando de 10 a 20 eventos por </w:t>
      </w:r>
      <w:proofErr w:type="spellStart"/>
      <w:r w:rsidRPr="00FE1F37">
        <w:rPr>
          <w:lang w:val="pt-BR"/>
        </w:rPr>
        <w:t>covariada</w:t>
      </w:r>
      <w:proofErr w:type="spellEnd"/>
      <w:r w:rsidRPr="00FE1F37">
        <w:rPr>
          <w:lang w:val="pt-BR"/>
        </w:rPr>
        <w:t xml:space="preserve">. Relativamente às estratégias de construção de modelos, os três tipos gerais são </w:t>
      </w:r>
      <w:proofErr w:type="spellStart"/>
      <w:r w:rsidRPr="00FE1F37">
        <w:rPr>
          <w:lang w:val="pt-BR"/>
        </w:rPr>
        <w:t>direct</w:t>
      </w:r>
      <w:proofErr w:type="spellEnd"/>
      <w:r w:rsidRPr="00FE1F37">
        <w:rPr>
          <w:lang w:val="pt-BR"/>
        </w:rPr>
        <w:t xml:space="preserve">⁄ standard, sequencial ⁄ hierárquico, e passo a passo ⁄ estatístico, tendo cada um deles uma ênfase e um </w:t>
      </w:r>
      <w:proofErr w:type="spellStart"/>
      <w:r w:rsidRPr="00FE1F37">
        <w:rPr>
          <w:lang w:val="pt-BR"/>
        </w:rPr>
        <w:t>objectivo</w:t>
      </w:r>
      <w:proofErr w:type="spellEnd"/>
      <w:r w:rsidRPr="00FE1F37">
        <w:rPr>
          <w:lang w:val="pt-BR"/>
        </w:rPr>
        <w:t xml:space="preserve"> diferentes. Antes de se chegar a conclusões definitivas a partir dos resultados de qualquer destes métodos, deve-se quantificar formalmente a validade interna do modelo (ou seja, a </w:t>
      </w:r>
      <w:proofErr w:type="spellStart"/>
      <w:r w:rsidRPr="00FE1F37">
        <w:rPr>
          <w:lang w:val="pt-BR"/>
        </w:rPr>
        <w:t>replicabilidade</w:t>
      </w:r>
      <w:proofErr w:type="spellEnd"/>
      <w:r w:rsidRPr="00FE1F37">
        <w:rPr>
          <w:lang w:val="pt-BR"/>
        </w:rPr>
        <w:t xml:space="preserve"> dentro do mesmo conjunto de dados) e a validade externa (ou seja, a </w:t>
      </w:r>
      <w:proofErr w:type="spellStart"/>
      <w:r w:rsidRPr="00FE1F37">
        <w:rPr>
          <w:lang w:val="pt-BR"/>
        </w:rPr>
        <w:t>generalizabilidade</w:t>
      </w:r>
      <w:proofErr w:type="spellEnd"/>
      <w:r w:rsidRPr="00FE1F37">
        <w:rPr>
          <w:lang w:val="pt-BR"/>
        </w:rPr>
        <w:t xml:space="preserve"> para além da amostra </w:t>
      </w:r>
      <w:proofErr w:type="spellStart"/>
      <w:r w:rsidRPr="00FE1F37">
        <w:rPr>
          <w:lang w:val="pt-BR"/>
        </w:rPr>
        <w:t>actual</w:t>
      </w:r>
      <w:proofErr w:type="spellEnd"/>
      <w:r w:rsidRPr="00FE1F37">
        <w:rPr>
          <w:lang w:val="pt-BR"/>
        </w:rPr>
        <w:t xml:space="preserve">). A adequação global do modelo de regressão logística resultante aos dados da amostra é avaliada utilizando várias medidas de adequação, com uma melhor adequação caracterizada por uma menor diferença entre os valores observados e os valores previstos no modelo. Recomenda-se também a utilização de estatísticas de diagnóstico para avaliar melhor a adequação do modelo. Finalmente, os resultados para variáveis independentes são normalmente reportados como </w:t>
      </w:r>
      <w:proofErr w:type="spellStart"/>
      <w:r w:rsidRPr="00FE1F37">
        <w:rPr>
          <w:lang w:val="pt-BR"/>
        </w:rPr>
        <w:t>odds</w:t>
      </w:r>
      <w:proofErr w:type="spellEnd"/>
      <w:r w:rsidRPr="00FE1F37">
        <w:rPr>
          <w:lang w:val="pt-BR"/>
        </w:rPr>
        <w:t xml:space="preserve"> </w:t>
      </w:r>
      <w:proofErr w:type="spellStart"/>
      <w:r w:rsidRPr="00FE1F37">
        <w:rPr>
          <w:lang w:val="pt-BR"/>
        </w:rPr>
        <w:t>ratios</w:t>
      </w:r>
      <w:proofErr w:type="spellEnd"/>
      <w:r w:rsidRPr="00FE1F37">
        <w:rPr>
          <w:lang w:val="pt-BR"/>
        </w:rPr>
        <w:t xml:space="preserve"> (</w:t>
      </w:r>
      <w:proofErr w:type="spellStart"/>
      <w:r w:rsidRPr="00FE1F37">
        <w:rPr>
          <w:lang w:val="pt-BR"/>
        </w:rPr>
        <w:t>ORs</w:t>
      </w:r>
      <w:proofErr w:type="spellEnd"/>
      <w:r w:rsidRPr="00FE1F37">
        <w:rPr>
          <w:lang w:val="pt-BR"/>
        </w:rPr>
        <w:t>) com intervalos de confiança de 95% (</w:t>
      </w:r>
      <w:proofErr w:type="spellStart"/>
      <w:r w:rsidRPr="00FE1F37">
        <w:rPr>
          <w:lang w:val="pt-BR"/>
        </w:rPr>
        <w:t>CIs</w:t>
      </w:r>
      <w:proofErr w:type="spellEnd"/>
      <w:r w:rsidRPr="00FE1F37">
        <w:rPr>
          <w:lang w:val="pt-BR"/>
        </w:rPr>
        <w:t xml:space="preserve">). </w:t>
      </w:r>
      <w:proofErr w:type="spellStart"/>
      <w:r w:rsidRPr="00FE1F37">
        <w:rPr>
          <w:lang w:val="pt-BR"/>
        </w:rPr>
        <w:t>macos</w:t>
      </w:r>
      <w:proofErr w:type="spellEnd"/>
      <w:r w:rsidRPr="00FE1F37">
        <w:rPr>
          <w:lang w:val="pt-BR"/>
        </w:rPr>
        <w:t>/</w:t>
      </w:r>
      <w:proofErr w:type="spellStart"/>
      <w:r w:rsidRPr="00FE1F37">
        <w:rPr>
          <w:lang w:val="pt-BR"/>
        </w:rPr>
        <w:t>deepLFree.translatedWithDeepL.text</w:t>
      </w:r>
      <w:proofErr w:type="spellEnd"/>
    </w:p>
    <w:sectPr w:rsidR="005A37EE" w:rsidRPr="00FE1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37"/>
    <w:rsid w:val="0030569A"/>
    <w:rsid w:val="00B61E7E"/>
    <w:rsid w:val="00B951D7"/>
    <w:rsid w:val="00BB4EFB"/>
    <w:rsid w:val="00FE1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E93E"/>
  <w15:chartTrackingRefBased/>
  <w15:docId w15:val="{75B4C13B-559D-4C4C-8AAE-85B49F9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85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51F93-27DF-F342-8C99-50F60B6C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2021-04-13T16:31:00Z</dcterms:created>
  <dcterms:modified xsi:type="dcterms:W3CDTF">2021-04-13T16:32:00Z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