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94F" w14:textId="77777777" w:rsidR="00184206" w:rsidRPr="00184206" w:rsidRDefault="00184206" w:rsidP="0056577E">
      <w:pPr>
        <w:jc w:val="both"/>
        <w:rPr>
          <w:rFonts w:ascii="Times New Roman" w:eastAsia="Times New Roman" w:hAnsi="Times New Roman" w:cs="Times New Roman"/>
          <w:lang w:eastAsia="en-GB"/>
        </w:rPr>
      </w:pPr>
      <w:r w:rsidRPr="00184206">
        <w:rPr>
          <w:rFonts w:ascii="Times New Roman" w:eastAsia="Times New Roman" w:hAnsi="Times New Roman" w:cs="Times New Roman"/>
          <w:lang w:eastAsia="en-GB"/>
        </w:rPr>
        <w:t>The importance of interpretability and visualization in machine learning for applications in medicine and health care</w:t>
      </w:r>
    </w:p>
    <w:p w14:paraId="0F55E0F5" w14:textId="2B21F6EE" w:rsidR="00184206" w:rsidRDefault="00184206" w:rsidP="0056577E">
      <w:pPr>
        <w:jc w:val="both"/>
      </w:pPr>
    </w:p>
    <w:p w14:paraId="510ACA06" w14:textId="25F51F8C" w:rsidR="00184206" w:rsidRDefault="00184206" w:rsidP="0056577E">
      <w:pPr>
        <w:jc w:val="both"/>
      </w:pPr>
    </w:p>
    <w:p w14:paraId="47C80FC1" w14:textId="61114D68" w:rsidR="00184206" w:rsidRDefault="00184206" w:rsidP="0056577E">
      <w:pPr>
        <w:jc w:val="both"/>
      </w:pPr>
    </w:p>
    <w:p w14:paraId="6FD37701" w14:textId="65C7248B" w:rsidR="00184206" w:rsidRDefault="00184206" w:rsidP="0056577E">
      <w:pPr>
        <w:jc w:val="both"/>
      </w:pPr>
      <w:r>
        <w:fldChar w:fldCharType="begin" w:fldLock="1"/>
      </w:r>
      <w:r>
        <w:instrText>ADDIN CSL_CITATION {"citationItems":[{"id":"ITEM-1","itemData":{"DOI":"10.1007/s00521-019-04051-w","ISBN":"0123456789","ISSN":"14333058","abstract":"In a short period of time, many areas of science have made a sharp transition towards data-dependent methods. In some cases, this process has been enabled by simultaneous advances in data acquisition and the development of networked system technologies. This new situation is particularly clear in the life sciences, where data overabundance has sparked a flurry of new methodologies for data management and analysis. This can be seen as a perfect scenario for the use of machine learning and computational intelligence techniques to address problems in which more traditional data analysis approaches might struggle. But, this scenario also poses some serious challenges. One of them is model interpretability and explainability, especially for complex nonlinear models. In some areas such as medicine and health care, not addressing such challenge might seriously limit the chances of adoption, in real practice, of computer-based systems that rely on machine learning and computational intelligence methods for data analysis. In this paper, we reflect on recent investigations about the interpretability and explainability of machine learning methods and discuss their impact on medicine and health care. We pay specific attention to one of the ways in which interpretability and explainability in this context can be addressed, which is through data and model visualization. We argue that, beyond improving model interpretability as a goal in itself, we need to integrate the medical experts in the design of data analysis interpretation strategies. Otherwise, machine learning is unlikely to become a part of routine clinical and health care practice.","author":[{"dropping-particle":"","family":"Vellido","given":"Alfredo","non-dropping-particle":"","parse-names":false,"suffix":""}],"container-title":"Neural Computing and Applications","id":"ITEM-1","issue":"24","issued":{"date-parts":[["2020"]]},"note":"Q1","page":"18069-18083","title":"The importance of interpretability and visualization in machine learning for applications in medicine and health care","type":"article-journal","volume":"32"},"uris":["http://www.mendeley.com/documents/?uuid=6d36a70d-a462-43f4-913a-cbb0abe8c28b"]}],"mendeley":{"formattedCitation":"(Vellido, 2020)","plainTextFormattedCitation":"(Vellido, 2020)","previouslyFormattedCitation":"(Vellido, 2020)"},"properties":{"noteIndex":0},"schema":"https://github.com/citation-style-language/schema/raw/master/csl-citation.json"}</w:instrText>
      </w:r>
      <w:r>
        <w:fldChar w:fldCharType="separate"/>
      </w:r>
      <w:r w:rsidRPr="00184206">
        <w:rPr>
          <w:noProof/>
        </w:rPr>
        <w:t>(Vellido, 2020)</w:t>
      </w:r>
      <w:r>
        <w:fldChar w:fldCharType="end"/>
      </w:r>
    </w:p>
    <w:p w14:paraId="0F1A395C" w14:textId="7C172C46" w:rsidR="00184206" w:rsidRDefault="00184206" w:rsidP="0056577E">
      <w:pPr>
        <w:jc w:val="both"/>
      </w:pPr>
    </w:p>
    <w:p w14:paraId="3CB3AD93" w14:textId="618B7C27" w:rsidR="00184206" w:rsidRPr="00184206" w:rsidRDefault="00184206" w:rsidP="0056577E">
      <w:pPr>
        <w:widowControl w:val="0"/>
        <w:autoSpaceDE w:val="0"/>
        <w:autoSpaceDN w:val="0"/>
        <w:adjustRightInd w:val="0"/>
        <w:ind w:left="480" w:hanging="480"/>
        <w:jc w:val="both"/>
        <w:rPr>
          <w:rFonts w:ascii="Calibri" w:hAnsi="Calibri"/>
          <w:noProof/>
        </w:rPr>
      </w:pPr>
      <w:r>
        <w:fldChar w:fldCharType="begin" w:fldLock="1"/>
      </w:r>
      <w:r>
        <w:instrText xml:space="preserve">ADDIN Mendeley Bibliography CSL_BIBLIOGRAPHY </w:instrText>
      </w:r>
      <w:r>
        <w:fldChar w:fldCharType="separate"/>
      </w:r>
      <w:r w:rsidRPr="00184206">
        <w:rPr>
          <w:rFonts w:ascii="Calibri" w:hAnsi="Calibri" w:cs="Times New Roman"/>
          <w:noProof/>
        </w:rPr>
        <w:t xml:space="preserve">Vellido, A. (2020). The importance of interpretability and visualization in machine learning for applications in medicine and health care. </w:t>
      </w:r>
      <w:r w:rsidRPr="00184206">
        <w:rPr>
          <w:rFonts w:ascii="Calibri" w:hAnsi="Calibri" w:cs="Times New Roman"/>
          <w:i/>
          <w:iCs/>
          <w:noProof/>
        </w:rPr>
        <w:t>Neural Computing and Applications</w:t>
      </w:r>
      <w:r w:rsidRPr="00184206">
        <w:rPr>
          <w:rFonts w:ascii="Calibri" w:hAnsi="Calibri" w:cs="Times New Roman"/>
          <w:noProof/>
        </w:rPr>
        <w:t xml:space="preserve">, </w:t>
      </w:r>
      <w:r w:rsidRPr="00184206">
        <w:rPr>
          <w:rFonts w:ascii="Calibri" w:hAnsi="Calibri" w:cs="Times New Roman"/>
          <w:i/>
          <w:iCs/>
          <w:noProof/>
        </w:rPr>
        <w:t>32</w:t>
      </w:r>
      <w:r w:rsidRPr="00184206">
        <w:rPr>
          <w:rFonts w:ascii="Calibri" w:hAnsi="Calibri" w:cs="Times New Roman"/>
          <w:noProof/>
        </w:rPr>
        <w:t>(24), 18069–18083. https://doi.org/10.1007/s00521-019-04051-w</w:t>
      </w:r>
    </w:p>
    <w:p w14:paraId="200A7FEE" w14:textId="5416A962" w:rsidR="00184206" w:rsidRDefault="00184206" w:rsidP="0056577E">
      <w:pPr>
        <w:jc w:val="both"/>
      </w:pPr>
      <w:r>
        <w:fldChar w:fldCharType="end"/>
      </w:r>
    </w:p>
    <w:p w14:paraId="62A441F7" w14:textId="5B4960AD" w:rsidR="00184206" w:rsidRDefault="00184206" w:rsidP="0056577E">
      <w:pPr>
        <w:jc w:val="both"/>
      </w:pPr>
    </w:p>
    <w:p w14:paraId="290EAFFB" w14:textId="3381EF93" w:rsidR="00507E3B" w:rsidRDefault="00507E3B" w:rsidP="0056577E">
      <w:pPr>
        <w:jc w:val="both"/>
      </w:pPr>
    </w:p>
    <w:p w14:paraId="2FDDE3F9" w14:textId="77777777" w:rsidR="00507E3B" w:rsidRPr="00363ED3" w:rsidRDefault="00507E3B" w:rsidP="00507E3B">
      <w:pPr>
        <w:jc w:val="both"/>
        <w:rPr>
          <w:lang w:val="pt-BR"/>
        </w:rPr>
      </w:pPr>
      <w:r w:rsidRPr="00363ED3">
        <w:rPr>
          <w:lang w:val="pt-BR"/>
        </w:rPr>
        <w:t>Abstrato</w:t>
      </w:r>
    </w:p>
    <w:p w14:paraId="6E7F8485" w14:textId="77777777" w:rsidR="00507E3B" w:rsidRPr="00363ED3" w:rsidRDefault="00507E3B" w:rsidP="00507E3B">
      <w:pPr>
        <w:jc w:val="both"/>
        <w:rPr>
          <w:lang w:val="pt-BR"/>
        </w:rPr>
      </w:pPr>
    </w:p>
    <w:p w14:paraId="1AD0A782" w14:textId="2D0BE3F2" w:rsidR="00507E3B" w:rsidRPr="00363ED3" w:rsidRDefault="00507E3B" w:rsidP="00507E3B">
      <w:pPr>
        <w:jc w:val="both"/>
        <w:rPr>
          <w:lang w:val="pt-BR"/>
        </w:rPr>
      </w:pPr>
      <w:r w:rsidRPr="00363ED3">
        <w:rPr>
          <w:lang w:val="pt-BR"/>
        </w:rPr>
        <w:t>Num curto período de tempo, muitas áreas da ciência fizeram uma transição brusca para métodos dependentes de dados. Em algumas este processo foi possibilitado pelos avanços simultâneos na aquisição de dados e pelo desenvolvimento de redes tecnologias de sistemas. Esta nova situação é particularmente clara nas ciências da vida, onde a superabundância de dados desencadeou uma fluxo de novas metodologias de gestão e análise de dados. Isto pode ser visto como um cenário perfeito para a utilização de aprendizagem de máquinas e técnicas de inteligência computacional para resolver problemas em que a análise de dados mais tradicional abordagens podem ter dificuldades. Mas, este cenário também coloca alguns desafios sérios. Um deles é a interpretabilidade de modelos e explicabilidade, especialmente para modelos complexos não lineares.</w:t>
      </w:r>
    </w:p>
    <w:p w14:paraId="1CD9187C" w14:textId="77777777" w:rsidR="00184206" w:rsidRPr="00363ED3" w:rsidRDefault="00184206" w:rsidP="0056577E">
      <w:pPr>
        <w:jc w:val="both"/>
        <w:rPr>
          <w:lang w:val="pt-BR"/>
        </w:rPr>
      </w:pPr>
    </w:p>
    <w:p w14:paraId="02729061" w14:textId="73F4FC17" w:rsidR="00184206" w:rsidRPr="00184206" w:rsidRDefault="00184206" w:rsidP="0056577E">
      <w:pPr>
        <w:jc w:val="both"/>
        <w:rPr>
          <w:lang w:val="pt-BR"/>
        </w:rPr>
      </w:pPr>
      <w:r w:rsidRPr="00184206">
        <w:rPr>
          <w:lang w:val="pt-BR"/>
        </w:rPr>
        <w:t xml:space="preserve">Em algumas áreas tais como medicina e cuidados de saúde, não abordar tal desafio pode limitar seriamente as hipóteses de adopção, na prática real, de sistemas baseados em computador que dependam de aprendizagem de máquinas e métodos de inteligência computacional para análise de dados. Neste documento, </w:t>
      </w:r>
      <w:proofErr w:type="spellStart"/>
      <w:r w:rsidRPr="00184206">
        <w:rPr>
          <w:lang w:val="pt-BR"/>
        </w:rPr>
        <w:t>reflectimos</w:t>
      </w:r>
      <w:proofErr w:type="spellEnd"/>
      <w:r w:rsidRPr="00184206">
        <w:rPr>
          <w:lang w:val="pt-BR"/>
        </w:rPr>
        <w:t xml:space="preserve"> sobre investigações recentes sobre a </w:t>
      </w:r>
      <w:proofErr w:type="spellStart"/>
      <w:r w:rsidRPr="00184206">
        <w:rPr>
          <w:lang w:val="pt-BR"/>
        </w:rPr>
        <w:t>interpretabilidade</w:t>
      </w:r>
      <w:proofErr w:type="spellEnd"/>
      <w:r w:rsidRPr="00184206">
        <w:rPr>
          <w:lang w:val="pt-BR"/>
        </w:rPr>
        <w:t xml:space="preserve"> e </w:t>
      </w:r>
      <w:proofErr w:type="spellStart"/>
      <w:r w:rsidRPr="00184206">
        <w:rPr>
          <w:lang w:val="pt-BR"/>
        </w:rPr>
        <w:t>explicabilidade</w:t>
      </w:r>
      <w:proofErr w:type="spellEnd"/>
      <w:r w:rsidRPr="00184206">
        <w:rPr>
          <w:lang w:val="pt-BR"/>
        </w:rPr>
        <w:t xml:space="preserve"> dos métodos de aprendizagem de máquinas e discutimos o seu impacto na medicina e cuidados de saúde. Prestamos atenção específica a uma das formas em que a </w:t>
      </w:r>
      <w:proofErr w:type="spellStart"/>
      <w:r w:rsidRPr="00184206">
        <w:rPr>
          <w:lang w:val="pt-BR"/>
        </w:rPr>
        <w:t>interpretabilidade</w:t>
      </w:r>
      <w:proofErr w:type="spellEnd"/>
      <w:r w:rsidRPr="00184206">
        <w:rPr>
          <w:lang w:val="pt-BR"/>
        </w:rPr>
        <w:t xml:space="preserve"> e a </w:t>
      </w:r>
      <w:proofErr w:type="spellStart"/>
      <w:r w:rsidRPr="00184206">
        <w:rPr>
          <w:lang w:val="pt-BR"/>
        </w:rPr>
        <w:t>explicabilidade</w:t>
      </w:r>
      <w:proofErr w:type="spellEnd"/>
      <w:r w:rsidRPr="00184206">
        <w:rPr>
          <w:lang w:val="pt-BR"/>
        </w:rPr>
        <w:t xml:space="preserve"> neste contexto podem ser abordada, que é através da visualização de dados e modelos. Argumentamos que, para além de melhorar a </w:t>
      </w:r>
      <w:proofErr w:type="spellStart"/>
      <w:r w:rsidRPr="00184206">
        <w:rPr>
          <w:lang w:val="pt-BR"/>
        </w:rPr>
        <w:t>interpretabilidade</w:t>
      </w:r>
      <w:proofErr w:type="spellEnd"/>
      <w:r w:rsidRPr="00184206">
        <w:rPr>
          <w:lang w:val="pt-BR"/>
        </w:rPr>
        <w:t xml:space="preserve"> do modelo como um objetivo em si, precisamos de integrar os peritos médicos na concepção de estratégias de interpretação de análise de dados. Caso contrário, é pouco provável que a aprendizagem de máquinas se torne parte da prática clínica e de cuidados de saúde de rotina.</w:t>
      </w:r>
    </w:p>
    <w:p w14:paraId="00199B7B" w14:textId="77777777" w:rsidR="00184206" w:rsidRPr="00184206" w:rsidRDefault="00184206" w:rsidP="0056577E">
      <w:pPr>
        <w:jc w:val="both"/>
        <w:rPr>
          <w:lang w:val="pt-BR"/>
        </w:rPr>
      </w:pPr>
    </w:p>
    <w:p w14:paraId="716E60AD" w14:textId="77777777" w:rsidR="00184206" w:rsidRPr="00184206" w:rsidRDefault="00184206" w:rsidP="0056577E">
      <w:pPr>
        <w:jc w:val="both"/>
        <w:rPr>
          <w:lang w:val="pt-BR"/>
        </w:rPr>
      </w:pPr>
      <w:r w:rsidRPr="00184206">
        <w:rPr>
          <w:lang w:val="pt-BR"/>
        </w:rPr>
        <w:t>4 Aprendizagem mecânica interpretável na saúde cuidados e medicina: uma chave para a adopção</w:t>
      </w:r>
    </w:p>
    <w:p w14:paraId="327FB704" w14:textId="77777777" w:rsidR="00184206" w:rsidRPr="00184206" w:rsidRDefault="00184206" w:rsidP="0056577E">
      <w:pPr>
        <w:jc w:val="both"/>
        <w:rPr>
          <w:lang w:val="pt-BR"/>
        </w:rPr>
      </w:pPr>
    </w:p>
    <w:p w14:paraId="689CEC31" w14:textId="77777777" w:rsidR="00184206" w:rsidRPr="00184206" w:rsidRDefault="00184206" w:rsidP="0056577E">
      <w:pPr>
        <w:jc w:val="both"/>
        <w:rPr>
          <w:lang w:val="pt-BR"/>
        </w:rPr>
      </w:pPr>
      <w:r w:rsidRPr="00184206">
        <w:rPr>
          <w:lang w:val="pt-BR"/>
        </w:rPr>
        <w:t>Tal como mencionado na introdução, estamos a assistir a um transição radical e extremamente rápida para os dados dependência nas ciências da vida. Este processo está a colocar muita pressão sobre o desenvolvimento de estratégias inovadoras para gestão de dados biológicos, curadoria e, em última análise, análise.</w:t>
      </w:r>
    </w:p>
    <w:p w14:paraId="671E0889" w14:textId="77777777" w:rsidR="00184206" w:rsidRPr="00184206" w:rsidRDefault="00184206" w:rsidP="0056577E">
      <w:pPr>
        <w:jc w:val="both"/>
        <w:rPr>
          <w:lang w:val="pt-BR"/>
        </w:rPr>
      </w:pPr>
      <w:r w:rsidRPr="00184206">
        <w:rPr>
          <w:lang w:val="pt-BR"/>
        </w:rPr>
        <w:lastRenderedPageBreak/>
        <w:t>Estes desafios também foram reconhecidos nos domínios particulares dos cuidados de saúde e da medicina, nos quais podem ter tido comparativamente menos repercussões devido ao facto de, na maioria dos casos, não gerarem dados nas grandes quantidades que se estão a tornar comuns, por exemplo, na bioinformática. Mesmo aqui, porém, a potencial complexidade e heterogeneidade dos dados médicos implica que "'ainda não é possível criar um modelo abrangente capazes de considerar todos os aspectos dos sistemas de cuidados de saúde" [34].</w:t>
      </w:r>
    </w:p>
    <w:p w14:paraId="063A6FD3" w14:textId="77777777" w:rsidR="00184206" w:rsidRPr="00184206" w:rsidRDefault="00184206" w:rsidP="0056577E">
      <w:pPr>
        <w:jc w:val="both"/>
        <w:rPr>
          <w:lang w:val="pt-BR"/>
        </w:rPr>
      </w:pPr>
    </w:p>
    <w:p w14:paraId="0AE0B564" w14:textId="77777777" w:rsidR="00184206" w:rsidRPr="00184206" w:rsidRDefault="00184206" w:rsidP="0056577E">
      <w:pPr>
        <w:jc w:val="both"/>
        <w:rPr>
          <w:lang w:val="pt-BR"/>
        </w:rPr>
      </w:pPr>
    </w:p>
    <w:p w14:paraId="699B7898" w14:textId="7C6C2160" w:rsidR="005A37EE" w:rsidRPr="00184206" w:rsidRDefault="00184206" w:rsidP="0056577E">
      <w:pPr>
        <w:jc w:val="both"/>
        <w:rPr>
          <w:lang w:val="pt-BR"/>
        </w:rPr>
      </w:pPr>
      <w:r w:rsidRPr="00184206">
        <w:rPr>
          <w:lang w:val="pt-BR"/>
        </w:rPr>
        <w:t xml:space="preserve">Dada a superabundância deste tipo de informação, a utilização de técnicas mineiras para a extração automatizada do conhecimento pode parecer uma ideia impecável. Tem-se argumentado, no entanto, que, a menos que devidamente concebidos e implementados, estes métodos poderiam levar a uma redução de competências entre os peritos médicos. A pressão exercida sobre os médicos para que façam uso dos EHR numa base rotineira pode também levar a relatórios de conteúdo empobrecido devido a restrições de tempo e a um aumento da dificuldade de encontrar um equilíbrio entre um envolvimento pessoal adequado com os pacientes e o cumprimento das </w:t>
      </w:r>
      <w:proofErr w:type="spellStart"/>
      <w:r w:rsidRPr="00184206">
        <w:rPr>
          <w:lang w:val="pt-BR"/>
        </w:rPr>
        <w:t>directrizes</w:t>
      </w:r>
      <w:proofErr w:type="spellEnd"/>
      <w:r w:rsidRPr="00184206">
        <w:rPr>
          <w:lang w:val="pt-BR"/>
        </w:rPr>
        <w:t xml:space="preserve"> de utilização dos EHR [36]. </w:t>
      </w:r>
    </w:p>
    <w:sectPr w:rsidR="005A37EE" w:rsidRPr="00184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6"/>
    <w:rsid w:val="00184206"/>
    <w:rsid w:val="0030569A"/>
    <w:rsid w:val="00363ED3"/>
    <w:rsid w:val="00507E3B"/>
    <w:rsid w:val="0056577E"/>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C740"/>
  <w15:chartTrackingRefBased/>
  <w15:docId w15:val="{AED1CC48-BF53-5C4E-B315-39549710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5D2-F300-874C-8652-60B31B50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2021-04-14T09:10:00Z</dcterms:created>
  <dcterms:modified xsi:type="dcterms:W3CDTF">2021-04-14T09:29:00Z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