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F2EBC" w14:textId="77777777" w:rsidR="00F95530" w:rsidRPr="00F95530" w:rsidRDefault="00F95530" w:rsidP="00F95530">
      <w:pPr>
        <w:rPr>
          <w:rFonts w:ascii="Times New Roman" w:eastAsia="Times New Roman" w:hAnsi="Times New Roman" w:cs="Times New Roman"/>
          <w:lang w:eastAsia="en-GB"/>
        </w:rPr>
      </w:pPr>
      <w:r w:rsidRPr="00F95530">
        <w:rPr>
          <w:rFonts w:ascii="Times New Roman" w:eastAsia="Times New Roman" w:hAnsi="Times New Roman" w:cs="Times New Roman"/>
          <w:lang w:eastAsia="en-GB"/>
        </w:rPr>
        <w:t>Prediction of Incident Delirium Using a Random Forest classifier</w:t>
      </w:r>
    </w:p>
    <w:p w14:paraId="3E247D57" w14:textId="1F30CB0D" w:rsidR="00F95530" w:rsidRDefault="00F95530" w:rsidP="00F95530">
      <w:pPr>
        <w:jc w:val="both"/>
      </w:pPr>
    </w:p>
    <w:p w14:paraId="2DEA62CD" w14:textId="13DD2B57" w:rsidR="00F95530" w:rsidRDefault="00F95530" w:rsidP="00F95530">
      <w:pPr>
        <w:jc w:val="both"/>
      </w:pPr>
    </w:p>
    <w:p w14:paraId="26D46C6B" w14:textId="67542ADE" w:rsidR="00F95530" w:rsidRDefault="00F95530" w:rsidP="00F95530">
      <w:pPr>
        <w:jc w:val="both"/>
      </w:pPr>
      <w: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classifier","type":"article-journal","volume":"42"},"uris":["http://www.mendeley.com/documents/?uuid=6c35839a-413b-4f79-9427-08f037eb875e"]}],"mendeley":{"formattedCitation":"(Corradi,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fldChar w:fldCharType="separate"/>
      </w:r>
      <w:r w:rsidRPr="00F95530">
        <w:rPr>
          <w:noProof/>
        </w:rPr>
        <w:t>(Corradi, Thompson, Mather, Waszynski, &amp; Dicks, 2018)</w:t>
      </w:r>
      <w:r>
        <w:fldChar w:fldCharType="end"/>
      </w:r>
    </w:p>
    <w:p w14:paraId="2AA4A904" w14:textId="09F4C603" w:rsidR="00F95530" w:rsidRDefault="00F95530" w:rsidP="00F95530">
      <w:pPr>
        <w:jc w:val="both"/>
      </w:pPr>
    </w:p>
    <w:p w14:paraId="08DFC1B6" w14:textId="38CBA520" w:rsidR="00F95530" w:rsidRPr="00F95530" w:rsidRDefault="00F95530" w:rsidP="00F95530">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Pr="00F95530">
        <w:rPr>
          <w:rFonts w:ascii="Calibri" w:hAnsi="Calibri" w:cs="Times New Roman"/>
          <w:noProof/>
        </w:rPr>
        <w:t xml:space="preserve">Corradi, J. P., Thompson, S., Mather, J. F., Waszynski, C. M., &amp; Dicks, R. S. (2018). Prediction of Incident Delirium Using a Random Forest classifier. </w:t>
      </w:r>
      <w:r w:rsidRPr="00F95530">
        <w:rPr>
          <w:rFonts w:ascii="Calibri" w:hAnsi="Calibri" w:cs="Times New Roman"/>
          <w:i/>
          <w:iCs/>
          <w:noProof/>
        </w:rPr>
        <w:t>Journal of Medical Systems</w:t>
      </w:r>
      <w:r w:rsidRPr="00F95530">
        <w:rPr>
          <w:rFonts w:ascii="Calibri" w:hAnsi="Calibri" w:cs="Times New Roman"/>
          <w:noProof/>
        </w:rPr>
        <w:t xml:space="preserve">, </w:t>
      </w:r>
      <w:r w:rsidRPr="00F95530">
        <w:rPr>
          <w:rFonts w:ascii="Calibri" w:hAnsi="Calibri" w:cs="Times New Roman"/>
          <w:i/>
          <w:iCs/>
          <w:noProof/>
        </w:rPr>
        <w:t>42</w:t>
      </w:r>
      <w:r w:rsidRPr="00F95530">
        <w:rPr>
          <w:rFonts w:ascii="Calibri" w:hAnsi="Calibri" w:cs="Times New Roman"/>
          <w:noProof/>
        </w:rPr>
        <w:t>(12). https://doi.org/10.1007/s10916-018-1109-0</w:t>
      </w:r>
    </w:p>
    <w:p w14:paraId="0E5D267A" w14:textId="0B171759" w:rsidR="00F95530" w:rsidRDefault="00F95530" w:rsidP="00F95530">
      <w:pPr>
        <w:jc w:val="both"/>
      </w:pPr>
      <w:r>
        <w:fldChar w:fldCharType="end"/>
      </w:r>
    </w:p>
    <w:p w14:paraId="47941531" w14:textId="77777777" w:rsidR="00F95530" w:rsidRDefault="00F95530" w:rsidP="00F95530">
      <w:pPr>
        <w:jc w:val="both"/>
      </w:pPr>
    </w:p>
    <w:p w14:paraId="22AEED71" w14:textId="77777777" w:rsidR="00F95530" w:rsidRDefault="00F95530" w:rsidP="00F95530">
      <w:pPr>
        <w:jc w:val="both"/>
      </w:pPr>
    </w:p>
    <w:p w14:paraId="23BDE6C8" w14:textId="77777777" w:rsidR="00F95530" w:rsidRPr="00F95530" w:rsidRDefault="00F95530" w:rsidP="00F95530">
      <w:pPr>
        <w:jc w:val="both"/>
        <w:rPr>
          <w:lang w:val="pt-BR"/>
        </w:rPr>
      </w:pPr>
      <w:r w:rsidRPr="00F95530">
        <w:rPr>
          <w:lang w:val="pt-BR"/>
        </w:rPr>
        <w:t>Abstrato</w:t>
      </w:r>
    </w:p>
    <w:p w14:paraId="474B58A1" w14:textId="77777777" w:rsidR="00F95530" w:rsidRPr="00F95530" w:rsidRDefault="00F95530" w:rsidP="00F95530">
      <w:pPr>
        <w:jc w:val="both"/>
        <w:rPr>
          <w:lang w:val="pt-BR"/>
        </w:rPr>
      </w:pPr>
      <w:r w:rsidRPr="00F95530">
        <w:rPr>
          <w:lang w:val="pt-BR"/>
        </w:rPr>
        <w:t xml:space="preserve">O delírio é uma complicação médica grave associada a maus resultados. Dada a complexidade da síndrome, a prevenção e a detecção precoce são fundamentais para atenuar os seus efeitos. Utilizámos o rastreio do </w:t>
      </w:r>
      <w:proofErr w:type="spellStart"/>
      <w:r w:rsidRPr="00F95530">
        <w:rPr>
          <w:lang w:val="pt-BR"/>
        </w:rPr>
        <w:t>Confusion</w:t>
      </w:r>
      <w:proofErr w:type="spellEnd"/>
      <w:r w:rsidRPr="00F95530">
        <w:rPr>
          <w:lang w:val="pt-BR"/>
        </w:rPr>
        <w:t xml:space="preserve"> </w:t>
      </w:r>
      <w:proofErr w:type="spellStart"/>
      <w:r w:rsidRPr="00F95530">
        <w:rPr>
          <w:lang w:val="pt-BR"/>
        </w:rPr>
        <w:t>Assessment</w:t>
      </w:r>
      <w:proofErr w:type="spellEnd"/>
      <w:r w:rsidRPr="00F95530">
        <w:rPr>
          <w:lang w:val="pt-BR"/>
        </w:rPr>
        <w:t xml:space="preserve"> </w:t>
      </w:r>
      <w:proofErr w:type="spellStart"/>
      <w:r w:rsidRPr="00F95530">
        <w:rPr>
          <w:lang w:val="pt-BR"/>
        </w:rPr>
        <w:t>Method</w:t>
      </w:r>
      <w:proofErr w:type="spellEnd"/>
      <w:r w:rsidRPr="00F95530">
        <w:rPr>
          <w:lang w:val="pt-BR"/>
        </w:rPr>
        <w:t xml:space="preserve"> (CAM) e os dados do </w:t>
      </w:r>
      <w:proofErr w:type="spellStart"/>
      <w:r w:rsidRPr="00F95530">
        <w:rPr>
          <w:lang w:val="pt-BR"/>
        </w:rPr>
        <w:t>Electronic</w:t>
      </w:r>
      <w:proofErr w:type="spellEnd"/>
      <w:r w:rsidRPr="00F95530">
        <w:rPr>
          <w:lang w:val="pt-BR"/>
        </w:rPr>
        <w:t xml:space="preserve"> Health Record (EHR) para 64.038 visitas de internamento para treinar e testar um modelo de previsão do delírio que surge no hospital. O delírio de incidente foi definido como a primeira instância de uma CAM positiva ocorrendo pelo menos 48 h numa estadia hospitalar. </w:t>
      </w:r>
    </w:p>
    <w:p w14:paraId="3093E764" w14:textId="77777777" w:rsidR="00F95530" w:rsidRPr="00F95530" w:rsidRDefault="00F95530" w:rsidP="00F95530">
      <w:pPr>
        <w:jc w:val="both"/>
        <w:rPr>
          <w:lang w:val="pt-BR"/>
        </w:rPr>
      </w:pPr>
    </w:p>
    <w:p w14:paraId="1D709C24" w14:textId="2818D9A3" w:rsidR="005A37EE" w:rsidRDefault="00F95530" w:rsidP="00F95530">
      <w:pPr>
        <w:jc w:val="both"/>
        <w:rPr>
          <w:lang w:val="pt-BR"/>
        </w:rPr>
      </w:pPr>
      <w:r w:rsidRPr="00F95530">
        <w:rPr>
          <w:lang w:val="pt-BR"/>
        </w:rPr>
        <w:t xml:space="preserve">Foi utilizado um algoritmo </w:t>
      </w:r>
      <w:proofErr w:type="spellStart"/>
      <w:r w:rsidRPr="00F95530">
        <w:rPr>
          <w:lang w:val="pt-BR"/>
        </w:rPr>
        <w:t>Random</w:t>
      </w:r>
      <w:proofErr w:type="spellEnd"/>
      <w:r w:rsidRPr="00F95530">
        <w:rPr>
          <w:lang w:val="pt-BR"/>
        </w:rPr>
        <w:t xml:space="preserve"> Forest ML com dados demográficos, comorbilidades, medicamentos, procedimentos, e medidas fisiológicas. O conjunto de dados foi dividido aleatoriamente 80% / 20% para formação e validação do modelo preditivo, respectivamente. Dos 51.240 pacientes do conjunto de formação, 2774 (5,4%) sofreram delírios durante a sua estadia hospitalar; e dos 12.798 pacientes do conjunto de validação, 701 (5,5%) sofreram delírios. A </w:t>
      </w:r>
      <w:proofErr w:type="spellStart"/>
      <w:r w:rsidRPr="00F95530">
        <w:rPr>
          <w:lang w:val="pt-BR"/>
        </w:rPr>
        <w:t>subamostragem</w:t>
      </w:r>
      <w:proofErr w:type="spellEnd"/>
      <w:r w:rsidRPr="00F95530">
        <w:rPr>
          <w:lang w:val="pt-BR"/>
        </w:rPr>
        <w:t xml:space="preserve"> da população negativa do delírio foi utilizada para resolver o desequilíbrio de classe. O modelo de previsão </w:t>
      </w:r>
      <w:proofErr w:type="spellStart"/>
      <w:r w:rsidRPr="00F95530">
        <w:rPr>
          <w:lang w:val="pt-BR"/>
        </w:rPr>
        <w:t>Random</w:t>
      </w:r>
      <w:proofErr w:type="spellEnd"/>
      <w:r w:rsidRPr="00F95530">
        <w:rPr>
          <w:lang w:val="pt-BR"/>
        </w:rPr>
        <w:t xml:space="preserve"> Forest produziu uma área sob a curva característica de funcionamento do receptor (ROC AUC) de 0,909 (95% CI 0,898 a 0,921). Variáveis importantes no modelo incluíam </w:t>
      </w:r>
      <w:proofErr w:type="spellStart"/>
      <w:r w:rsidRPr="00F95530">
        <w:rPr>
          <w:lang w:val="pt-BR"/>
        </w:rPr>
        <w:t>factores</w:t>
      </w:r>
      <w:proofErr w:type="spellEnd"/>
      <w:r w:rsidRPr="00F95530">
        <w:rPr>
          <w:lang w:val="pt-BR"/>
        </w:rPr>
        <w:t xml:space="preserve"> de risco predisponentes e precipitantes previamente identificados. Esta abordagem de aprendizagem da máquina demonstrou um elevado grau de precisão e tem o potencial de fornecer um modelo preditivo clinicamente útil para uma intervenção mais precoce nos pacientes com maior risco de desenvolver delírios.</w:t>
      </w:r>
    </w:p>
    <w:p w14:paraId="5C621D67" w14:textId="3B0ED46E" w:rsidR="00F95530" w:rsidRDefault="00F95530" w:rsidP="00F95530">
      <w:pPr>
        <w:jc w:val="both"/>
        <w:rPr>
          <w:lang w:val="pt-BR"/>
        </w:rPr>
      </w:pPr>
    </w:p>
    <w:p w14:paraId="618430C5" w14:textId="7D3D4407" w:rsidR="00F95530" w:rsidRDefault="00F95530" w:rsidP="00F95530">
      <w:pPr>
        <w:jc w:val="both"/>
        <w:rPr>
          <w:lang w:val="pt-BR"/>
        </w:rPr>
      </w:pPr>
      <w:r w:rsidRPr="00F95530">
        <w:rPr>
          <w:lang w:val="pt-BR"/>
        </w:rPr>
        <w:t>Introdução</w:t>
      </w:r>
    </w:p>
    <w:p w14:paraId="3267CB76" w14:textId="77777777" w:rsidR="00F95530" w:rsidRPr="00F95530" w:rsidRDefault="00F95530" w:rsidP="00F95530">
      <w:pPr>
        <w:jc w:val="both"/>
        <w:rPr>
          <w:lang w:val="pt-BR"/>
        </w:rPr>
      </w:pPr>
    </w:p>
    <w:p w14:paraId="274FD088" w14:textId="77777777" w:rsidR="00F95530" w:rsidRPr="00F95530" w:rsidRDefault="00F95530" w:rsidP="00F95530">
      <w:pPr>
        <w:jc w:val="both"/>
        <w:rPr>
          <w:lang w:val="pt-BR"/>
        </w:rPr>
      </w:pPr>
      <w:r w:rsidRPr="00F95530">
        <w:rPr>
          <w:lang w:val="pt-BR"/>
        </w:rPr>
        <w:t>O delírio é uma condição potencialmente letal de estado mental alterado, atenção e nível de consciência com um início agudo e curso flutuante. As taxas reportadas de delírios incidentes variaram entre 11 e 14% nas enfermarias de medicina geral, 20-29% nas unidades geriátricas, e 19-82% nos cuidados intensivos [1].</w:t>
      </w:r>
    </w:p>
    <w:p w14:paraId="3BFFB884" w14:textId="77777777" w:rsidR="00F95530" w:rsidRPr="00F95530" w:rsidRDefault="00F95530" w:rsidP="00F95530">
      <w:pPr>
        <w:jc w:val="both"/>
        <w:rPr>
          <w:lang w:val="pt-BR"/>
        </w:rPr>
      </w:pPr>
      <w:r w:rsidRPr="00F95530">
        <w:rPr>
          <w:lang w:val="pt-BR"/>
        </w:rPr>
        <w:t xml:space="preserve">Estudos múltiplos têm descoberto que o delirium está associado a maus resultados (por exemplo, duração da estadia, mortalidade </w:t>
      </w:r>
      <w:proofErr w:type="spellStart"/>
      <w:r w:rsidRPr="00F95530">
        <w:rPr>
          <w:lang w:val="pt-BR"/>
        </w:rPr>
        <w:t>intra-hospitalar</w:t>
      </w:r>
      <w:proofErr w:type="spellEnd"/>
      <w:r w:rsidRPr="00F95530">
        <w:rPr>
          <w:lang w:val="pt-BR"/>
        </w:rPr>
        <w:t xml:space="preserve">, disposição de alta e readmissão), mesmo após o ajustamento para </w:t>
      </w:r>
      <w:proofErr w:type="spellStart"/>
      <w:r w:rsidRPr="00F95530">
        <w:rPr>
          <w:lang w:val="pt-BR"/>
        </w:rPr>
        <w:t>factores</w:t>
      </w:r>
      <w:proofErr w:type="spellEnd"/>
      <w:r w:rsidRPr="00F95530">
        <w:rPr>
          <w:lang w:val="pt-BR"/>
        </w:rPr>
        <w:t xml:space="preserve"> adicionais como a idade e gravidade da doença [2-4].</w:t>
      </w:r>
    </w:p>
    <w:p w14:paraId="5C5661E3" w14:textId="77777777" w:rsidR="00F95530" w:rsidRPr="00F95530" w:rsidRDefault="00F95530" w:rsidP="00F95530">
      <w:pPr>
        <w:jc w:val="both"/>
        <w:rPr>
          <w:lang w:val="pt-BR"/>
        </w:rPr>
      </w:pPr>
      <w:r w:rsidRPr="00F95530">
        <w:rPr>
          <w:lang w:val="pt-BR"/>
        </w:rPr>
        <w:t>Estudos recentes fornecem evidências de que o delírio está também associado ao declínio cognitivo a longo prazo e a um aumento dos sintomas depressivos [5-8].</w:t>
      </w:r>
    </w:p>
    <w:p w14:paraId="78F63BAB" w14:textId="77777777" w:rsidR="00F95530" w:rsidRPr="00F95530" w:rsidRDefault="00F95530" w:rsidP="00F95530">
      <w:pPr>
        <w:jc w:val="both"/>
        <w:rPr>
          <w:lang w:val="pt-BR"/>
        </w:rPr>
      </w:pPr>
      <w:r w:rsidRPr="00F95530">
        <w:rPr>
          <w:lang w:val="pt-BR"/>
        </w:rPr>
        <w:lastRenderedPageBreak/>
        <w:t xml:space="preserve">Existem múltiplos predisponentes e precipitantes conhecidos </w:t>
      </w:r>
      <w:proofErr w:type="spellStart"/>
      <w:r w:rsidRPr="00F95530">
        <w:rPr>
          <w:lang w:val="pt-BR"/>
        </w:rPr>
        <w:t>factores</w:t>
      </w:r>
      <w:proofErr w:type="spellEnd"/>
      <w:r w:rsidRPr="00F95530">
        <w:rPr>
          <w:lang w:val="pt-BR"/>
        </w:rPr>
        <w:t xml:space="preserve"> de risco para o delírio, mas a </w:t>
      </w:r>
      <w:proofErr w:type="spellStart"/>
      <w:r w:rsidRPr="00F95530">
        <w:rPr>
          <w:lang w:val="pt-BR"/>
        </w:rPr>
        <w:t>patofisiologia</w:t>
      </w:r>
      <w:proofErr w:type="spellEnd"/>
      <w:r w:rsidRPr="00F95530">
        <w:rPr>
          <w:lang w:val="pt-BR"/>
        </w:rPr>
        <w:t xml:space="preserve"> da síndrome é ainda mal compreendida [9]. Tendo em conta os significativos impacto do delírio nos resultados dos pacientes, muita ênfase tem foi colocada na redução de riscos e detecção precoce [10, 11].</w:t>
      </w:r>
    </w:p>
    <w:p w14:paraId="507DDD86" w14:textId="77777777" w:rsidR="00F95530" w:rsidRDefault="00F95530" w:rsidP="00F95530">
      <w:pPr>
        <w:jc w:val="both"/>
        <w:rPr>
          <w:lang w:val="pt-BR"/>
        </w:rPr>
      </w:pPr>
      <w:r w:rsidRPr="00F95530">
        <w:rPr>
          <w:lang w:val="pt-BR"/>
        </w:rPr>
        <w:t xml:space="preserve">Foram desenvolvidos métodos de teste à beira da cama, tais como o Método de Avaliação de Confusão1 (CAM), que permite o detecção rápida do delírio [12]. No final de 2012, Hartford Hospital começou a implementar avaliações regulares, uma por turno de enfermagem, de pacientes que utilizam CAM em áreas não críticas de cuidados e o CAM-ICU em áreas de cuidados críticos [13, 14]. O delírio é uma consequência </w:t>
      </w:r>
      <w:proofErr w:type="spellStart"/>
      <w:r w:rsidRPr="00F95530">
        <w:rPr>
          <w:lang w:val="pt-BR"/>
        </w:rPr>
        <w:t>directa</w:t>
      </w:r>
      <w:proofErr w:type="spellEnd"/>
      <w:r w:rsidRPr="00F95530">
        <w:rPr>
          <w:lang w:val="pt-BR"/>
        </w:rPr>
        <w:t xml:space="preserve"> de uma condição médica geral (por exemplo, infecção, insuficiência de órgãos), utilização ou retirada intoxicante de substâncias, exposição a medicamentos ou toxinas, ou uma combinação destes </w:t>
      </w:r>
      <w:proofErr w:type="spellStart"/>
      <w:r w:rsidRPr="00F95530">
        <w:rPr>
          <w:lang w:val="pt-BR"/>
        </w:rPr>
        <w:t>factores</w:t>
      </w:r>
      <w:proofErr w:type="spellEnd"/>
      <w:r w:rsidRPr="00F95530">
        <w:rPr>
          <w:lang w:val="pt-BR"/>
        </w:rPr>
        <w:t xml:space="preserve">. </w:t>
      </w:r>
    </w:p>
    <w:p w14:paraId="7C2EDD83" w14:textId="4CB4D5E0" w:rsidR="00F95530" w:rsidRPr="00F95530" w:rsidRDefault="00F95530" w:rsidP="00F95530">
      <w:pPr>
        <w:jc w:val="both"/>
        <w:rPr>
          <w:lang w:val="pt-BR"/>
        </w:rPr>
      </w:pPr>
      <w:r w:rsidRPr="00F95530">
        <w:rPr>
          <w:lang w:val="pt-BR"/>
        </w:rPr>
        <w:t xml:space="preserve">Como tal, a prioridade no tratamento é identificar e abordar a(s) causa(s) subjacente(s) do delírio. As provas sugerem que a gravidade e/ou a duração do episódio de delírio tem alguma relação a maus resultados hospitalares e a longo prazo [15]. Por conseguinte, a detecção precoce é importante para atenuar os efeitos desta síndrome. A previsão </w:t>
      </w:r>
      <w:proofErr w:type="spellStart"/>
      <w:r w:rsidRPr="00F95530">
        <w:rPr>
          <w:lang w:val="pt-BR"/>
        </w:rPr>
        <w:t>exacta</w:t>
      </w:r>
      <w:proofErr w:type="spellEnd"/>
      <w:r w:rsidRPr="00F95530">
        <w:rPr>
          <w:lang w:val="pt-BR"/>
        </w:rPr>
        <w:t xml:space="preserve"> do risco individual do doente seria permitir a avaliação e intervenção ainda mais cedo no processo patológico.</w:t>
      </w:r>
    </w:p>
    <w:p w14:paraId="42F85BE6" w14:textId="59F10BCD" w:rsidR="00F95530" w:rsidRDefault="00F95530" w:rsidP="00F95530">
      <w:pPr>
        <w:jc w:val="both"/>
        <w:rPr>
          <w:lang w:val="pt-BR"/>
        </w:rPr>
      </w:pPr>
      <w:r w:rsidRPr="00F95530">
        <w:rPr>
          <w:lang w:val="pt-BR"/>
        </w:rPr>
        <w:t xml:space="preserve">Vários estudos têm procurado identificar fatores de risco significativos e/ou produzir modelos de previsão de delírios [16-19]. Em para além de um enfoque em populações específicas de doentes, a maioria dos modelos publicados utilizaram amostras de pequenas dimensões, um conjunto limitado de variáveis </w:t>
      </w:r>
      <w:proofErr w:type="spellStart"/>
      <w:r w:rsidRPr="00F95530">
        <w:rPr>
          <w:lang w:val="pt-BR"/>
        </w:rPr>
        <w:t>preditoras</w:t>
      </w:r>
      <w:proofErr w:type="spellEnd"/>
      <w:r w:rsidRPr="00F95530">
        <w:rPr>
          <w:lang w:val="pt-BR"/>
        </w:rPr>
        <w:t xml:space="preserve">, e não contabilizaram as variáveis temporais alterações nas medidas clínicas. Hipotecamos que a utilização de </w:t>
      </w:r>
      <w:proofErr w:type="spellStart"/>
      <w:r w:rsidRPr="00F95530">
        <w:rPr>
          <w:lang w:val="pt-BR"/>
        </w:rPr>
        <w:t>de</w:t>
      </w:r>
      <w:proofErr w:type="spellEnd"/>
      <w:r w:rsidRPr="00F95530">
        <w:rPr>
          <w:lang w:val="pt-BR"/>
        </w:rPr>
        <w:t xml:space="preserve"> uma abordagem de modelação flexível e de um grande conjunto de dados com muitos características produziriam previsões precisas. Aproveitámos um conjunto de dados retrospectivos de avaliações delirium utilizando o </w:t>
      </w:r>
      <w:proofErr w:type="spellStart"/>
      <w:r w:rsidRPr="00F95530">
        <w:rPr>
          <w:lang w:val="pt-BR"/>
        </w:rPr>
        <w:t>Random</w:t>
      </w:r>
      <w:proofErr w:type="spellEnd"/>
      <w:r w:rsidRPr="00F95530">
        <w:rPr>
          <w:lang w:val="pt-BR"/>
        </w:rPr>
        <w:t xml:space="preserve"> Algoritmo de aprendizagem de máquinas florestais (RF) [20] para gerar um modelo preditivo de delírio de incidentes em todos os pacientes internados em hospitais. O modelo incorporou demografia, comorbilidades, procedimentos, medicamentos e medidas que </w:t>
      </w:r>
      <w:proofErr w:type="spellStart"/>
      <w:r w:rsidRPr="00F95530">
        <w:rPr>
          <w:lang w:val="pt-BR"/>
        </w:rPr>
        <w:t>reflectem</w:t>
      </w:r>
      <w:proofErr w:type="spellEnd"/>
      <w:r w:rsidRPr="00F95530">
        <w:rPr>
          <w:lang w:val="pt-BR"/>
        </w:rPr>
        <w:t xml:space="preserve"> mudanças dinâmicas na fisiologia aguda.</w:t>
      </w:r>
    </w:p>
    <w:p w14:paraId="0F5E8F84" w14:textId="39B47ED7" w:rsidR="00F95530" w:rsidRDefault="00F95530" w:rsidP="00F95530">
      <w:pPr>
        <w:jc w:val="both"/>
        <w:rPr>
          <w:lang w:val="pt-BR"/>
        </w:rPr>
      </w:pPr>
    </w:p>
    <w:p w14:paraId="1980AA1D" w14:textId="5972B545" w:rsidR="00F95530" w:rsidRDefault="00F95530" w:rsidP="00F95530">
      <w:pPr>
        <w:jc w:val="both"/>
        <w:rPr>
          <w:lang w:val="pt-BR"/>
        </w:rPr>
      </w:pPr>
      <w:r w:rsidRPr="00F95530">
        <w:rPr>
          <w:lang w:val="pt-BR"/>
        </w:rPr>
        <w:t>Discussão</w:t>
      </w:r>
    </w:p>
    <w:p w14:paraId="20A10AC9" w14:textId="77777777" w:rsidR="00F95530" w:rsidRPr="00F95530" w:rsidRDefault="00F95530" w:rsidP="00F95530">
      <w:pPr>
        <w:jc w:val="both"/>
        <w:rPr>
          <w:lang w:val="pt-BR"/>
        </w:rPr>
      </w:pPr>
    </w:p>
    <w:p w14:paraId="780AE409" w14:textId="77777777" w:rsidR="00F95530" w:rsidRPr="00F95530" w:rsidRDefault="00F95530" w:rsidP="00F95530">
      <w:pPr>
        <w:jc w:val="both"/>
        <w:rPr>
          <w:lang w:val="pt-BR"/>
        </w:rPr>
      </w:pPr>
      <w:r w:rsidRPr="00F95530">
        <w:rPr>
          <w:lang w:val="pt-BR"/>
        </w:rPr>
        <w:t>Este estudo de prova de conceito demonstra o valor da aprendizagem mecânica aplicada a grandes e complexos conjuntos de dados clínicos.</w:t>
      </w:r>
    </w:p>
    <w:p w14:paraId="54DB34BD" w14:textId="4E3417BB" w:rsidR="00F95530" w:rsidRPr="00F95530" w:rsidRDefault="00F95530" w:rsidP="00F95530">
      <w:pPr>
        <w:jc w:val="both"/>
        <w:rPr>
          <w:lang w:val="pt-BR"/>
        </w:rPr>
      </w:pPr>
      <w:r w:rsidRPr="00F95530">
        <w:rPr>
          <w:lang w:val="pt-BR"/>
        </w:rPr>
        <w:t>Geralmente aplicável e previsão precisa dos pacientes em elevado risco de desenvolvimento de delírios seria de grande valor em identificação das condições médicas subjacentes e modificáveis fatores de risco. Redução das taxas e do tempo de delírio hospitalar gastas em delírio melhorariam os resultados para os doentes, uma vez que bem como diminuir a carga global de cuidados e os custos associados para o sistema de saúde. Os fatores incorporados neste modelo podem ser preditivos, mesmo que não sejam precipitantes (por exemplo alterações dos sinais vitais ou do nível de consciência).</w:t>
      </w:r>
    </w:p>
    <w:p w14:paraId="5C72C74F" w14:textId="3F7F3873" w:rsidR="00F95530" w:rsidRPr="00F95530" w:rsidRDefault="00F95530" w:rsidP="00F95530">
      <w:pPr>
        <w:jc w:val="both"/>
        <w:rPr>
          <w:lang w:val="pt-BR"/>
        </w:rPr>
      </w:pPr>
      <w:r w:rsidRPr="00F95530">
        <w:rPr>
          <w:lang w:val="pt-BR"/>
        </w:rPr>
        <w:t xml:space="preserve">Infelizmente, nem todos os fatores precipitantes são universalmente disponíveis para os pacientes quando seriam preditivos. Muitas vezes delírio incidente é a síndrome clínica que provoca um pesquisa da causa subjacente, como infecção, órgão disfunção, toxicidade, etc. O modelo preditivo descrito aqui poderia ser utilizado para iniciar essas </w:t>
      </w:r>
      <w:proofErr w:type="spellStart"/>
      <w:r w:rsidRPr="00F95530">
        <w:rPr>
          <w:lang w:val="pt-BR"/>
        </w:rPr>
        <w:t>acções</w:t>
      </w:r>
      <w:proofErr w:type="spellEnd"/>
      <w:r w:rsidRPr="00F95530">
        <w:rPr>
          <w:lang w:val="pt-BR"/>
        </w:rPr>
        <w:t>, em vez de esperar até que haja um delírio franco.</w:t>
      </w:r>
    </w:p>
    <w:sectPr w:rsidR="00F95530" w:rsidRPr="00F95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30"/>
    <w:rsid w:val="0030569A"/>
    <w:rsid w:val="00A12F39"/>
    <w:rsid w:val="00B61E7E"/>
    <w:rsid w:val="00B951D7"/>
    <w:rsid w:val="00BB4EFB"/>
    <w:rsid w:val="00F95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548E"/>
  <w15:chartTrackingRefBased/>
  <w15:docId w15:val="{E60B8ED3-B217-E24B-9567-432A7126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8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797D-8DD0-6A4A-81CD-71B07D58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2021-04-16T08:41:00Z</dcterms:created>
  <dcterms:modified xsi:type="dcterms:W3CDTF">2021-04-16T08:58:00Z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