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76357714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7C2630E0" w14:textId="4F8363F6" w:rsidR="00D26D0F" w:rsidRPr="00226866" w:rsidRDefault="00D26D0F" w:rsidP="003242F8">
      <w:pPr>
        <w:ind w:firstLine="720"/>
      </w:pPr>
      <w:r w:rsidRPr="00226866">
        <w:t>5. Primary Care - Clinics in Office Practice</w:t>
      </w:r>
    </w:p>
    <w:p w14:paraId="0611EB07" w14:textId="42F06D5F" w:rsidR="00226866" w:rsidRDefault="00226866" w:rsidP="00226866">
      <w:pPr>
        <w:ind w:firstLine="720"/>
      </w:pPr>
      <w:r w:rsidRPr="00226866">
        <w:t>6. Neurological Research</w:t>
      </w:r>
    </w:p>
    <w:p w14:paraId="1CA09DBF" w14:textId="4176C94F" w:rsidR="00805AB5" w:rsidRDefault="00805AB5" w:rsidP="00226866">
      <w:pPr>
        <w:ind w:firstLine="720"/>
      </w:pPr>
      <w:r>
        <w:t xml:space="preserve">7. </w:t>
      </w:r>
      <w:r w:rsidRPr="00805AB5">
        <w:t>Biocybernetics and Biomedical Engineering</w:t>
      </w:r>
    </w:p>
    <w:p w14:paraId="0515BD56" w14:textId="2E0D335B" w:rsidR="00805AB5" w:rsidRDefault="00805AB5" w:rsidP="00226866">
      <w:pPr>
        <w:ind w:firstLine="720"/>
      </w:pPr>
    </w:p>
    <w:p w14:paraId="4B77FCDB" w14:textId="77777777" w:rsidR="00805AB5" w:rsidRPr="00226866" w:rsidRDefault="00805AB5" w:rsidP="00226866">
      <w:pPr>
        <w:ind w:firstLine="720"/>
      </w:pPr>
    </w:p>
    <w:p w14:paraId="7E9EB792" w14:textId="78722CBA" w:rsidR="00226866" w:rsidRDefault="00226866" w:rsidP="003242F8">
      <w:pPr>
        <w:ind w:firstLine="720"/>
      </w:pPr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26866"/>
    <w:rsid w:val="002E7627"/>
    <w:rsid w:val="003242F8"/>
    <w:rsid w:val="007A4B8A"/>
    <w:rsid w:val="00805AB5"/>
    <w:rsid w:val="008D39BB"/>
    <w:rsid w:val="009D215E"/>
    <w:rsid w:val="00D26D0F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8</cp:revision>
  <dcterms:created xsi:type="dcterms:W3CDTF">2020-11-27T12:08:00Z</dcterms:created>
  <dcterms:modified xsi:type="dcterms:W3CDTF">2021-02-24T11:13:00Z</dcterms:modified>
</cp:coreProperties>
</file>