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00162434">
        <w:rPr>
          <w:lang w:val="pt-PT"/>
        </w:rPr>
        <w:t xml:space="preserve">/Análise exploratória dos dados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2E060622"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w:t>
      </w:r>
      <w:proofErr w:type="spellStart"/>
      <w:r w:rsidRPr="001264D6">
        <w:rPr>
          <w:rFonts w:ascii="NewsGotT" w:hAnsi="NewsGotT"/>
          <w:lang w:val="pt-PT" w:eastAsia="x-none"/>
        </w:rPr>
        <w:t>individu</w:t>
      </w:r>
      <w:r w:rsidR="00005C8B">
        <w:rPr>
          <w:rFonts w:ascii="NewsGotT" w:hAnsi="NewsGotT"/>
          <w:lang w:val="pt-PT" w:eastAsia="x-none"/>
        </w:rPr>
        <w:t>o</w:t>
      </w:r>
      <w:r w:rsidRPr="001264D6">
        <w:rPr>
          <w:rFonts w:ascii="NewsGotT" w:hAnsi="NewsGotT"/>
          <w:lang w:val="pt-PT" w:eastAsia="x-none"/>
        </w:rPr>
        <w:t>s</w:t>
      </w:r>
      <w:proofErr w:type="spellEnd"/>
      <w:r w:rsidRPr="001264D6">
        <w:rPr>
          <w:rFonts w:ascii="NewsGotT" w:hAnsi="NewsGotT"/>
          <w:lang w:val="pt-PT" w:eastAsia="x-none"/>
        </w:rPr>
        <w:t xml:space="preserve">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w:t>
      </w:r>
      <w:r w:rsidR="0084260B" w:rsidRPr="00822603">
        <w:rPr>
          <w:rFonts w:ascii="NewsGotT" w:hAnsi="NewsGotT"/>
          <w:lang w:val="pt-PT" w:eastAsia="x-none"/>
        </w:rPr>
        <w:lastRenderedPageBreak/>
        <w:t xml:space="preserve">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Antiparkinsónicos</w:t>
            </w:r>
            <w:proofErr w:type="spellEnd"/>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w:t>
      </w:r>
      <w:r w:rsidR="00974E9F">
        <w:rPr>
          <w:rFonts w:ascii="NewsGotT" w:hAnsi="NewsGotT"/>
          <w:lang w:val="pt-PT" w:eastAsia="x-none"/>
        </w:rPr>
        <w:lastRenderedPageBreak/>
        <w:t xml:space="preserve">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w:t>
      </w:r>
      <w:r w:rsidR="00AB659C" w:rsidRPr="001264D6">
        <w:rPr>
          <w:rFonts w:ascii="NewsGotT" w:hAnsi="NewsGotT"/>
          <w:lang w:val="pt-PT" w:eastAsia="x-none"/>
        </w:rPr>
        <w:lastRenderedPageBreak/>
        <w:t xml:space="preserve">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lastRenderedPageBreak/>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lastRenderedPageBreak/>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 xml:space="preserve">erturbações </w:t>
            </w:r>
            <w:r w:rsidRPr="001264D6">
              <w:rPr>
                <w:rFonts w:ascii="NewsGotT" w:hAnsi="NewsGotT"/>
                <w:lang w:val="pt-PT" w:eastAsia="x-none"/>
              </w:rPr>
              <w:lastRenderedPageBreak/>
              <w:t>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lastRenderedPageBreak/>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w:t>
            </w:r>
            <w:r w:rsidRPr="001264D6">
              <w:rPr>
                <w:rFonts w:ascii="NewsGotT" w:hAnsi="NewsGotT"/>
                <w:lang w:val="pt-PT" w:eastAsia="x-none"/>
              </w:rPr>
              <w:lastRenderedPageBreak/>
              <w:t>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w:t>
      </w:r>
      <w:r w:rsidR="00CC781A" w:rsidRPr="001264D6">
        <w:rPr>
          <w:rFonts w:ascii="NewsGotT" w:hAnsi="NewsGotT"/>
          <w:lang w:val="pt-PT"/>
        </w:rPr>
        <w:lastRenderedPageBreak/>
        <w:t xml:space="preserve">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PT"/>
              </w:rPr>
              <w:t>xerostomia</w:t>
            </w:r>
            <w:proofErr w:type="spellEnd"/>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w:t>
      </w:r>
      <w:r w:rsidR="000118AD" w:rsidRPr="001264D6">
        <w:rPr>
          <w:rFonts w:ascii="NewsGotT" w:hAnsi="NewsGotT"/>
          <w:lang w:val="pt-PT"/>
        </w:rPr>
        <w:lastRenderedPageBreak/>
        <w:t xml:space="preserve">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w:t>
      </w:r>
      <w:proofErr w:type="spellStart"/>
      <w:r w:rsidR="005A240E" w:rsidRPr="001264D6">
        <w:rPr>
          <w:rFonts w:ascii="NewsGotT" w:hAnsi="NewsGotT"/>
          <w:lang w:val="pt-PT"/>
        </w:rPr>
        <w:t>xerostomia</w:t>
      </w:r>
      <w:proofErr w:type="spellEnd"/>
      <w:r w:rsidR="005A240E" w:rsidRPr="001264D6">
        <w:rPr>
          <w:rFonts w:ascii="NewsGotT" w:hAnsi="NewsGotT"/>
          <w:lang w:val="pt-PT"/>
        </w:rPr>
        <w:t xml:space="preserve">,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lastRenderedPageBreak/>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w:t>
            </w:r>
            <w:r w:rsidRPr="001264D6">
              <w:rPr>
                <w:rFonts w:ascii="NewsGotT" w:hAnsi="NewsGotT"/>
                <w:lang w:val="pt-PT"/>
              </w:rPr>
              <w:lastRenderedPageBreak/>
              <w:t xml:space="preserve">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lastRenderedPageBreak/>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w:t>
            </w:r>
            <w:r w:rsidRPr="001264D6">
              <w:rPr>
                <w:rFonts w:ascii="NewsGotT" w:hAnsi="NewsGotT"/>
                <w:lang w:val="pt-PT"/>
              </w:rPr>
              <w:lastRenderedPageBreak/>
              <w:t>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w:t>
      </w:r>
      <w:proofErr w:type="spellStart"/>
      <w:r w:rsidR="00FB63CC" w:rsidRPr="001264D6">
        <w:rPr>
          <w:rFonts w:ascii="NewsGotT" w:hAnsi="NewsGotT"/>
          <w:lang w:val="pt-PT"/>
        </w:rPr>
        <w:t>xerostomia</w:t>
      </w:r>
      <w:proofErr w:type="spellEnd"/>
      <w:r w:rsidR="00FB63CC" w:rsidRPr="001264D6">
        <w:rPr>
          <w:rFonts w:ascii="NewsGotT" w:hAnsi="NewsGotT"/>
          <w:lang w:val="pt-PT"/>
        </w:rPr>
        <w:t xml:space="preserve">,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w:t>
      </w:r>
      <w:r w:rsidR="003F0D3D" w:rsidRPr="001264D6">
        <w:rPr>
          <w:rFonts w:ascii="NewsGotT" w:hAnsi="NewsGotT"/>
          <w:lang w:val="pt-PT"/>
        </w:rPr>
        <w:lastRenderedPageBreak/>
        <w:t xml:space="preserve">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recetores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r w:rsidR="00690CE5" w:rsidRPr="001264D6">
        <w:rPr>
          <w:rFonts w:ascii="NewsGotT" w:hAnsi="NewsGotT"/>
          <w:lang w:val="pt-BR"/>
        </w:rPr>
        <w:t xml:space="preserve">recetores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recetores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s antipsicóticos típicos têm elevada afinidade para os recetores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r w:rsidR="0090704C" w:rsidRPr="001264D6">
        <w:rPr>
          <w:rFonts w:ascii="NewsGotT" w:hAnsi="NewsGotT"/>
          <w:lang w:val="pt-BR"/>
        </w:rPr>
        <w:lastRenderedPageBreak/>
        <w:t xml:space="preserve">recetores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recetores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w:t>
            </w:r>
            <w:r w:rsidR="00132B17" w:rsidRPr="001264D6">
              <w:rPr>
                <w:rFonts w:ascii="NewsGotT" w:hAnsi="NewsGotT"/>
                <w:lang w:val="pt-BR"/>
              </w:rPr>
              <w:lastRenderedPageBreak/>
              <w:t xml:space="preserve">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w:t>
      </w:r>
      <w:r w:rsidRPr="001264D6">
        <w:rPr>
          <w:rFonts w:ascii="NewsGotT" w:hAnsi="NewsGotT"/>
          <w:lang w:val="pt-PT"/>
        </w:rPr>
        <w:lastRenderedPageBreak/>
        <w:t>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 xml:space="preserve">macos </w:t>
      </w:r>
      <w:r w:rsidRPr="001264D6">
        <w:rPr>
          <w:rFonts w:ascii="NewsGotT" w:hAnsi="NewsGotT"/>
          <w:lang w:val="pt-BR" w:eastAsia="x-none"/>
        </w:rPr>
        <w:lastRenderedPageBreak/>
        <w:t>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xml:space="preserve">, este efeito é </w:t>
      </w:r>
      <w:r w:rsidR="00470B54" w:rsidRPr="001264D6">
        <w:rPr>
          <w:rFonts w:ascii="NewsGotT" w:hAnsi="NewsGotT"/>
          <w:lang w:val="pt-BR" w:eastAsia="x-none"/>
        </w:rPr>
        <w:lastRenderedPageBreak/>
        <w:t>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lastRenderedPageBreak/>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03C24660"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DB115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rFonts w:ascii="NewsGotT" w:hAnsi="NewsGotT"/>
                <w:lang w:val="pt-BR" w:eastAsia="x-none"/>
              </w:rPr>
              <w:fldChar w:fldCharType="separate"/>
            </w:r>
            <w:r w:rsidR="001427E6" w:rsidRPr="001427E6">
              <w:rPr>
                <w:rFonts w:ascii="NewsGotT" w:hAnsi="NewsGotT"/>
                <w:noProof/>
                <w:lang w:val="pt-BR" w:eastAsia="x-none"/>
              </w:rPr>
              <w:t>(INFARMED, 2020c)</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xml:space="preserve">; </w:t>
            </w:r>
            <w:r>
              <w:rPr>
                <w:rFonts w:ascii="NewsGotT" w:hAnsi="NewsGotT"/>
                <w:lang w:val="pt-BR" w:eastAsia="x-none"/>
              </w:rPr>
              <w:lastRenderedPageBreak/>
              <w:t>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recetores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lastRenderedPageBreak/>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lastRenderedPageBreak/>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fotossensibilidade</w:t>
      </w:r>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614B1E4B" w14:textId="21F785B3" w:rsidR="00DE6B5A"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w:t>
      </w:r>
      <w:r w:rsidR="00A63A2C">
        <w:rPr>
          <w:rFonts w:ascii="NewsGotT" w:hAnsi="NewsGotT"/>
          <w:lang w:val="pt-PT" w:eastAsia="x-none"/>
        </w:rPr>
        <w:t xml:space="preserve">descongestionante </w:t>
      </w:r>
      <w:r w:rsidR="00A63A2C">
        <w:rPr>
          <w:rFonts w:ascii="NewsGotT" w:hAnsi="NewsGotT"/>
          <w:lang w:val="pt-PT" w:eastAsia="x-none"/>
        </w:rPr>
        <w:lastRenderedPageBreak/>
        <w:t xml:space="preserve">nasal vasoconstritor atenuante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w:t>
      </w:r>
      <w:proofErr w:type="spellStart"/>
      <w:r w:rsidR="008933C0" w:rsidRPr="008933C0">
        <w:rPr>
          <w:rFonts w:ascii="NewsGotT" w:hAnsi="NewsGotT"/>
          <w:lang w:val="pt-BR" w:eastAsia="x-none"/>
        </w:rPr>
        <w:t>adrenorecetores</w:t>
      </w:r>
      <w:proofErr w:type="spellEnd"/>
      <w:r w:rsidR="008933C0" w:rsidRPr="008933C0">
        <w:rPr>
          <w:rFonts w:ascii="NewsGotT" w:hAnsi="NewsGotT"/>
          <w:lang w:val="pt-BR" w:eastAsia="x-none"/>
        </w:rPr>
        <w:t xml:space="preserve">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glaucoma nas suas várias formas,</w:t>
      </w:r>
      <w:r w:rsidR="00EF63EF" w:rsidRPr="00EF63EF">
        <w:rPr>
          <w:rFonts w:ascii="NewsGotT" w:hAnsi="NewsGotT"/>
          <w:lang w:val="pt-BR" w:eastAsia="x-none"/>
        </w:rPr>
        <w:t xml:space="preserve"> </w:t>
      </w:r>
      <w:r w:rsidR="00EF63EF" w:rsidRPr="00EF63EF">
        <w:rPr>
          <w:rFonts w:ascii="NewsGotT" w:hAnsi="NewsGotT"/>
          <w:lang w:val="pt-BR" w:eastAsia="x-none"/>
        </w:rPr>
        <w:t xml:space="preserve">na prevenção da hipertensão ocular no pós-operatório e na redução da pressão ocular em situações </w:t>
      </w:r>
      <w:proofErr w:type="spellStart"/>
      <w:r w:rsidR="00EF63EF" w:rsidRPr="00EF63EF">
        <w:rPr>
          <w:rFonts w:ascii="NewsGotT" w:hAnsi="NewsGotT"/>
          <w:lang w:val="pt-BR" w:eastAsia="x-none"/>
        </w:rPr>
        <w:t>refractárias</w:t>
      </w:r>
      <w:proofErr w:type="spellEnd"/>
      <w:r w:rsidR="00EF63EF" w:rsidRPr="00EF63EF">
        <w:rPr>
          <w:rFonts w:ascii="NewsGotT" w:hAnsi="NewsGotT"/>
          <w:lang w:val="pt-BR" w:eastAsia="x-none"/>
        </w:rPr>
        <w:t xml:space="preserve"> a outros tratamentos</w:t>
      </w:r>
      <w:r w:rsidR="00DE6B5A">
        <w:rPr>
          <w:rFonts w:ascii="NewsGotT" w:hAnsi="NewsGotT"/>
          <w:lang w:val="pt-BR" w:eastAsia="x-none"/>
        </w:rPr>
        <w:t xml:space="preserve"> </w:t>
      </w:r>
      <w:r w:rsidR="00DE6B5A">
        <w:rPr>
          <w:rFonts w:ascii="NewsGotT" w:hAnsi="NewsGotT"/>
          <w:lang w:val="pt-BR" w:eastAsia="x-none"/>
        </w:rPr>
        <w:fldChar w:fldCharType="begin" w:fldLock="1"/>
      </w:r>
      <w:r w:rsidR="00AB475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rFonts w:ascii="NewsGotT" w:hAnsi="NewsGotT"/>
          <w:lang w:val="pt-BR" w:eastAsia="x-none"/>
        </w:rPr>
        <w:fldChar w:fldCharType="separate"/>
      </w:r>
      <w:r w:rsidR="00DE6B5A" w:rsidRPr="00DE6B5A">
        <w:rPr>
          <w:rFonts w:ascii="NewsGotT" w:hAnsi="NewsGotT"/>
          <w:noProof/>
          <w:lang w:val="pt-BR" w:eastAsia="x-none"/>
        </w:rPr>
        <w:t>(INFARMED, 2019a)</w:t>
      </w:r>
      <w:r w:rsidR="00DE6B5A">
        <w:rPr>
          <w:rFonts w:ascii="NewsGotT" w:hAnsi="NewsGotT"/>
          <w:lang w:val="pt-BR" w:eastAsia="x-none"/>
        </w:rPr>
        <w:fldChar w:fldCharType="end"/>
      </w:r>
      <w:r w:rsidR="00EF63EF" w:rsidRPr="00EF63EF">
        <w:rPr>
          <w:rFonts w:ascii="NewsGotT" w:hAnsi="NewsGotT"/>
          <w:lang w:val="pt-BR" w:eastAsia="x-none"/>
        </w:rPr>
        <w:t>.</w:t>
      </w:r>
      <w:r w:rsidR="00EF63EF">
        <w:rPr>
          <w:rFonts w:ascii="NewsGotT" w:hAnsi="NewsGotT"/>
          <w:lang w:val="pt-BR" w:eastAsia="x-none"/>
        </w:rPr>
        <w:t xml:space="preserve"> </w:t>
      </w:r>
    </w:p>
    <w:p w14:paraId="71946CBF" w14:textId="4B42453E" w:rsidR="00B30128" w:rsidRDefault="00EF63EF" w:rsidP="00E6423E">
      <w:pPr>
        <w:spacing w:line="360" w:lineRule="auto"/>
        <w:ind w:firstLine="720"/>
        <w:jc w:val="both"/>
        <w:rPr>
          <w:rFonts w:ascii="NewsGotT" w:hAnsi="NewsGotT"/>
          <w:lang w:val="pt-BR" w:eastAsia="x-none"/>
        </w:rPr>
      </w:pPr>
      <w:r>
        <w:rPr>
          <w:rFonts w:ascii="NewsGotT" w:hAnsi="NewsGotT"/>
          <w:lang w:val="pt-BR" w:eastAsia="x-none"/>
        </w:rPr>
        <w:t xml:space="preserve">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w:t>
      </w:r>
      <w:r w:rsidRPr="00EF63EF">
        <w:rPr>
          <w:rFonts w:ascii="NewsGotT" w:hAnsi="NewsGotT"/>
          <w:lang w:val="pt-BR" w:eastAsia="x-none"/>
        </w:rPr>
        <w:t>retração</w:t>
      </w:r>
      <w:r w:rsidRPr="00EF63EF">
        <w:rPr>
          <w:rFonts w:ascii="NewsGotT" w:hAnsi="NewsGotT"/>
          <w:lang w:val="pt-BR" w:eastAsia="x-none"/>
        </w:rPr>
        <w:t xml:space="preserve"> palpebral</w:t>
      </w:r>
      <w:r>
        <w:rPr>
          <w:rFonts w:ascii="NewsGotT" w:hAnsi="NewsGotT"/>
          <w:lang w:val="pt-BR" w:eastAsia="x-none"/>
        </w:rPr>
        <w:t xml:space="preserve"> e </w:t>
      </w:r>
      <w:r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w:t>
      </w:r>
      <w:r w:rsidR="009C5FED">
        <w:rPr>
          <w:rFonts w:ascii="NewsGotT" w:hAnsi="NewsGotT"/>
          <w:lang w:val="pt-BR" w:eastAsia="x-none"/>
        </w:rPr>
        <w:t xml:space="preserve">a e é um efeito secundário muito pouco reportado. </w:t>
      </w:r>
      <w:r w:rsidR="00B63D71">
        <w:rPr>
          <w:rFonts w:ascii="NewsGotT" w:hAnsi="NewsGotT"/>
          <w:lang w:val="pt-BR" w:eastAsia="x-none"/>
        </w:rPr>
        <w:t>E,</w:t>
      </w:r>
      <w:r w:rsidR="00511D4F">
        <w:rPr>
          <w:rFonts w:ascii="NewsGotT" w:hAnsi="NewsGotT"/>
          <w:lang w:val="pt-BR" w:eastAsia="x-none"/>
        </w:rPr>
        <w:t xml:space="preserve"> </w:t>
      </w:r>
      <w:r w:rsidR="00B63D71">
        <w:rPr>
          <w:rFonts w:ascii="NewsGotT" w:hAnsi="NewsGotT"/>
          <w:lang w:val="pt-BR" w:eastAsia="x-none"/>
        </w:rPr>
        <w:t>s</w:t>
      </w:r>
      <w:r w:rsidR="009C5FED">
        <w:rPr>
          <w:rFonts w:ascii="NewsGotT" w:hAnsi="NewsGotT"/>
          <w:lang w:val="pt-BR" w:eastAsia="x-none"/>
        </w:rPr>
        <w:t xml:space="preserve">egundo um estudo </w:t>
      </w:r>
      <w:r w:rsidR="00B63D71">
        <w:rPr>
          <w:rFonts w:ascii="NewsGotT" w:hAnsi="NewsGotT"/>
          <w:lang w:val="pt-BR" w:eastAsia="x-none"/>
        </w:rPr>
        <w:t xml:space="preserve">publicado em </w:t>
      </w:r>
      <w:r w:rsidR="009C5FED">
        <w:rPr>
          <w:rFonts w:ascii="NewsGotT" w:hAnsi="NewsGotT"/>
          <w:lang w:val="pt-BR" w:eastAsia="x-none"/>
        </w:rPr>
        <w:t>2006, a</w:t>
      </w:r>
      <w:r w:rsidR="009C5FED" w:rsidRPr="009C5FED">
        <w:rPr>
          <w:rFonts w:ascii="NewsGotT" w:hAnsi="NewsGotT"/>
          <w:lang w:val="pt-BR" w:eastAsia="x-none"/>
        </w:rPr>
        <w:t xml:space="preserve"> clonidina pode induzir uma variedade de efeitos secundários psicológicos que vão desde a depressão</w:t>
      </w:r>
      <w:r w:rsidR="00B63D71">
        <w:rPr>
          <w:rFonts w:ascii="NewsGotT" w:hAnsi="NewsGotT"/>
          <w:lang w:val="pt-BR" w:eastAsia="x-none"/>
        </w:rPr>
        <w:t>,</w:t>
      </w:r>
      <w:r w:rsidR="009C5FED" w:rsidRPr="009C5FED">
        <w:rPr>
          <w:rFonts w:ascii="NewsGotT" w:hAnsi="NewsGotT"/>
          <w:lang w:val="pt-BR" w:eastAsia="x-none"/>
        </w:rPr>
        <w:t xml:space="preserve"> à alucinação aguda e ao </w:t>
      </w:r>
      <w:r w:rsidR="009C5FED" w:rsidRPr="009C5FED">
        <w:rPr>
          <w:rFonts w:ascii="NewsGotT" w:hAnsi="NewsGotT"/>
          <w:i/>
          <w:iCs/>
          <w:lang w:val="pt-BR" w:eastAsia="x-none"/>
        </w:rPr>
        <w:t>delirium</w:t>
      </w:r>
      <w:r w:rsidR="0052657E">
        <w:rPr>
          <w:rFonts w:ascii="NewsGotT" w:hAnsi="NewsGotT"/>
          <w:i/>
          <w:iCs/>
          <w:lang w:val="pt-BR" w:eastAsia="x-none"/>
        </w:rPr>
        <w:t xml:space="preserve"> </w:t>
      </w:r>
      <w:r w:rsidR="0052657E">
        <w:rPr>
          <w:rFonts w:ascii="NewsGotT" w:hAnsi="NewsGotT"/>
          <w:i/>
          <w:iCs/>
          <w:lang w:val="pt-BR" w:eastAsia="x-none"/>
        </w:rPr>
        <w:fldChar w:fldCharType="begin" w:fldLock="1"/>
      </w:r>
      <w:r w:rsidR="00DE6B5A">
        <w:rPr>
          <w:rFonts w:ascii="NewsGotT" w:hAnsi="NewsGotT"/>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rFonts w:ascii="NewsGotT" w:hAnsi="NewsGotT"/>
          <w:i/>
          <w:iCs/>
          <w:lang w:val="pt-BR" w:eastAsia="x-none"/>
        </w:rPr>
        <w:fldChar w:fldCharType="separate"/>
      </w:r>
      <w:r w:rsidR="0052657E" w:rsidRPr="0052657E">
        <w:rPr>
          <w:rFonts w:ascii="NewsGotT" w:hAnsi="NewsGotT"/>
          <w:iCs/>
          <w:noProof/>
          <w:lang w:val="pt-BR" w:eastAsia="x-none"/>
        </w:rPr>
        <w:t>(Delaney, Spevack, Doddamani, &amp; Ostfeld, 2006)</w:t>
      </w:r>
      <w:r w:rsidR="0052657E">
        <w:rPr>
          <w:rFonts w:ascii="NewsGotT" w:hAnsi="NewsGotT"/>
          <w:i/>
          <w:iCs/>
          <w:lang w:val="pt-BR" w:eastAsia="x-none"/>
        </w:rPr>
        <w:fldChar w:fldCharType="end"/>
      </w:r>
      <w:r w:rsidR="009C5FED" w:rsidRPr="009C5FED">
        <w:rPr>
          <w:rFonts w:ascii="NewsGotT" w:hAnsi="NewsGotT"/>
          <w:lang w:val="pt-BR" w:eastAsia="x-none"/>
        </w:rPr>
        <w:t xml:space="preserve">. </w:t>
      </w:r>
      <w:r w:rsidR="009C5FED">
        <w:rPr>
          <w:rFonts w:ascii="NewsGotT" w:hAnsi="NewsGotT"/>
          <w:lang w:val="pt-BR" w:eastAsia="x-none"/>
        </w:rPr>
        <w:t xml:space="preserve"> N</w:t>
      </w:r>
      <w:r w:rsidR="00910E1A">
        <w:rPr>
          <w:rFonts w:ascii="NewsGotT" w:hAnsi="NewsGotT"/>
          <w:lang w:val="pt-BR" w:eastAsia="x-none"/>
        </w:rPr>
        <w:t>o entanto, um</w:t>
      </w:r>
      <w:r w:rsidR="00511D4F">
        <w:rPr>
          <w:rFonts w:ascii="NewsGotT" w:hAnsi="NewsGotT"/>
          <w:lang w:val="pt-BR" w:eastAsia="x-none"/>
        </w:rPr>
        <w:t xml:space="preserve"> outro</w:t>
      </w:r>
      <w:r w:rsidR="00910E1A">
        <w:rPr>
          <w:rFonts w:ascii="NewsGotT" w:hAnsi="NewsGotT"/>
          <w:lang w:val="pt-BR" w:eastAsia="x-none"/>
        </w:rPr>
        <w:t xml:space="preserve"> estudo piloto publicado em 2010</w:t>
      </w:r>
      <w:r w:rsidR="00511D4F">
        <w:rPr>
          <w:rFonts w:ascii="NewsGotT" w:hAnsi="NewsGotT"/>
          <w:lang w:val="pt-BR" w:eastAsia="x-none"/>
        </w:rPr>
        <w:t>,</w:t>
      </w:r>
      <w:r w:rsidR="00910E1A">
        <w:rPr>
          <w:rFonts w:ascii="NewsGotT" w:hAnsi="NewsGotT"/>
          <w:lang w:val="pt-BR" w:eastAsia="x-none"/>
        </w:rPr>
        <w:t xml:space="preserve"> concluiu que a </w:t>
      </w:r>
      <w:r w:rsidR="001E6CCF">
        <w:rPr>
          <w:rFonts w:ascii="NewsGotT" w:hAnsi="NewsGotT"/>
          <w:lang w:val="pt-BR" w:eastAsia="x-none"/>
        </w:rPr>
        <w:t>administração de c</w:t>
      </w:r>
      <w:r w:rsidR="00B63D71">
        <w:rPr>
          <w:rFonts w:ascii="NewsGotT" w:hAnsi="NewsGotT"/>
          <w:lang w:val="pt-BR" w:eastAsia="x-none"/>
        </w:rPr>
        <w:t>lon</w:t>
      </w:r>
      <w:r w:rsidR="001E6CCF">
        <w:rPr>
          <w:rFonts w:ascii="NewsGotT" w:hAnsi="NewsGotT"/>
          <w:lang w:val="pt-BR" w:eastAsia="x-none"/>
        </w:rPr>
        <w:t>i</w:t>
      </w:r>
      <w:r w:rsidR="00B63D71">
        <w:rPr>
          <w:rFonts w:ascii="NewsGotT" w:hAnsi="NewsGotT"/>
          <w:lang w:val="pt-BR" w:eastAsia="x-none"/>
        </w:rPr>
        <w:t>d</w:t>
      </w:r>
      <w:r w:rsidR="001E6CCF">
        <w:rPr>
          <w:rFonts w:ascii="NewsGotT" w:hAnsi="NewsGotT"/>
          <w:lang w:val="pt-BR" w:eastAsia="x-none"/>
        </w:rPr>
        <w:t>i</w:t>
      </w:r>
      <w:r w:rsidR="00B63D71">
        <w:rPr>
          <w:rFonts w:ascii="NewsGotT" w:hAnsi="NewsGotT"/>
          <w:lang w:val="pt-BR" w:eastAsia="x-none"/>
        </w:rPr>
        <w:t>n</w:t>
      </w:r>
      <w:r w:rsidR="001E6CCF">
        <w:rPr>
          <w:rFonts w:ascii="NewsGotT" w:hAnsi="NewsGotT"/>
          <w:lang w:val="pt-BR" w:eastAsia="x-none"/>
        </w:rPr>
        <w:t xml:space="preserve">a em pacientes submetidos a </w:t>
      </w:r>
      <w:r w:rsidR="001E6CCF" w:rsidRPr="001E6CCF">
        <w:rPr>
          <w:rFonts w:ascii="NewsGotT" w:hAnsi="NewsGotT"/>
          <w:lang w:val="pt-BR" w:eastAsia="x-none"/>
        </w:rPr>
        <w:t>cirurgia cardiotorácica mostrou resultados promissores relativamente à gravidade d</w:t>
      </w:r>
      <w:r w:rsidR="00511D4F">
        <w:rPr>
          <w:rFonts w:ascii="NewsGotT" w:hAnsi="NewsGotT"/>
          <w:lang w:val="pt-BR" w:eastAsia="x-none"/>
        </w:rPr>
        <w:t xml:space="preserve">a síndrome de </w:t>
      </w:r>
      <w:r w:rsidR="00511D4F" w:rsidRPr="00511D4F">
        <w:rPr>
          <w:rFonts w:ascii="NewsGotT" w:hAnsi="NewsGotT"/>
          <w:i/>
          <w:iCs/>
          <w:lang w:val="pt-BR" w:eastAsia="x-none"/>
        </w:rPr>
        <w:t>delir</w:t>
      </w:r>
      <w:r w:rsidR="00511D4F">
        <w:rPr>
          <w:rFonts w:ascii="NewsGotT" w:hAnsi="NewsGotT"/>
          <w:i/>
          <w:iCs/>
          <w:lang w:val="pt-BR" w:eastAsia="x-none"/>
        </w:rPr>
        <w:t>i</w:t>
      </w:r>
      <w:r w:rsidR="00511D4F" w:rsidRPr="00511D4F">
        <w:rPr>
          <w:rFonts w:ascii="NewsGotT" w:hAnsi="NewsGotT"/>
          <w:i/>
          <w:iCs/>
          <w:lang w:val="pt-BR" w:eastAsia="x-none"/>
        </w:rPr>
        <w:t>um</w:t>
      </w:r>
      <w:r w:rsidR="00511D4F">
        <w:rPr>
          <w:rFonts w:ascii="NewsGotT" w:hAnsi="NewsGotT"/>
          <w:lang w:val="pt-BR" w:eastAsia="x-none"/>
        </w:rPr>
        <w:t xml:space="preserve"> </w:t>
      </w:r>
      <w:r w:rsidR="00910E1A">
        <w:rPr>
          <w:rFonts w:ascii="NewsGotT" w:hAnsi="NewsGotT"/>
          <w:lang w:val="pt-BR" w:eastAsia="x-none"/>
        </w:rPr>
        <w:fldChar w:fldCharType="begin" w:fldLock="1"/>
      </w:r>
      <w:r w:rsidR="0052657E">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rFonts w:ascii="NewsGotT" w:hAnsi="NewsGotT"/>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38E8D0C8" w14:textId="3DA0574F" w:rsidR="00E6423E" w:rsidRPr="001A7E44" w:rsidRDefault="00E6423E" w:rsidP="00E6423E">
      <w:pPr>
        <w:pStyle w:val="Heading3"/>
        <w:spacing w:line="360" w:lineRule="auto"/>
        <w:jc w:val="both"/>
        <w:rPr>
          <w:rFonts w:ascii="NewsGotT" w:hAnsi="NewsGotT"/>
          <w:lang w:val="pt-PT" w:eastAsia="x-none"/>
        </w:rPr>
      </w:pPr>
      <w:r w:rsidRPr="001A7E44">
        <w:rPr>
          <w:rFonts w:ascii="NewsGotT" w:hAnsi="NewsGotT"/>
          <w:lang w:val="pt-PT" w:eastAsia="x-none"/>
        </w:rPr>
        <w:t>Anti-</w:t>
      </w:r>
      <w:r>
        <w:rPr>
          <w:rFonts w:ascii="NewsGotT" w:hAnsi="NewsGotT"/>
          <w:lang w:val="pt-PT" w:eastAsia="x-none"/>
        </w:rPr>
        <w:t xml:space="preserve">histamínicos </w:t>
      </w:r>
    </w:p>
    <w:p w14:paraId="7BC675A3" w14:textId="77777777" w:rsidR="00B30128" w:rsidRDefault="00B30128" w:rsidP="00444815">
      <w:pPr>
        <w:spacing w:line="360" w:lineRule="auto"/>
        <w:ind w:firstLine="720"/>
        <w:jc w:val="both"/>
        <w:rPr>
          <w:rFonts w:ascii="NewsGotT" w:hAnsi="NewsGotT"/>
          <w:lang w:val="pt-BR" w:eastAsia="x-none"/>
        </w:rPr>
      </w:pPr>
    </w:p>
    <w:p w14:paraId="2A53E95B" w14:textId="7D736B99" w:rsidR="00F36F40" w:rsidRDefault="00CD094E" w:rsidP="00F51A21">
      <w:pPr>
        <w:spacing w:line="360" w:lineRule="auto"/>
        <w:ind w:firstLine="720"/>
        <w:jc w:val="both"/>
        <w:rPr>
          <w:rFonts w:ascii="NewsGotT" w:hAnsi="NewsGotT"/>
          <w:lang w:val="pt-BR" w:eastAsia="x-none"/>
        </w:rPr>
      </w:pPr>
      <w:r>
        <w:rPr>
          <w:rFonts w:ascii="NewsGotT" w:hAnsi="NewsGotT"/>
          <w:lang w:val="pt-BR" w:eastAsia="x-none"/>
        </w:rPr>
        <w:t>No inicio do século XX</w:t>
      </w:r>
      <w:r w:rsidR="00DF2742">
        <w:rPr>
          <w:rFonts w:ascii="NewsGotT" w:hAnsi="NewsGotT"/>
          <w:lang w:val="pt-BR" w:eastAsia="x-none"/>
        </w:rPr>
        <w:t>, foram realizados</w:t>
      </w:r>
      <w:r w:rsidR="00CE4FF4" w:rsidRPr="00CE4FF4">
        <w:rPr>
          <w:rFonts w:ascii="NewsGotT" w:hAnsi="NewsGotT"/>
          <w:lang w:val="pt-BR" w:eastAsia="x-none"/>
        </w:rPr>
        <w:t xml:space="preserve"> estudos farmaco</w:t>
      </w:r>
      <w:r w:rsidR="00CE4FF4">
        <w:rPr>
          <w:rFonts w:ascii="NewsGotT" w:hAnsi="NewsGotT"/>
          <w:lang w:val="pt-BR" w:eastAsia="x-none"/>
        </w:rPr>
        <w:t>ló</w:t>
      </w:r>
      <w:r w:rsidR="00CE4FF4" w:rsidRPr="00CE4FF4">
        <w:rPr>
          <w:rFonts w:ascii="NewsGotT" w:hAnsi="NewsGotT"/>
          <w:lang w:val="pt-BR" w:eastAsia="x-none"/>
        </w:rPr>
        <w:t>gicos extensivos</w:t>
      </w:r>
      <w:r w:rsidR="00CE4FF4">
        <w:rPr>
          <w:rFonts w:ascii="NewsGotT" w:hAnsi="NewsGotT"/>
          <w:lang w:val="pt-BR" w:eastAsia="x-none"/>
        </w:rPr>
        <w:t xml:space="preserve"> </w:t>
      </w:r>
      <w:r w:rsidR="00BD18CB">
        <w:rPr>
          <w:rFonts w:ascii="NewsGotT" w:hAnsi="NewsGotT"/>
          <w:lang w:val="pt-BR" w:eastAsia="x-none"/>
        </w:rPr>
        <w:t>a um produto de putrefação da histidina</w:t>
      </w:r>
      <w:r w:rsidR="002247F2">
        <w:rPr>
          <w:rFonts w:ascii="NewsGotT" w:hAnsi="NewsGotT"/>
          <w:lang w:val="pt-BR" w:eastAsia="x-none"/>
        </w:rPr>
        <w:t>,</w:t>
      </w:r>
      <w:r w:rsidR="00CE4FF4" w:rsidRPr="00CE4FF4">
        <w:rPr>
          <w:rFonts w:ascii="NewsGotT" w:hAnsi="NewsGotT"/>
          <w:lang w:val="pt-BR" w:eastAsia="x-none"/>
        </w:rPr>
        <w:t xml:space="preserve"> e descobri</w:t>
      </w:r>
      <w:r w:rsidR="00DF2742">
        <w:rPr>
          <w:rFonts w:ascii="NewsGotT" w:hAnsi="NewsGotT"/>
          <w:lang w:val="pt-BR" w:eastAsia="x-none"/>
        </w:rPr>
        <w:t>u-se</w:t>
      </w:r>
      <w:r w:rsidR="00CE4FF4" w:rsidRPr="00CE4FF4">
        <w:rPr>
          <w:rFonts w:ascii="NewsGotT" w:hAnsi="NewsGotT"/>
          <w:lang w:val="pt-BR" w:eastAsia="x-none"/>
        </w:rPr>
        <w:t xml:space="preserve"> que</w:t>
      </w:r>
      <w:r w:rsidR="00CE4FF4">
        <w:rPr>
          <w:rFonts w:ascii="NewsGotT" w:hAnsi="NewsGotT"/>
          <w:lang w:val="pt-BR" w:eastAsia="x-none"/>
        </w:rPr>
        <w:t xml:space="preserve"> est</w:t>
      </w:r>
      <w:r w:rsidR="00972453">
        <w:rPr>
          <w:rFonts w:ascii="NewsGotT" w:hAnsi="NewsGotT"/>
          <w:lang w:val="pt-BR" w:eastAsia="x-none"/>
        </w:rPr>
        <w:t>e</w:t>
      </w:r>
      <w:r w:rsidR="00CE4FF4" w:rsidRPr="00CE4FF4">
        <w:rPr>
          <w:rFonts w:ascii="NewsGotT" w:hAnsi="NewsGotT"/>
          <w:lang w:val="pt-BR" w:eastAsia="x-none"/>
        </w:rPr>
        <w:t xml:space="preserve"> estimulava</w:t>
      </w:r>
      <w:r w:rsidR="00CE4FF4">
        <w:rPr>
          <w:rFonts w:ascii="NewsGotT" w:hAnsi="NewsGotT"/>
          <w:lang w:val="pt-BR" w:eastAsia="x-none"/>
        </w:rPr>
        <w:t xml:space="preserve"> vá</w:t>
      </w:r>
      <w:r w:rsidR="00CE4FF4" w:rsidRPr="00CE4FF4">
        <w:rPr>
          <w:rFonts w:ascii="NewsGotT" w:hAnsi="NewsGotT"/>
          <w:lang w:val="pt-BR" w:eastAsia="x-none"/>
        </w:rPr>
        <w:t xml:space="preserve">rios </w:t>
      </w:r>
      <w:r w:rsidR="00CE4FF4">
        <w:rPr>
          <w:rFonts w:ascii="NewsGotT" w:hAnsi="NewsGotT"/>
          <w:lang w:val="pt-BR" w:eastAsia="x-none"/>
        </w:rPr>
        <w:t>mús</w:t>
      </w:r>
      <w:r w:rsidR="00CE4FF4" w:rsidRPr="00CE4FF4">
        <w:rPr>
          <w:rFonts w:ascii="NewsGotT" w:hAnsi="NewsGotT"/>
          <w:lang w:val="pt-BR" w:eastAsia="x-none"/>
        </w:rPr>
        <w:t xml:space="preserve">culos lisos e tinha </w:t>
      </w:r>
      <w:r w:rsidR="00CE4FF4">
        <w:rPr>
          <w:rFonts w:ascii="NewsGotT" w:hAnsi="NewsGotT"/>
          <w:lang w:val="pt-BR" w:eastAsia="x-none"/>
        </w:rPr>
        <w:t>ação</w:t>
      </w:r>
      <w:r w:rsidR="00CE4FF4" w:rsidRPr="00CE4FF4">
        <w:rPr>
          <w:rFonts w:ascii="NewsGotT" w:hAnsi="NewsGotT"/>
          <w:lang w:val="pt-BR" w:eastAsia="x-none"/>
        </w:rPr>
        <w:t xml:space="preserve"> </w:t>
      </w:r>
      <w:proofErr w:type="spellStart"/>
      <w:r w:rsidR="00CE4FF4" w:rsidRPr="00CE4FF4">
        <w:rPr>
          <w:rFonts w:ascii="NewsGotT" w:hAnsi="NewsGotT"/>
          <w:lang w:val="pt-BR" w:eastAsia="x-none"/>
        </w:rPr>
        <w:t>vasodepressora</w:t>
      </w:r>
      <w:proofErr w:type="spellEnd"/>
      <w:r w:rsidR="00CE4FF4">
        <w:rPr>
          <w:rFonts w:ascii="NewsGotT" w:hAnsi="NewsGotT"/>
          <w:lang w:val="pt-BR" w:eastAsia="x-none"/>
        </w:rPr>
        <w:t xml:space="preserve"> intensa</w:t>
      </w:r>
      <w:r w:rsidR="00CE4FF4" w:rsidRPr="00CE4FF4">
        <w:rPr>
          <w:rFonts w:ascii="NewsGotT" w:hAnsi="NewsGotT"/>
          <w:lang w:val="pt-BR" w:eastAsia="x-none"/>
        </w:rPr>
        <w:t xml:space="preserve">. </w:t>
      </w:r>
      <w:r w:rsidR="00CE4FF4">
        <w:rPr>
          <w:rFonts w:ascii="NewsGotT" w:hAnsi="NewsGotT"/>
          <w:lang w:val="pt-BR" w:eastAsia="x-none"/>
        </w:rPr>
        <w:t>Em 19</w:t>
      </w:r>
      <w:r>
        <w:rPr>
          <w:rFonts w:ascii="NewsGotT" w:hAnsi="NewsGotT"/>
          <w:lang w:val="pt-BR" w:eastAsia="x-none"/>
        </w:rPr>
        <w:t>27</w:t>
      </w:r>
      <w:r w:rsidR="00CE4FF4">
        <w:rPr>
          <w:rFonts w:ascii="NewsGotT" w:hAnsi="NewsGotT"/>
          <w:lang w:val="pt-BR" w:eastAsia="x-none"/>
        </w:rPr>
        <w:t xml:space="preserve">, </w:t>
      </w:r>
      <w:r w:rsidR="002247F2">
        <w:rPr>
          <w:rFonts w:ascii="NewsGotT" w:hAnsi="NewsGotT"/>
          <w:lang w:val="pt-BR" w:eastAsia="x-none"/>
        </w:rPr>
        <w:t xml:space="preserve">este produto </w:t>
      </w:r>
      <w:r w:rsidR="00CE4FF4">
        <w:rPr>
          <w:rFonts w:ascii="NewsGotT" w:hAnsi="NewsGotT"/>
          <w:lang w:val="pt-BR" w:eastAsia="x-none"/>
        </w:rPr>
        <w:t>foi isolad</w:t>
      </w:r>
      <w:r w:rsidR="002247F2">
        <w:rPr>
          <w:rFonts w:ascii="NewsGotT" w:hAnsi="NewsGotT"/>
          <w:lang w:val="pt-BR" w:eastAsia="x-none"/>
        </w:rPr>
        <w:t>o</w:t>
      </w:r>
      <w:r w:rsidR="00CE4FF4">
        <w:rPr>
          <w:rFonts w:ascii="NewsGotT" w:hAnsi="NewsGotT"/>
          <w:lang w:val="pt-BR" w:eastAsia="x-none"/>
        </w:rPr>
        <w:t xml:space="preserve"> de amostras frescas de pulmão e fígado </w:t>
      </w:r>
      <w:r w:rsidR="00CE4FF4" w:rsidRPr="00CE4FF4">
        <w:rPr>
          <w:rFonts w:ascii="NewsGotT" w:hAnsi="NewsGotT"/>
          <w:lang w:val="pt-BR" w:eastAsia="x-none"/>
        </w:rPr>
        <w:t>e, des</w:t>
      </w:r>
      <w:r w:rsidR="002247F2">
        <w:rPr>
          <w:rFonts w:ascii="NewsGotT" w:hAnsi="NewsGotT"/>
          <w:lang w:val="pt-BR" w:eastAsia="x-none"/>
        </w:rPr>
        <w:t>t</w:t>
      </w:r>
      <w:r w:rsidR="00CE4FF4" w:rsidRPr="00CE4FF4">
        <w:rPr>
          <w:rFonts w:ascii="NewsGotT" w:hAnsi="NewsGotT"/>
          <w:lang w:val="pt-BR" w:eastAsia="x-none"/>
        </w:rPr>
        <w:t>e modo, demonstr</w:t>
      </w:r>
      <w:r w:rsidR="00972453">
        <w:rPr>
          <w:rFonts w:ascii="NewsGotT" w:hAnsi="NewsGotT"/>
          <w:lang w:val="pt-BR" w:eastAsia="x-none"/>
        </w:rPr>
        <w:t>ou-se</w:t>
      </w:r>
      <w:r w:rsidR="00CE4FF4" w:rsidRPr="00CE4FF4">
        <w:rPr>
          <w:rFonts w:ascii="NewsGotT" w:hAnsi="NewsGotT"/>
          <w:lang w:val="pt-BR" w:eastAsia="x-none"/>
        </w:rPr>
        <w:t xml:space="preserve"> que esta amina era</w:t>
      </w:r>
      <w:r w:rsidR="00CE4FF4">
        <w:rPr>
          <w:rFonts w:ascii="NewsGotT" w:hAnsi="NewsGotT"/>
          <w:lang w:val="pt-BR" w:eastAsia="x-none"/>
        </w:rPr>
        <w:t xml:space="preserve"> </w:t>
      </w:r>
      <w:r w:rsidR="00CE4FF4" w:rsidRPr="00CE4FF4">
        <w:rPr>
          <w:rFonts w:ascii="NewsGotT" w:hAnsi="NewsGotT"/>
          <w:lang w:val="pt-BR" w:eastAsia="x-none"/>
        </w:rPr>
        <w:t>um constituinte natural dos tecidos dos ma</w:t>
      </w:r>
      <w:r w:rsidR="00CE4FF4">
        <w:rPr>
          <w:rFonts w:ascii="NewsGotT" w:hAnsi="NewsGotT"/>
          <w:lang w:val="pt-BR" w:eastAsia="x-none"/>
        </w:rPr>
        <w:t>míf</w:t>
      </w:r>
      <w:r w:rsidR="00CE4FF4" w:rsidRPr="00CE4FF4">
        <w:rPr>
          <w:rFonts w:ascii="NewsGotT" w:hAnsi="NewsGotT"/>
          <w:lang w:val="pt-BR" w:eastAsia="x-none"/>
        </w:rPr>
        <w:t>eros, resultando na</w:t>
      </w:r>
      <w:r w:rsidR="00CE4FF4">
        <w:rPr>
          <w:rFonts w:ascii="NewsGotT" w:hAnsi="NewsGotT"/>
          <w:lang w:val="pt-BR" w:eastAsia="x-none"/>
        </w:rPr>
        <w:t xml:space="preserve"> </w:t>
      </w:r>
      <w:r w:rsidR="00CE4FF4" w:rsidRPr="00CE4FF4">
        <w:rPr>
          <w:rFonts w:ascii="NewsGotT" w:hAnsi="NewsGotT"/>
          <w:lang w:val="pt-BR" w:eastAsia="x-none"/>
        </w:rPr>
        <w:t>ad</w:t>
      </w:r>
      <w:r w:rsidR="00CE4FF4">
        <w:rPr>
          <w:rFonts w:ascii="NewsGotT" w:hAnsi="NewsGotT"/>
          <w:lang w:val="pt-BR" w:eastAsia="x-none"/>
        </w:rPr>
        <w:t>oção</w:t>
      </w:r>
      <w:r w:rsidR="00CE4FF4" w:rsidRPr="00CE4FF4">
        <w:rPr>
          <w:rFonts w:ascii="NewsGotT" w:hAnsi="NewsGotT"/>
          <w:lang w:val="pt-BR" w:eastAsia="x-none"/>
        </w:rPr>
        <w:t xml:space="preserve"> do termo histamina, que se origina da palavra grega </w:t>
      </w:r>
      <w:proofErr w:type="spellStart"/>
      <w:r w:rsidR="00CE4FF4" w:rsidRPr="00CE4FF4">
        <w:rPr>
          <w:rFonts w:ascii="NewsGotT" w:hAnsi="NewsGotT"/>
          <w:i/>
          <w:iCs/>
          <w:lang w:val="pt-BR" w:eastAsia="x-none"/>
        </w:rPr>
        <w:t>histos</w:t>
      </w:r>
      <w:proofErr w:type="spellEnd"/>
      <w:r w:rsidR="00CE4FF4">
        <w:rPr>
          <w:rFonts w:ascii="NewsGotT" w:hAnsi="NewsGotT"/>
          <w:lang w:val="pt-BR" w:eastAsia="x-none"/>
        </w:rPr>
        <w:t xml:space="preserve"> </w:t>
      </w:r>
      <w:r w:rsidR="00CE4FF4" w:rsidRPr="00CE4FF4">
        <w:rPr>
          <w:rFonts w:ascii="NewsGotT" w:hAnsi="NewsGotT"/>
          <w:lang w:val="pt-BR" w:eastAsia="x-none"/>
        </w:rPr>
        <w:t>(tecido)</w:t>
      </w:r>
      <w:r w:rsidR="00AB4754">
        <w:rPr>
          <w:rFonts w:ascii="NewsGotT" w:hAnsi="NewsGotT"/>
          <w:lang w:val="pt-BR" w:eastAsia="x-none"/>
        </w:rPr>
        <w:t xml:space="preserve"> </w:t>
      </w:r>
      <w:r w:rsidR="00AB4754">
        <w:rPr>
          <w:rFonts w:ascii="NewsGotT" w:hAnsi="NewsGotT"/>
          <w:lang w:val="pt-BR" w:eastAsia="x-none"/>
        </w:rPr>
        <w:fldChar w:fldCharType="begin" w:fldLock="1"/>
      </w:r>
      <w:r w:rsidR="0047012B">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rFonts w:ascii="NewsGotT" w:hAnsi="NewsGotT"/>
          <w:lang w:val="pt-BR" w:eastAsia="x-none"/>
        </w:rPr>
        <w:fldChar w:fldCharType="separate"/>
      </w:r>
      <w:r w:rsidR="00AB4754" w:rsidRPr="00AB4754">
        <w:rPr>
          <w:rFonts w:ascii="NewsGotT" w:hAnsi="NewsGotT"/>
          <w:noProof/>
          <w:lang w:val="pt-BR" w:eastAsia="x-none"/>
        </w:rPr>
        <w:t>(Brunton et al., 2011; Church &amp; Maurer, 2014)</w:t>
      </w:r>
      <w:r w:rsidR="00AB4754">
        <w:rPr>
          <w:rFonts w:ascii="NewsGotT" w:hAnsi="NewsGotT"/>
          <w:lang w:val="pt-BR" w:eastAsia="x-none"/>
        </w:rPr>
        <w:fldChar w:fldCharType="end"/>
      </w:r>
      <w:r w:rsidR="00CE4FF4" w:rsidRPr="00CE4FF4">
        <w:rPr>
          <w:rFonts w:ascii="NewsGotT" w:hAnsi="NewsGotT"/>
          <w:lang w:val="pt-BR" w:eastAsia="x-none"/>
        </w:rPr>
        <w:t>.</w:t>
      </w:r>
      <w:r w:rsidR="00F36F40">
        <w:rPr>
          <w:rFonts w:ascii="NewsGotT" w:hAnsi="NewsGotT"/>
          <w:lang w:val="pt-BR" w:eastAsia="x-none"/>
        </w:rPr>
        <w:t xml:space="preserve"> </w:t>
      </w:r>
      <w:r w:rsidR="00B01C78">
        <w:rPr>
          <w:rFonts w:ascii="NewsGotT" w:hAnsi="NewsGotT"/>
          <w:lang w:val="pt-BR" w:eastAsia="x-none"/>
        </w:rPr>
        <w:t xml:space="preserve">Esta descoberta incitou a que se iniciasse uma investigação na procura de uma substância que exercesse um antagonismo especifico em relação à histamina. </w:t>
      </w:r>
      <w:r w:rsidR="00A17525">
        <w:rPr>
          <w:rFonts w:ascii="NewsGotT" w:hAnsi="NewsGotT"/>
          <w:lang w:val="pt-BR" w:eastAsia="x-none"/>
        </w:rPr>
        <w:t xml:space="preserve">Consequentemente, no ano de 1937 surge a primeira substância com propriedades anti-histamínicas, a </w:t>
      </w:r>
      <w:proofErr w:type="spellStart"/>
      <w:r w:rsidR="00A17525" w:rsidRPr="00A17525">
        <w:rPr>
          <w:rFonts w:ascii="NewsGotT" w:hAnsi="NewsGotT"/>
          <w:lang w:val="pt-BR" w:eastAsia="x-none"/>
        </w:rPr>
        <w:t>timoxietildietilamina</w:t>
      </w:r>
      <w:proofErr w:type="spellEnd"/>
      <w:r w:rsidR="007F42EC">
        <w:rPr>
          <w:rFonts w:ascii="NewsGotT" w:hAnsi="NewsGotT"/>
          <w:lang w:val="pt-BR" w:eastAsia="x-none"/>
        </w:rPr>
        <w:t xml:space="preserve">, </w:t>
      </w:r>
      <w:r w:rsidR="006A1EF9">
        <w:rPr>
          <w:rFonts w:ascii="NewsGotT" w:hAnsi="NewsGotT"/>
          <w:lang w:val="pt-BR" w:eastAsia="x-none"/>
        </w:rPr>
        <w:t>tendo sido</w:t>
      </w:r>
      <w:r w:rsidR="00952ABF">
        <w:rPr>
          <w:rFonts w:ascii="NewsGotT" w:hAnsi="NewsGotT"/>
          <w:lang w:val="pt-BR" w:eastAsia="x-none"/>
        </w:rPr>
        <w:t xml:space="preserve"> a rampa de lançamento para o aparecimento de outras substâncias classificadas como anti-histamínicos de primeira geração</w:t>
      </w:r>
      <w:r w:rsidR="006A1EF9">
        <w:rPr>
          <w:rFonts w:ascii="NewsGotT" w:hAnsi="NewsGotT"/>
          <w:lang w:val="pt-BR" w:eastAsia="x-none"/>
        </w:rPr>
        <w:t xml:space="preserve"> (</w:t>
      </w:r>
      <w:r w:rsidR="00952ABF">
        <w:rPr>
          <w:rFonts w:ascii="NewsGotT" w:hAnsi="NewsGotT"/>
          <w:lang w:val="pt-BR" w:eastAsia="x-none"/>
        </w:rPr>
        <w:t>ou</w:t>
      </w:r>
      <w:r w:rsidR="006A1EF9">
        <w:rPr>
          <w:rFonts w:ascii="NewsGotT" w:hAnsi="NewsGotT"/>
          <w:lang w:val="pt-BR" w:eastAsia="x-none"/>
        </w:rPr>
        <w:t xml:space="preserve"> </w:t>
      </w:r>
      <w:r w:rsidR="006A1EF9">
        <w:rPr>
          <w:rFonts w:ascii="NewsGotT" w:hAnsi="NewsGotT"/>
          <w:lang w:val="pt-BR" w:eastAsia="x-none"/>
        </w:rPr>
        <w:t>anti-histamínicos</w:t>
      </w:r>
      <w:r w:rsidR="006A1EF9">
        <w:rPr>
          <w:rFonts w:ascii="NewsGotT" w:hAnsi="NewsGotT"/>
          <w:lang w:val="pt-BR" w:eastAsia="x-none"/>
        </w:rPr>
        <w:t xml:space="preserve"> H1</w:t>
      </w:r>
      <w:r w:rsidR="00952ABF">
        <w:rPr>
          <w:rFonts w:ascii="NewsGotT" w:hAnsi="NewsGotT"/>
          <w:lang w:val="pt-BR" w:eastAsia="x-none"/>
        </w:rPr>
        <w:t xml:space="preserve"> sedativos</w:t>
      </w:r>
      <w:r w:rsidR="006A1EF9">
        <w:rPr>
          <w:rFonts w:ascii="NewsGotT" w:hAnsi="NewsGotT"/>
          <w:lang w:val="pt-BR" w:eastAsia="x-none"/>
        </w:rPr>
        <w:t>)</w:t>
      </w:r>
      <w:r w:rsidR="0047012B">
        <w:rPr>
          <w:rFonts w:ascii="NewsGotT" w:hAnsi="NewsGotT"/>
          <w:lang w:val="pt-BR" w:eastAsia="x-none"/>
        </w:rPr>
        <w:t xml:space="preserve"> </w:t>
      </w:r>
      <w:r w:rsidR="0047012B">
        <w:rPr>
          <w:rFonts w:ascii="NewsGotT" w:hAnsi="NewsGotT"/>
          <w:lang w:val="pt-BR" w:eastAsia="x-none"/>
        </w:rPr>
        <w:fldChar w:fldCharType="begin" w:fldLock="1"/>
      </w:r>
      <w:r w:rsidR="00A16F81">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rFonts w:ascii="NewsGotT" w:hAnsi="NewsGotT"/>
          <w:lang w:val="pt-BR" w:eastAsia="x-none"/>
        </w:rPr>
        <w:fldChar w:fldCharType="separate"/>
      </w:r>
      <w:r w:rsidR="0047012B" w:rsidRPr="0047012B">
        <w:rPr>
          <w:rFonts w:ascii="NewsGotT" w:hAnsi="NewsGotT"/>
          <w:noProof/>
          <w:lang w:val="pt-BR" w:eastAsia="x-none"/>
        </w:rPr>
        <w:t>(Church &amp; Maurer, 2014)</w:t>
      </w:r>
      <w:r w:rsidR="0047012B">
        <w:rPr>
          <w:rFonts w:ascii="NewsGotT" w:hAnsi="NewsGotT"/>
          <w:lang w:val="pt-BR" w:eastAsia="x-none"/>
        </w:rPr>
        <w:fldChar w:fldCharType="end"/>
      </w:r>
      <w:r w:rsidR="006A1EF9">
        <w:rPr>
          <w:rFonts w:ascii="NewsGotT" w:hAnsi="NewsGotT"/>
          <w:lang w:val="pt-BR" w:eastAsia="x-none"/>
        </w:rPr>
        <w:t>.</w:t>
      </w:r>
      <w:r w:rsidR="00BB71C4">
        <w:rPr>
          <w:rFonts w:ascii="NewsGotT" w:hAnsi="NewsGotT"/>
          <w:lang w:val="pt-BR" w:eastAsia="x-none"/>
        </w:rPr>
        <w:t xml:space="preserve"> </w:t>
      </w:r>
      <w:r w:rsidR="009A65C9">
        <w:rPr>
          <w:rFonts w:ascii="NewsGotT" w:hAnsi="NewsGotT"/>
          <w:lang w:val="pt-BR" w:eastAsia="x-none"/>
        </w:rPr>
        <w:t>Por volta da década de 1980, ocorreu u</w:t>
      </w:r>
      <w:r w:rsidR="00BB71C4" w:rsidRPr="00BB71C4">
        <w:rPr>
          <w:rFonts w:ascii="NewsGotT" w:hAnsi="NewsGotT"/>
          <w:lang w:val="pt-BR" w:eastAsia="x-none"/>
        </w:rPr>
        <w:t>m grande avanço no desenvolvimento de anti-</w:t>
      </w:r>
      <w:r w:rsidR="00BB71C4" w:rsidRPr="00BB71C4">
        <w:rPr>
          <w:rFonts w:ascii="NewsGotT" w:hAnsi="NewsGotT"/>
          <w:lang w:val="pt-BR" w:eastAsia="x-none"/>
        </w:rPr>
        <w:lastRenderedPageBreak/>
        <w:t xml:space="preserve">histamínicos com a introdução de anti-histamínicos H1 de segunda geração, que são minimamente ou não sedativos devido à sua penetração limitada da barreira </w:t>
      </w:r>
      <w:proofErr w:type="spellStart"/>
      <w:r w:rsidR="00BB71C4" w:rsidRPr="00BB71C4">
        <w:rPr>
          <w:rFonts w:ascii="NewsGotT" w:hAnsi="NewsGotT"/>
          <w:lang w:val="pt-BR" w:eastAsia="x-none"/>
        </w:rPr>
        <w:t>hemato</w:t>
      </w:r>
      <w:proofErr w:type="spellEnd"/>
      <w:r w:rsidR="00BB71C4" w:rsidRPr="00BB71C4">
        <w:rPr>
          <w:rFonts w:ascii="NewsGotT" w:hAnsi="NewsGotT"/>
          <w:lang w:val="pt-BR" w:eastAsia="x-none"/>
        </w:rPr>
        <w:t xml:space="preserve">-encefálica. Além disso, estes medicamentos são altamente </w:t>
      </w:r>
      <w:r w:rsidR="00254F3F" w:rsidRPr="00BB71C4">
        <w:rPr>
          <w:rFonts w:ascii="NewsGotT" w:hAnsi="NewsGotT"/>
          <w:lang w:val="pt-BR" w:eastAsia="x-none"/>
        </w:rPr>
        <w:t>seletivos</w:t>
      </w:r>
      <w:r w:rsidR="00BB71C4" w:rsidRPr="00BB71C4">
        <w:rPr>
          <w:rFonts w:ascii="NewsGotT" w:hAnsi="NewsGotT"/>
          <w:lang w:val="pt-BR" w:eastAsia="x-none"/>
        </w:rPr>
        <w:t xml:space="preserve"> para o receptor de histamina H1 e não têm efeitos anticolinérgicos</w:t>
      </w:r>
      <w:r w:rsidR="009B721E">
        <w:rPr>
          <w:rFonts w:ascii="NewsGotT" w:hAnsi="NewsGotT"/>
          <w:lang w:val="pt-BR" w:eastAsia="x-none"/>
        </w:rPr>
        <w:t xml:space="preserve"> </w:t>
      </w:r>
      <w:r w:rsidR="009B721E">
        <w:rPr>
          <w:rFonts w:ascii="NewsGotT" w:hAnsi="NewsGotT"/>
          <w:lang w:val="pt-BR" w:eastAsia="x-none"/>
        </w:rPr>
        <w:fldChar w:fldCharType="begin" w:fldLock="1"/>
      </w:r>
      <w:r w:rsidR="009B721E">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2014)"},"properties":{"noteIndex":0},"schema":"https://github.com/citation-style-language/schema/raw/master/csl-citation.json"}</w:instrText>
      </w:r>
      <w:r w:rsidR="009B721E">
        <w:rPr>
          <w:rFonts w:ascii="NewsGotT" w:hAnsi="NewsGotT"/>
          <w:lang w:val="pt-BR" w:eastAsia="x-none"/>
        </w:rPr>
        <w:fldChar w:fldCharType="separate"/>
      </w:r>
      <w:r w:rsidR="009B721E" w:rsidRPr="009B721E">
        <w:rPr>
          <w:rFonts w:ascii="NewsGotT" w:hAnsi="NewsGotT"/>
          <w:noProof/>
          <w:lang w:val="pt-BR" w:eastAsia="x-none"/>
        </w:rPr>
        <w:t>(Church &amp; Maurer, 2014)</w:t>
      </w:r>
      <w:r w:rsidR="009B721E">
        <w:rPr>
          <w:rFonts w:ascii="NewsGotT" w:hAnsi="NewsGotT"/>
          <w:lang w:val="pt-BR" w:eastAsia="x-none"/>
        </w:rPr>
        <w:fldChar w:fldCharType="end"/>
      </w:r>
    </w:p>
    <w:p w14:paraId="12ACEB3E" w14:textId="07433A3F" w:rsidR="00CE4FF4" w:rsidRPr="003C790E" w:rsidRDefault="00CE4FF4" w:rsidP="00F51A21">
      <w:pPr>
        <w:spacing w:line="360" w:lineRule="auto"/>
        <w:ind w:firstLine="720"/>
        <w:jc w:val="both"/>
        <w:rPr>
          <w:rFonts w:ascii="NewsGotT" w:hAnsi="NewsGotT"/>
          <w:lang w:val="pt-BR" w:eastAsia="x-none"/>
        </w:rPr>
      </w:pPr>
      <w:r>
        <w:rPr>
          <w:rFonts w:ascii="NewsGotT" w:hAnsi="NewsGotT"/>
          <w:lang w:val="pt-BR" w:eastAsia="x-none"/>
        </w:rPr>
        <w:t xml:space="preserve"> </w:t>
      </w:r>
      <w:r w:rsidRPr="00CE4FF4">
        <w:rPr>
          <w:rFonts w:ascii="NewsGotT" w:hAnsi="NewsGotT"/>
          <w:lang w:val="pt-BR" w:eastAsia="x-none"/>
        </w:rPr>
        <w:t>Hoje sabe</w:t>
      </w:r>
      <w:r>
        <w:rPr>
          <w:rFonts w:ascii="NewsGotT" w:hAnsi="NewsGotT"/>
          <w:lang w:val="pt-BR" w:eastAsia="x-none"/>
        </w:rPr>
        <w:t>-se</w:t>
      </w:r>
      <w:r w:rsidRPr="00CE4FF4">
        <w:rPr>
          <w:rFonts w:ascii="NewsGotT" w:hAnsi="NewsGotT"/>
          <w:lang w:val="pt-BR" w:eastAsia="x-none"/>
        </w:rPr>
        <w:t xml:space="preserve"> que a histamina</w:t>
      </w:r>
      <w:r>
        <w:rPr>
          <w:rFonts w:ascii="NewsGotT" w:hAnsi="NewsGotT"/>
          <w:lang w:val="pt-BR" w:eastAsia="x-none"/>
        </w:rPr>
        <w:t xml:space="preserve"> </w:t>
      </w:r>
      <w:r w:rsidRPr="00CE4FF4">
        <w:rPr>
          <w:rFonts w:ascii="NewsGotT" w:hAnsi="NewsGotT"/>
          <w:lang w:val="pt-BR" w:eastAsia="x-none"/>
        </w:rPr>
        <w:t>en</w:t>
      </w:r>
      <w:r>
        <w:rPr>
          <w:rFonts w:ascii="NewsGotT" w:hAnsi="NewsGotT"/>
          <w:lang w:val="pt-BR" w:eastAsia="x-none"/>
        </w:rPr>
        <w:t>dó</w:t>
      </w:r>
      <w:r w:rsidRPr="00CE4FF4">
        <w:rPr>
          <w:rFonts w:ascii="NewsGotT" w:hAnsi="NewsGotT"/>
          <w:lang w:val="pt-BR" w:eastAsia="x-none"/>
        </w:rPr>
        <w:t>gena participa da resposta a</w:t>
      </w:r>
      <w:r>
        <w:rPr>
          <w:rFonts w:ascii="NewsGotT" w:hAnsi="NewsGotT"/>
          <w:lang w:val="pt-BR" w:eastAsia="x-none"/>
        </w:rPr>
        <w:t>lé</w:t>
      </w:r>
      <w:r w:rsidRPr="00CE4FF4">
        <w:rPr>
          <w:rFonts w:ascii="NewsGotT" w:hAnsi="NewsGotT"/>
          <w:lang w:val="pt-BR" w:eastAsia="x-none"/>
        </w:rPr>
        <w:t>rgica imediata</w:t>
      </w:r>
      <w:r>
        <w:rPr>
          <w:rFonts w:ascii="NewsGotT" w:hAnsi="NewsGotT"/>
          <w:lang w:val="pt-BR" w:eastAsia="x-none"/>
        </w:rPr>
        <w:t xml:space="preserve"> e é </w:t>
      </w:r>
      <w:r w:rsidRPr="00CE4FF4">
        <w:rPr>
          <w:rFonts w:ascii="NewsGotT" w:hAnsi="NewsGotT"/>
          <w:lang w:val="pt-BR" w:eastAsia="x-none"/>
        </w:rPr>
        <w:t>um importante</w:t>
      </w:r>
      <w:r>
        <w:rPr>
          <w:rFonts w:ascii="NewsGotT" w:hAnsi="NewsGotT"/>
          <w:lang w:val="pt-BR" w:eastAsia="x-none"/>
        </w:rPr>
        <w:t xml:space="preserve"> </w:t>
      </w:r>
      <w:r w:rsidRPr="00CE4FF4">
        <w:rPr>
          <w:rFonts w:ascii="NewsGotT" w:hAnsi="NewsGotT"/>
          <w:lang w:val="pt-BR" w:eastAsia="x-none"/>
        </w:rPr>
        <w:t>regulador da secr</w:t>
      </w:r>
      <w:r>
        <w:rPr>
          <w:rFonts w:ascii="NewsGotT" w:hAnsi="NewsGotT"/>
          <w:lang w:val="pt-BR" w:eastAsia="x-none"/>
        </w:rPr>
        <w:t>eção gástric</w:t>
      </w:r>
      <w:r w:rsidRPr="00CE4FF4">
        <w:rPr>
          <w:rFonts w:ascii="NewsGotT" w:hAnsi="NewsGotT"/>
          <w:lang w:val="pt-BR" w:eastAsia="x-none"/>
        </w:rPr>
        <w:t xml:space="preserve">a. </w:t>
      </w:r>
      <w:r w:rsidR="00F51A21">
        <w:rPr>
          <w:rFonts w:ascii="NewsGotT" w:hAnsi="NewsGotT"/>
          <w:lang w:val="pt-BR" w:eastAsia="x-none"/>
        </w:rPr>
        <w:t xml:space="preserve">Para além disso, foi demonstrado </w:t>
      </w:r>
      <w:r w:rsidRPr="00CE4FF4">
        <w:rPr>
          <w:rFonts w:ascii="NewsGotT" w:hAnsi="NewsGotT"/>
          <w:lang w:val="pt-BR" w:eastAsia="x-none"/>
        </w:rPr>
        <w:t xml:space="preserve">que a histamina </w:t>
      </w:r>
      <w:r w:rsidR="00F51A21">
        <w:rPr>
          <w:rFonts w:ascii="NewsGotT" w:hAnsi="NewsGotT"/>
          <w:lang w:val="pt-BR" w:eastAsia="x-none"/>
        </w:rPr>
        <w:t xml:space="preserve">é responsável pela </w:t>
      </w:r>
      <w:r w:rsidR="00F51A21" w:rsidRPr="00F51A21">
        <w:rPr>
          <w:rFonts w:ascii="NewsGotT" w:hAnsi="NewsGotT"/>
          <w:lang w:val="pt-BR" w:eastAsia="x-none"/>
        </w:rPr>
        <w:t xml:space="preserve">modulação de processos fisiológicos, </w:t>
      </w:r>
      <w:r w:rsidR="00F51A21">
        <w:rPr>
          <w:rFonts w:ascii="NewsGotT" w:hAnsi="NewsGotT"/>
          <w:lang w:val="pt-BR" w:eastAsia="x-none"/>
        </w:rPr>
        <w:t>a</w:t>
      </w:r>
      <w:r w:rsidR="00F51A21" w:rsidRPr="00F51A21">
        <w:rPr>
          <w:rFonts w:ascii="NewsGotT" w:hAnsi="NewsGotT"/>
          <w:lang w:val="pt-BR" w:eastAsia="x-none"/>
        </w:rPr>
        <w:t>tuando tanto no</w:t>
      </w:r>
      <w:r w:rsidR="00F51A21">
        <w:rPr>
          <w:rFonts w:ascii="NewsGotT" w:hAnsi="NewsGotT"/>
          <w:lang w:val="pt-BR" w:eastAsia="x-none"/>
        </w:rPr>
        <w:t xml:space="preserve"> SNC </w:t>
      </w:r>
      <w:r w:rsidR="00F51A21" w:rsidRPr="00F51A21">
        <w:rPr>
          <w:rFonts w:ascii="NewsGotT" w:hAnsi="NewsGotT"/>
          <w:lang w:val="pt-BR" w:eastAsia="x-none"/>
        </w:rPr>
        <w:t>como na periferia, através d</w:t>
      </w:r>
      <w:r w:rsidR="00B528A8">
        <w:rPr>
          <w:rFonts w:ascii="NewsGotT" w:hAnsi="NewsGotT"/>
          <w:lang w:val="pt-BR" w:eastAsia="x-none"/>
        </w:rPr>
        <w:t xml:space="preserve">os seus </w:t>
      </w:r>
      <w:r w:rsidR="00A16F81">
        <w:rPr>
          <w:rFonts w:ascii="NewsGotT" w:hAnsi="NewsGotT"/>
          <w:lang w:val="pt-BR" w:eastAsia="x-none"/>
        </w:rPr>
        <w:t>recetores</w:t>
      </w:r>
      <w:r w:rsidR="0085530F">
        <w:rPr>
          <w:rFonts w:ascii="NewsGotT" w:hAnsi="NewsGotT"/>
          <w:lang w:val="pt-BR" w:eastAsia="x-none"/>
        </w:rPr>
        <w:t xml:space="preserve">, </w:t>
      </w:r>
      <w:r w:rsidR="0085530F" w:rsidRPr="003C790E">
        <w:rPr>
          <w:rFonts w:ascii="NewsGotT" w:hAnsi="NewsGotT"/>
          <w:lang w:val="pt-BR" w:eastAsia="x-none"/>
        </w:rPr>
        <w:t>designados H1, H2</w:t>
      </w:r>
      <w:r w:rsidR="0085530F">
        <w:rPr>
          <w:rFonts w:ascii="NewsGotT" w:hAnsi="NewsGotT"/>
          <w:lang w:val="pt-BR" w:eastAsia="x-none"/>
        </w:rPr>
        <w:t>,</w:t>
      </w:r>
      <w:r w:rsidR="0085530F" w:rsidRPr="003C790E">
        <w:rPr>
          <w:rFonts w:ascii="NewsGotT" w:hAnsi="NewsGotT"/>
          <w:lang w:val="pt-BR" w:eastAsia="x-none"/>
        </w:rPr>
        <w:t xml:space="preserve"> H3</w:t>
      </w:r>
      <w:r w:rsidR="0085530F">
        <w:rPr>
          <w:rFonts w:ascii="NewsGotT" w:hAnsi="NewsGotT"/>
          <w:lang w:val="pt-BR" w:eastAsia="x-none"/>
        </w:rPr>
        <w:t xml:space="preserve"> </w:t>
      </w:r>
      <w:r w:rsidR="0085530F" w:rsidRPr="003C790E">
        <w:rPr>
          <w:rFonts w:ascii="NewsGotT" w:hAnsi="NewsGotT"/>
          <w:lang w:val="pt-BR" w:eastAsia="x-none"/>
        </w:rPr>
        <w:t>e H4</w:t>
      </w:r>
      <w:r w:rsidR="00A16F81">
        <w:rPr>
          <w:rFonts w:ascii="NewsGotT" w:hAnsi="NewsGotT"/>
          <w:lang w:val="pt-BR" w:eastAsia="x-none"/>
        </w:rPr>
        <w:t xml:space="preserve"> </w:t>
      </w:r>
      <w:r w:rsidR="00A16F81">
        <w:rPr>
          <w:rFonts w:ascii="NewsGotT" w:hAnsi="NewsGotT"/>
          <w:lang w:val="pt-BR" w:eastAsia="x-none"/>
        </w:rPr>
        <w:fldChar w:fldCharType="begin" w:fldLock="1"/>
      </w:r>
      <w:r w:rsidR="00850F29">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rFonts w:ascii="NewsGotT" w:hAnsi="NewsGotT"/>
          <w:lang w:val="pt-BR" w:eastAsia="x-none"/>
        </w:rPr>
        <w:fldChar w:fldCharType="separate"/>
      </w:r>
      <w:r w:rsidR="00A16F81" w:rsidRPr="00A16F81">
        <w:rPr>
          <w:rFonts w:ascii="NewsGotT" w:hAnsi="NewsGotT"/>
          <w:noProof/>
          <w:lang w:val="pt-BR" w:eastAsia="x-none"/>
        </w:rPr>
        <w:t>(Brunton et al., 2011)</w:t>
      </w:r>
      <w:r w:rsidR="00A16F81">
        <w:rPr>
          <w:rFonts w:ascii="NewsGotT" w:hAnsi="NewsGotT"/>
          <w:lang w:val="pt-BR" w:eastAsia="x-none"/>
        </w:rPr>
        <w:fldChar w:fldCharType="end"/>
      </w:r>
      <w:r w:rsidR="003C790E">
        <w:rPr>
          <w:rFonts w:ascii="NewsGotT" w:hAnsi="NewsGotT"/>
          <w:lang w:val="pt-BR" w:eastAsia="x-none"/>
        </w:rPr>
        <w:t>.</w:t>
      </w:r>
    </w:p>
    <w:p w14:paraId="7349C169" w14:textId="2BA0AB75" w:rsidR="00AB33A2" w:rsidRPr="00AB33A2" w:rsidRDefault="00AB33A2" w:rsidP="00680DDD">
      <w:pPr>
        <w:spacing w:line="360" w:lineRule="auto"/>
        <w:ind w:firstLine="720"/>
        <w:jc w:val="both"/>
        <w:rPr>
          <w:rFonts w:ascii="NewsGotT" w:hAnsi="NewsGotT"/>
          <w:lang w:val="pt-BR" w:eastAsia="x-none"/>
        </w:rPr>
      </w:pPr>
      <w:r>
        <w:rPr>
          <w:rFonts w:ascii="NewsGotT" w:hAnsi="NewsGotT"/>
          <w:lang w:val="pt-PT" w:eastAsia="x-none"/>
        </w:rPr>
        <w:t>De um modo geral, os</w:t>
      </w:r>
      <w:r w:rsidRPr="00AB33A2">
        <w:rPr>
          <w:rFonts w:ascii="NewsGotT" w:hAnsi="NewsGotT"/>
          <w:lang w:val="pt-BR" w:eastAsia="x-none"/>
        </w:rPr>
        <w:t xml:space="preserve"> anti-histamínico</w:t>
      </w:r>
      <w:r>
        <w:rPr>
          <w:rFonts w:ascii="NewsGotT" w:hAnsi="NewsGotT"/>
          <w:lang w:val="pt-BR" w:eastAsia="x-none"/>
        </w:rPr>
        <w:t>s</w:t>
      </w:r>
      <w:r w:rsidRPr="00AB33A2">
        <w:rPr>
          <w:rFonts w:ascii="NewsGotT" w:hAnsi="NewsGotT"/>
          <w:lang w:val="pt-BR" w:eastAsia="x-none"/>
        </w:rPr>
        <w:t xml:space="preserve"> </w:t>
      </w:r>
      <w:r>
        <w:rPr>
          <w:rFonts w:ascii="NewsGotT" w:hAnsi="NewsGotT"/>
          <w:lang w:val="pt-BR" w:eastAsia="x-none"/>
        </w:rPr>
        <w:t>são</w:t>
      </w:r>
      <w:r w:rsidRPr="00AB33A2">
        <w:rPr>
          <w:rFonts w:ascii="NewsGotT" w:hAnsi="NewsGotT"/>
          <w:lang w:val="pt-BR" w:eastAsia="x-none"/>
        </w:rPr>
        <w:t xml:space="preserve"> fármaco</w:t>
      </w:r>
      <w:r>
        <w:rPr>
          <w:rFonts w:ascii="NewsGotT" w:hAnsi="NewsGotT"/>
          <w:lang w:val="pt-BR" w:eastAsia="x-none"/>
        </w:rPr>
        <w:t>s</w:t>
      </w:r>
      <w:r w:rsidRPr="00AB33A2">
        <w:rPr>
          <w:rFonts w:ascii="NewsGotT" w:hAnsi="NewsGotT"/>
          <w:lang w:val="pt-BR" w:eastAsia="x-none"/>
        </w:rPr>
        <w:t xml:space="preserve"> que inibe</w:t>
      </w:r>
      <w:r>
        <w:rPr>
          <w:rFonts w:ascii="NewsGotT" w:hAnsi="NewsGotT"/>
          <w:lang w:val="pt-BR" w:eastAsia="x-none"/>
        </w:rPr>
        <w:t>m</w:t>
      </w:r>
      <w:r w:rsidRPr="00AB33A2">
        <w:rPr>
          <w:rFonts w:ascii="NewsGotT" w:hAnsi="NewsGotT"/>
          <w:lang w:val="pt-BR" w:eastAsia="x-none"/>
        </w:rPr>
        <w:t xml:space="preserve"> a ação da histamina, bloqueando a sua ligação aos recetores H1. </w:t>
      </w:r>
      <w:r w:rsidR="00680DDD">
        <w:rPr>
          <w:rFonts w:ascii="NewsGotT" w:hAnsi="NewsGotT"/>
          <w:lang w:val="pt-BR" w:eastAsia="x-none"/>
        </w:rPr>
        <w:t>Sendo</w:t>
      </w:r>
      <w:r w:rsidRPr="00AB33A2">
        <w:rPr>
          <w:rFonts w:ascii="NewsGotT" w:hAnsi="NewsGotT"/>
          <w:lang w:val="pt-BR" w:eastAsia="x-none"/>
        </w:rPr>
        <w:t xml:space="preserve"> normalmente utilizado</w:t>
      </w:r>
      <w:r w:rsidR="00680DDD">
        <w:rPr>
          <w:rFonts w:ascii="NewsGotT" w:hAnsi="NewsGotT"/>
          <w:lang w:val="pt-BR" w:eastAsia="x-none"/>
        </w:rPr>
        <w:t>s</w:t>
      </w:r>
      <w:r w:rsidRPr="00AB33A2">
        <w:rPr>
          <w:rFonts w:ascii="NewsGotT" w:hAnsi="NewsGotT"/>
          <w:lang w:val="pt-BR" w:eastAsia="x-none"/>
        </w:rPr>
        <w:t xml:space="preserve"> para alivio de alergias no tratamento de reações de hipersensibilidade.</w:t>
      </w:r>
      <w:r>
        <w:rPr>
          <w:rFonts w:ascii="NewsGotT" w:hAnsi="NewsGotT"/>
          <w:lang w:val="pt-BR" w:eastAsia="x-none"/>
        </w:rPr>
        <w:t xml:space="preserve"> No caso especifico da </w:t>
      </w:r>
      <w:proofErr w:type="spellStart"/>
      <w:r>
        <w:rPr>
          <w:rFonts w:ascii="NewsGotT" w:hAnsi="NewsGotT"/>
          <w:lang w:val="pt-BR" w:eastAsia="x-none"/>
        </w:rPr>
        <w:t>hidro</w:t>
      </w:r>
      <w:r w:rsidR="000826B6">
        <w:rPr>
          <w:rFonts w:ascii="NewsGotT" w:hAnsi="NewsGotT"/>
          <w:lang w:val="pt-BR" w:eastAsia="x-none"/>
        </w:rPr>
        <w:t>xizina</w:t>
      </w:r>
      <w:proofErr w:type="spellEnd"/>
      <w:r w:rsidR="000826B6">
        <w:rPr>
          <w:rFonts w:ascii="NewsGotT" w:hAnsi="NewsGotT"/>
          <w:lang w:val="pt-BR" w:eastAsia="x-none"/>
        </w:rPr>
        <w:t>,</w:t>
      </w:r>
      <w:r w:rsidR="001D6DC6">
        <w:rPr>
          <w:rFonts w:ascii="NewsGotT" w:hAnsi="NewsGotT"/>
          <w:lang w:val="pt-BR" w:eastAsia="x-none"/>
        </w:rPr>
        <w:t xml:space="preserve"> um fármaco </w:t>
      </w:r>
      <w:r w:rsidR="00500A9E">
        <w:rPr>
          <w:rFonts w:ascii="NewsGotT" w:hAnsi="NewsGotT"/>
          <w:lang w:val="pt-BR" w:eastAsia="x-none"/>
        </w:rPr>
        <w:t>classificado</w:t>
      </w:r>
      <w:r w:rsidR="001D6DC6">
        <w:rPr>
          <w:rFonts w:ascii="NewsGotT" w:hAnsi="NewsGotT"/>
          <w:lang w:val="pt-BR" w:eastAsia="x-none"/>
        </w:rPr>
        <w:t xml:space="preserve"> como </w:t>
      </w:r>
      <w:r w:rsidR="001D6DC6">
        <w:rPr>
          <w:rFonts w:ascii="NewsGotT" w:hAnsi="NewsGotT"/>
          <w:lang w:val="pt-BR" w:eastAsia="x-none"/>
        </w:rPr>
        <w:t>anti-histamínico H1 sedativo</w:t>
      </w:r>
      <w:r w:rsidR="001D6DC6">
        <w:rPr>
          <w:rFonts w:ascii="NewsGotT" w:hAnsi="NewsGotT"/>
          <w:lang w:val="pt-BR" w:eastAsia="x-none"/>
        </w:rPr>
        <w:t>,</w:t>
      </w:r>
      <w:r w:rsidR="000826B6">
        <w:rPr>
          <w:rFonts w:ascii="NewsGotT" w:hAnsi="NewsGotT"/>
          <w:lang w:val="pt-BR" w:eastAsia="x-none"/>
        </w:rPr>
        <w:t xml:space="preserve"> é indicad</w:t>
      </w:r>
      <w:r w:rsidR="001D6DC6">
        <w:rPr>
          <w:rFonts w:ascii="NewsGotT" w:hAnsi="NewsGotT"/>
          <w:lang w:val="pt-BR" w:eastAsia="x-none"/>
        </w:rPr>
        <w:t>o</w:t>
      </w:r>
      <w:r w:rsidR="000826B6">
        <w:rPr>
          <w:rFonts w:ascii="NewsGotT" w:hAnsi="NewsGotT"/>
          <w:lang w:val="pt-BR" w:eastAsia="x-none"/>
        </w:rPr>
        <w:t xml:space="preserve"> para o tratamento sintomático da ansiedade e de prurido. </w:t>
      </w:r>
      <w:r w:rsidR="00680DDD" w:rsidRPr="00680DDD">
        <w:rPr>
          <w:rFonts w:ascii="NewsGotT" w:hAnsi="NewsGotT"/>
          <w:lang w:val="pt-BR" w:eastAsia="x-none"/>
        </w:rPr>
        <w:t>Os efeitos indesejáveis</w:t>
      </w:r>
      <w:r w:rsidR="001808AF">
        <w:rPr>
          <w:rFonts w:ascii="NewsGotT" w:hAnsi="NewsGotT"/>
          <w:lang w:val="pt-BR" w:eastAsia="x-none"/>
        </w:rPr>
        <w:t xml:space="preserve"> associados a este fármaco</w:t>
      </w:r>
      <w:r w:rsidR="00680DDD" w:rsidRPr="00680DDD">
        <w:rPr>
          <w:rFonts w:ascii="NewsGotT" w:hAnsi="NewsGotT"/>
          <w:lang w:val="pt-BR" w:eastAsia="x-none"/>
        </w:rPr>
        <w:t xml:space="preserve"> são principalmente relacionados com efeitos depressores do SNC</w:t>
      </w:r>
      <w:r w:rsidR="007420DD">
        <w:rPr>
          <w:rFonts w:ascii="NewsGotT" w:hAnsi="NewsGotT"/>
          <w:lang w:val="pt-BR" w:eastAsia="x-none"/>
        </w:rPr>
        <w:t xml:space="preserve"> ou</w:t>
      </w:r>
      <w:r w:rsidR="00680DDD" w:rsidRPr="00680DDD">
        <w:rPr>
          <w:rFonts w:ascii="NewsGotT" w:hAnsi="NewsGotT"/>
          <w:lang w:val="pt-BR" w:eastAsia="x-none"/>
        </w:rPr>
        <w:t xml:space="preserve"> com a atividade anticolinérgica ou</w:t>
      </w:r>
      <w:r w:rsidR="00680DDD">
        <w:rPr>
          <w:rFonts w:ascii="NewsGotT" w:hAnsi="NewsGotT"/>
          <w:lang w:val="pt-BR" w:eastAsia="x-none"/>
        </w:rPr>
        <w:t xml:space="preserve"> </w:t>
      </w:r>
      <w:r w:rsidR="00680DDD" w:rsidRPr="00680DDD">
        <w:rPr>
          <w:rFonts w:ascii="NewsGotT" w:hAnsi="NewsGotT"/>
          <w:lang w:val="pt-BR" w:eastAsia="x-none"/>
        </w:rPr>
        <w:t>com reações de hipersensibilidade.</w:t>
      </w:r>
      <w:r w:rsidR="00850F29">
        <w:rPr>
          <w:rFonts w:ascii="NewsGotT" w:hAnsi="NewsGotT"/>
          <w:lang w:val="pt-BR" w:eastAsia="x-none"/>
        </w:rPr>
        <w:t xml:space="preserve"> De entre os efeitos secundários podem destacar-se sonolência, cefaleias, fadiga, xerostomia, agitação, confusão, desorientação, alucinações, sedação, insónias, tremores e náuseas </w:t>
      </w:r>
      <w:r w:rsidR="00850F29">
        <w:rPr>
          <w:rFonts w:ascii="NewsGotT" w:hAnsi="NewsGotT"/>
          <w:lang w:val="pt-BR" w:eastAsia="x-none"/>
        </w:rPr>
        <w:fldChar w:fldCharType="begin" w:fldLock="1"/>
      </w:r>
      <w:r w:rsidR="009B721E">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2020d)","plainTextFormattedCitation":"(INFARMED, 2020d)","previouslyFormattedCitation":"(INFARMED, 2020d)"},"properties":{"noteIndex":0},"schema":"https://github.com/citation-style-language/schema/raw/master/csl-citation.json"}</w:instrText>
      </w:r>
      <w:r w:rsidR="00850F29">
        <w:rPr>
          <w:rFonts w:ascii="NewsGotT" w:hAnsi="NewsGotT"/>
          <w:lang w:val="pt-BR" w:eastAsia="x-none"/>
        </w:rPr>
        <w:fldChar w:fldCharType="separate"/>
      </w:r>
      <w:r w:rsidR="00850F29" w:rsidRPr="00850F29">
        <w:rPr>
          <w:rFonts w:ascii="NewsGotT" w:hAnsi="NewsGotT"/>
          <w:noProof/>
          <w:lang w:val="pt-BR" w:eastAsia="x-none"/>
        </w:rPr>
        <w:t>(INFARMED, 2020d)</w:t>
      </w:r>
      <w:r w:rsidR="00850F29">
        <w:rPr>
          <w:rFonts w:ascii="NewsGotT" w:hAnsi="NewsGotT"/>
          <w:lang w:val="pt-BR" w:eastAsia="x-none"/>
        </w:rPr>
        <w:fldChar w:fldCharType="end"/>
      </w:r>
      <w:r w:rsidR="00850F29">
        <w:rPr>
          <w:rFonts w:ascii="NewsGotT" w:hAnsi="NewsGotT"/>
          <w:lang w:val="pt-BR" w:eastAsia="x-none"/>
        </w:rPr>
        <w:t xml:space="preserve">. </w:t>
      </w:r>
      <w:r w:rsidR="00B41FF3">
        <w:rPr>
          <w:rFonts w:ascii="NewsGotT" w:hAnsi="NewsGotT"/>
          <w:lang w:val="pt-BR" w:eastAsia="x-none"/>
        </w:rPr>
        <w:t xml:space="preserve">Já a substância </w:t>
      </w:r>
      <w:proofErr w:type="spellStart"/>
      <w:r w:rsidR="00B41FF3">
        <w:rPr>
          <w:rFonts w:ascii="NewsGotT" w:hAnsi="NewsGotT"/>
          <w:lang w:val="pt-PT" w:eastAsia="x-none"/>
        </w:rPr>
        <w:t>d</w:t>
      </w:r>
      <w:r w:rsidR="00B41FF3" w:rsidRPr="001264D6">
        <w:rPr>
          <w:rFonts w:ascii="NewsGotT" w:hAnsi="NewsGotT"/>
          <w:lang w:val="pt-PT" w:eastAsia="x-none"/>
        </w:rPr>
        <w:t>esloratadina</w:t>
      </w:r>
      <w:proofErr w:type="spellEnd"/>
      <w:r w:rsidR="00B41FF3">
        <w:rPr>
          <w:rFonts w:ascii="NewsGotT" w:hAnsi="NewsGotT"/>
          <w:lang w:val="pt-PT" w:eastAsia="x-none"/>
        </w:rPr>
        <w:t xml:space="preserve">, classificada como </w:t>
      </w:r>
      <w:r w:rsidR="00B41FF3">
        <w:rPr>
          <w:rFonts w:ascii="NewsGotT" w:hAnsi="NewsGotT"/>
          <w:lang w:val="pt-BR" w:eastAsia="x-none"/>
        </w:rPr>
        <w:t xml:space="preserve">anti-histamínico H1 </w:t>
      </w:r>
      <w:r w:rsidR="00B41FF3">
        <w:rPr>
          <w:rFonts w:ascii="NewsGotT" w:hAnsi="NewsGotT"/>
          <w:lang w:val="pt-BR" w:eastAsia="x-none"/>
        </w:rPr>
        <w:t xml:space="preserve">não </w:t>
      </w:r>
      <w:r w:rsidR="00B41FF3">
        <w:rPr>
          <w:rFonts w:ascii="NewsGotT" w:hAnsi="NewsGotT"/>
          <w:lang w:val="pt-BR" w:eastAsia="x-none"/>
        </w:rPr>
        <w:t>sedativo</w:t>
      </w:r>
      <w:r w:rsidR="00B41FF3">
        <w:rPr>
          <w:rFonts w:ascii="NewsGotT" w:hAnsi="NewsGotT"/>
          <w:lang w:val="pt-BR" w:eastAsia="x-none"/>
        </w:rPr>
        <w:t>,</w:t>
      </w:r>
      <w:r w:rsidR="00B41FF3">
        <w:rPr>
          <w:rFonts w:ascii="NewsGotT" w:hAnsi="NewsGotT"/>
          <w:lang w:val="pt-PT" w:eastAsia="x-none"/>
        </w:rPr>
        <w:t xml:space="preserve">  é indicada para o tratamento de rinite alérgica e urticária. Dos efeitos colaterais </w:t>
      </w:r>
      <w:r w:rsidR="001C3600">
        <w:rPr>
          <w:rFonts w:ascii="NewsGotT" w:hAnsi="NewsGotT"/>
          <w:lang w:val="pt-PT" w:eastAsia="x-none"/>
        </w:rPr>
        <w:t xml:space="preserve">apresentados, salienta-se as alucinações, cefaleias, tonturas, sonolência, insónias, hiperatividade psicomotora, convulsões </w:t>
      </w:r>
      <w:proofErr w:type="spellStart"/>
      <w:r w:rsidR="001C3600">
        <w:rPr>
          <w:rFonts w:ascii="NewsGotT" w:hAnsi="NewsGotT"/>
          <w:lang w:val="pt-PT" w:eastAsia="x-none"/>
        </w:rPr>
        <w:t>xerost</w:t>
      </w:r>
      <w:r w:rsidR="00D22F8A">
        <w:rPr>
          <w:rFonts w:ascii="NewsGotT" w:hAnsi="NewsGotT"/>
          <w:lang w:val="pt-PT" w:eastAsia="x-none"/>
        </w:rPr>
        <w:t>o</w:t>
      </w:r>
      <w:r w:rsidR="001C3600">
        <w:rPr>
          <w:rFonts w:ascii="NewsGotT" w:hAnsi="NewsGotT"/>
          <w:lang w:val="pt-PT" w:eastAsia="x-none"/>
        </w:rPr>
        <w:t>mia</w:t>
      </w:r>
      <w:proofErr w:type="spellEnd"/>
      <w:r w:rsidR="001C3600">
        <w:rPr>
          <w:rFonts w:ascii="NewsGotT" w:hAnsi="NewsGotT"/>
          <w:lang w:val="pt-PT" w:eastAsia="x-none"/>
        </w:rPr>
        <w:t xml:space="preserve"> e fadiga. </w:t>
      </w:r>
    </w:p>
    <w:p w14:paraId="23DDFB2A" w14:textId="6F8DCBEF" w:rsidR="00AB33A2" w:rsidRDefault="00AB33A2" w:rsidP="0085530F">
      <w:pPr>
        <w:spacing w:line="360" w:lineRule="auto"/>
        <w:ind w:firstLine="720"/>
        <w:jc w:val="both"/>
        <w:rPr>
          <w:rFonts w:ascii="NewsGotT" w:hAnsi="NewsGotT"/>
          <w:lang w:val="pt-PT" w:eastAsia="x-none"/>
        </w:rPr>
      </w:pPr>
    </w:p>
    <w:p w14:paraId="3266E362" w14:textId="1C23C8E0" w:rsidR="00A45C14" w:rsidRDefault="00193668" w:rsidP="0085530F">
      <w:pPr>
        <w:spacing w:line="360" w:lineRule="auto"/>
        <w:ind w:firstLine="720"/>
        <w:jc w:val="both"/>
        <w:rPr>
          <w:rFonts w:ascii="NewsGotT" w:hAnsi="NewsGotT"/>
          <w:lang w:val="pt-PT" w:eastAsia="x-none"/>
        </w:rPr>
      </w:pPr>
      <w:r>
        <w:rPr>
          <w:rFonts w:ascii="NewsGotT" w:hAnsi="NewsGotT"/>
          <w:lang w:val="pt-PT" w:eastAsia="x-none"/>
        </w:rPr>
        <w:t xml:space="preserve">Os </w:t>
      </w:r>
      <w:proofErr w:type="spellStart"/>
      <w:r>
        <w:rPr>
          <w:rFonts w:ascii="NewsGotT" w:hAnsi="NewsGotT"/>
          <w:lang w:val="pt-PT" w:eastAsia="x-none"/>
        </w:rPr>
        <w:t>anti-histaminicos</w:t>
      </w:r>
      <w:proofErr w:type="spellEnd"/>
      <w:r>
        <w:rPr>
          <w:rFonts w:ascii="NewsGotT" w:hAnsi="NewsGotT"/>
          <w:lang w:val="pt-PT" w:eastAsia="x-none"/>
        </w:rPr>
        <w:t xml:space="preserve"> H1 são fármacos amplamente utilizados no tratamento de distúrbios alérgicos, especialmente para o </w:t>
      </w:r>
      <w:r w:rsidR="00AB4754">
        <w:rPr>
          <w:rFonts w:ascii="NewsGotT" w:hAnsi="NewsGotT"/>
          <w:lang w:val="pt-PT" w:eastAsia="x-none"/>
        </w:rPr>
        <w:t>alívio</w:t>
      </w:r>
      <w:r>
        <w:rPr>
          <w:rFonts w:ascii="NewsGotT" w:hAnsi="NewsGotT"/>
          <w:lang w:val="pt-PT" w:eastAsia="x-none"/>
        </w:rPr>
        <w:t xml:space="preserve"> de sintomas de rinite e da conjuntivite sazonais. Os efeitos adversos mais proeminentes da </w:t>
      </w:r>
      <w:proofErr w:type="spellStart"/>
      <w:r>
        <w:rPr>
          <w:rFonts w:ascii="NewsGotT" w:hAnsi="NewsGotT"/>
          <w:lang w:val="pt-PT" w:eastAsia="x-none"/>
        </w:rPr>
        <w:t>hidroxizina</w:t>
      </w:r>
      <w:proofErr w:type="spellEnd"/>
      <w:r>
        <w:rPr>
          <w:rFonts w:ascii="NewsGotT" w:hAnsi="NewsGotT"/>
          <w:lang w:val="pt-PT" w:eastAsia="x-none"/>
        </w:rPr>
        <w:t xml:space="preserve"> são causados </w:t>
      </w:r>
    </w:p>
    <w:p w14:paraId="70551AE6" w14:textId="77777777" w:rsidR="00A45C14" w:rsidRPr="001264D6" w:rsidRDefault="00A45C14" w:rsidP="00A45C14">
      <w:pPr>
        <w:spacing w:line="360" w:lineRule="auto"/>
        <w:jc w:val="both"/>
        <w:rPr>
          <w:rFonts w:ascii="NewsGotT" w:hAnsi="NewsGotT"/>
          <w:lang w:val="pt-PT" w:eastAsia="x-none"/>
        </w:rPr>
      </w:pPr>
    </w:p>
    <w:p w14:paraId="050BD9BC" w14:textId="77777777" w:rsidR="0085530F" w:rsidRDefault="0085530F" w:rsidP="0085530F">
      <w:pPr>
        <w:spacing w:line="360" w:lineRule="auto"/>
        <w:jc w:val="both"/>
        <w:rPr>
          <w:rFonts w:ascii="NewsGotT" w:hAnsi="NewsGotT"/>
          <w:lang w:val="pt-PT" w:eastAsia="x-none"/>
        </w:rPr>
      </w:pPr>
      <w:r>
        <w:rPr>
          <w:rFonts w:ascii="NewsGotT" w:hAnsi="NewsGotT"/>
          <w:lang w:val="pt-PT" w:eastAsia="x-none"/>
        </w:rPr>
        <w:t xml:space="preserve">Por outro lado, os </w:t>
      </w:r>
      <w:proofErr w:type="spellStart"/>
      <w:r>
        <w:rPr>
          <w:rFonts w:ascii="NewsGotT" w:hAnsi="NewsGotT"/>
          <w:lang w:val="pt-PT" w:eastAsia="x-none"/>
        </w:rPr>
        <w:t>anti-histaminicos</w:t>
      </w:r>
      <w:proofErr w:type="spellEnd"/>
      <w:r>
        <w:rPr>
          <w:rFonts w:ascii="NewsGotT" w:hAnsi="NewsGotT"/>
          <w:lang w:val="pt-PT" w:eastAsia="x-none"/>
        </w:rPr>
        <w:t xml:space="preserve"> </w:t>
      </w:r>
    </w:p>
    <w:p w14:paraId="3AEE75A2" w14:textId="77777777" w:rsidR="00A45C14" w:rsidRPr="0085530F" w:rsidRDefault="00A45C14"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w:t>
      </w:r>
      <w:r w:rsidRPr="001264D6">
        <w:rPr>
          <w:rFonts w:ascii="NewsGotT" w:hAnsi="NewsGotT"/>
          <w:lang w:val="pt-PT" w:eastAsia="x-none"/>
        </w:rPr>
        <w:lastRenderedPageBreak/>
        <w:t>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lastRenderedPageBreak/>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lastRenderedPageBreak/>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É usado em situações de oligúria (em caso de IR aguda ou crónica), no 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w:t>
      </w:r>
      <w:r w:rsidRPr="001264D6">
        <w:rPr>
          <w:rFonts w:ascii="NewsGotT" w:hAnsi="NewsGotT"/>
          <w:lang w:val="pt-PT" w:eastAsia="x-none"/>
        </w:rPr>
        <w:lastRenderedPageBreak/>
        <w:t xml:space="preserve">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lastRenderedPageBreak/>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lastRenderedPageBreak/>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3F8CA06F" w14:textId="52703DC2" w:rsidR="009B721E" w:rsidRPr="009B721E" w:rsidRDefault="00C75460" w:rsidP="009B721E">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9B721E" w:rsidRPr="009B721E">
        <w:rPr>
          <w:rFonts w:ascii="NewsGotT" w:hAnsi="NewsGotT"/>
          <w:noProof/>
        </w:rPr>
        <w:t xml:space="preserve">Adamis, D., Sharma, N., Whelan, P. J. P., &amp; MacDonald, A. J. D. (2010). Delirium scales: A review of current evidence. </w:t>
      </w:r>
      <w:r w:rsidR="009B721E" w:rsidRPr="009B721E">
        <w:rPr>
          <w:rFonts w:ascii="NewsGotT" w:hAnsi="NewsGotT"/>
          <w:i/>
          <w:iCs/>
          <w:noProof/>
        </w:rPr>
        <w:t>Aging and Mental Health</w:t>
      </w:r>
      <w:r w:rsidR="009B721E" w:rsidRPr="009B721E">
        <w:rPr>
          <w:rFonts w:ascii="NewsGotT" w:hAnsi="NewsGotT"/>
          <w:noProof/>
        </w:rPr>
        <w:t xml:space="preserve">, </w:t>
      </w:r>
      <w:r w:rsidR="009B721E" w:rsidRPr="009B721E">
        <w:rPr>
          <w:rFonts w:ascii="NewsGotT" w:hAnsi="NewsGotT"/>
          <w:i/>
          <w:iCs/>
          <w:noProof/>
        </w:rPr>
        <w:t>14</w:t>
      </w:r>
      <w:r w:rsidR="009B721E" w:rsidRPr="009B721E">
        <w:rPr>
          <w:rFonts w:ascii="NewsGotT" w:hAnsi="NewsGotT"/>
          <w:noProof/>
        </w:rPr>
        <w:t>(5), 543–555. https://doi.org/10.1080/13607860903421011</w:t>
      </w:r>
    </w:p>
    <w:p w14:paraId="10F3ABC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Adamis, D., Treloar, A., Martin, F. C., &amp; Macdonald, A. J. D. (2007). A brief review of the history of delirium as a mental disorder. </w:t>
      </w:r>
      <w:r w:rsidRPr="009B721E">
        <w:rPr>
          <w:rFonts w:ascii="NewsGotT" w:hAnsi="NewsGotT"/>
          <w:i/>
          <w:iCs/>
          <w:noProof/>
        </w:rPr>
        <w:t>History of Psychiatry</w:t>
      </w:r>
      <w:r w:rsidRPr="009B721E">
        <w:rPr>
          <w:rFonts w:ascii="NewsGotT" w:hAnsi="NewsGotT"/>
          <w:noProof/>
        </w:rPr>
        <w:t xml:space="preserve">, </w:t>
      </w:r>
      <w:r w:rsidRPr="009B721E">
        <w:rPr>
          <w:rFonts w:ascii="NewsGotT" w:hAnsi="NewsGotT"/>
          <w:i/>
          <w:iCs/>
          <w:noProof/>
        </w:rPr>
        <w:t>18</w:t>
      </w:r>
      <w:r w:rsidRPr="009B721E">
        <w:rPr>
          <w:rFonts w:ascii="NewsGotT" w:hAnsi="NewsGotT"/>
          <w:noProof/>
        </w:rPr>
        <w:t>(4), 459–469. https://doi.org/10.1177/0957154X07076467</w:t>
      </w:r>
    </w:p>
    <w:p w14:paraId="6F10AE0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Alagiakrishnan, K., &amp; Wiens, C. A. (2004). An approach to drug induced delirium in the elderly. </w:t>
      </w:r>
      <w:r w:rsidRPr="009B721E">
        <w:rPr>
          <w:rFonts w:ascii="NewsGotT" w:hAnsi="NewsGotT"/>
          <w:i/>
          <w:iCs/>
          <w:noProof/>
        </w:rPr>
        <w:t>Postgraduate Medical Journal</w:t>
      </w:r>
      <w:r w:rsidRPr="009B721E">
        <w:rPr>
          <w:rFonts w:ascii="NewsGotT" w:hAnsi="NewsGotT"/>
          <w:noProof/>
        </w:rPr>
        <w:t xml:space="preserve">, </w:t>
      </w:r>
      <w:r w:rsidRPr="009B721E">
        <w:rPr>
          <w:rFonts w:ascii="NewsGotT" w:hAnsi="NewsGotT"/>
          <w:i/>
          <w:iCs/>
          <w:noProof/>
        </w:rPr>
        <w:t>80</w:t>
      </w:r>
      <w:r w:rsidRPr="009B721E">
        <w:rPr>
          <w:rFonts w:ascii="NewsGotT" w:hAnsi="NewsGotT"/>
          <w:noProof/>
        </w:rPr>
        <w:t>(945), 388–393. https://doi.org/10.1136/pgmj.2003.017236</w:t>
      </w:r>
    </w:p>
    <w:p w14:paraId="6DF1351B"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Ali, J., Khan, R., Ahmad, N., &amp; Maqsood, I. (2012). Random Forests and Decision Trees. </w:t>
      </w:r>
      <w:r w:rsidRPr="009B721E">
        <w:rPr>
          <w:rFonts w:ascii="NewsGotT" w:hAnsi="NewsGotT"/>
          <w:i/>
          <w:iCs/>
          <w:noProof/>
        </w:rPr>
        <w:t>International Journal of Computer Science Issues</w:t>
      </w:r>
      <w:r w:rsidRPr="009B721E">
        <w:rPr>
          <w:rFonts w:ascii="NewsGotT" w:hAnsi="NewsGotT"/>
          <w:noProof/>
        </w:rPr>
        <w:t xml:space="preserve">, </w:t>
      </w:r>
      <w:r w:rsidRPr="009B721E">
        <w:rPr>
          <w:rFonts w:ascii="NewsGotT" w:hAnsi="NewsGotT"/>
          <w:i/>
          <w:iCs/>
          <w:noProof/>
        </w:rPr>
        <w:t>9</w:t>
      </w:r>
      <w:r w:rsidRPr="009B721E">
        <w:rPr>
          <w:rFonts w:ascii="NewsGotT" w:hAnsi="NewsGotT"/>
          <w:noProof/>
        </w:rPr>
        <w:t>(5), 272–278.</w:t>
      </w:r>
    </w:p>
    <w:p w14:paraId="598F42AB"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Ali, M. A., Hashmi, M., Ahmed, W., Raza, S. A., Khan, M. F., &amp; Salim, B. (2021). Incidence and risk factors of delirium in surgical intensive care unit. </w:t>
      </w:r>
      <w:r w:rsidRPr="009B721E">
        <w:rPr>
          <w:rFonts w:ascii="NewsGotT" w:hAnsi="NewsGotT"/>
          <w:i/>
          <w:iCs/>
          <w:noProof/>
        </w:rPr>
        <w:t>Trauma Surgery and Acute Care Open</w:t>
      </w:r>
      <w:r w:rsidRPr="009B721E">
        <w:rPr>
          <w:rFonts w:ascii="NewsGotT" w:hAnsi="NewsGotT"/>
          <w:noProof/>
        </w:rPr>
        <w:t xml:space="preserve">, </w:t>
      </w:r>
      <w:r w:rsidRPr="009B721E">
        <w:rPr>
          <w:rFonts w:ascii="NewsGotT" w:hAnsi="NewsGotT"/>
          <w:i/>
          <w:iCs/>
          <w:noProof/>
        </w:rPr>
        <w:t>6</w:t>
      </w:r>
      <w:r w:rsidRPr="009B721E">
        <w:rPr>
          <w:rFonts w:ascii="NewsGotT" w:hAnsi="NewsGotT"/>
          <w:noProof/>
        </w:rPr>
        <w:t>(1). https://doi.org/10.1136/tsaco-2020-000564</w:t>
      </w:r>
    </w:p>
    <w:p w14:paraId="67FD8FAE"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Alsuliman, T., Humaidan, D., &amp; Sliman, L. (2020). Machine learning and artificial intelligence in the service of medicine: Necessity or potentiality? </w:t>
      </w:r>
      <w:r w:rsidRPr="009B721E">
        <w:rPr>
          <w:rFonts w:ascii="NewsGotT" w:hAnsi="NewsGotT"/>
          <w:i/>
          <w:iCs/>
          <w:noProof/>
        </w:rPr>
        <w:t>Current Research in Translational Medicine</w:t>
      </w:r>
      <w:r w:rsidRPr="009B721E">
        <w:rPr>
          <w:rFonts w:ascii="NewsGotT" w:hAnsi="NewsGotT"/>
          <w:noProof/>
        </w:rPr>
        <w:t xml:space="preserve">, </w:t>
      </w:r>
      <w:r w:rsidRPr="009B721E">
        <w:rPr>
          <w:rFonts w:ascii="NewsGotT" w:hAnsi="NewsGotT"/>
          <w:i/>
          <w:iCs/>
          <w:noProof/>
        </w:rPr>
        <w:t>68</w:t>
      </w:r>
      <w:r w:rsidRPr="009B721E">
        <w:rPr>
          <w:rFonts w:ascii="NewsGotT" w:hAnsi="NewsGotT"/>
          <w:noProof/>
        </w:rPr>
        <w:t>(4), 245–251. https://doi.org/10.1016/j.retram.2020.01.002</w:t>
      </w:r>
    </w:p>
    <w:p w14:paraId="057E0631"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American Psychiatric Association. (1980). </w:t>
      </w:r>
      <w:r w:rsidRPr="009B721E">
        <w:rPr>
          <w:rFonts w:ascii="NewsGotT" w:hAnsi="NewsGotT"/>
          <w:i/>
          <w:iCs/>
          <w:noProof/>
        </w:rPr>
        <w:t>Diagnostic and Statistical Manual of Mental Disorders - III</w:t>
      </w:r>
      <w:r w:rsidRPr="009B721E">
        <w:rPr>
          <w:rFonts w:ascii="NewsGotT" w:hAnsi="NewsGotT"/>
          <w:noProof/>
        </w:rPr>
        <w:t>. Washington.</w:t>
      </w:r>
    </w:p>
    <w:p w14:paraId="4EC04291"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American Psychiatric Association. (2013). </w:t>
      </w:r>
      <w:r w:rsidRPr="009B721E">
        <w:rPr>
          <w:rFonts w:ascii="NewsGotT" w:hAnsi="NewsGotT"/>
          <w:i/>
          <w:iCs/>
          <w:noProof/>
        </w:rPr>
        <w:t>Diagnostic and statistical manual of mental disorders - DSM-5</w:t>
      </w:r>
      <w:r w:rsidRPr="009B721E">
        <w:rPr>
          <w:rFonts w:ascii="NewsGotT" w:hAnsi="NewsGotT"/>
          <w:noProof/>
        </w:rPr>
        <w:t xml:space="preserve">. </w:t>
      </w:r>
      <w:r w:rsidRPr="009B721E">
        <w:rPr>
          <w:rFonts w:ascii="NewsGotT" w:hAnsi="NewsGotT"/>
          <w:i/>
          <w:iCs/>
          <w:noProof/>
        </w:rPr>
        <w:t>Pediatria Integral</w:t>
      </w:r>
      <w:r w:rsidRPr="009B721E">
        <w:rPr>
          <w:rFonts w:ascii="NewsGotT" w:hAnsi="NewsGotT"/>
          <w:noProof/>
        </w:rPr>
        <w:t xml:space="preserve"> (fifth, Vol. 17).</w:t>
      </w:r>
    </w:p>
    <w:p w14:paraId="40C69A6E"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Associação Portuguesa de Nutrição. (2018). </w:t>
      </w:r>
      <w:r w:rsidRPr="009B721E">
        <w:rPr>
          <w:rFonts w:ascii="NewsGotT" w:hAnsi="NewsGotT"/>
          <w:i/>
          <w:iCs/>
          <w:noProof/>
        </w:rPr>
        <w:t>Dislipidemias: Caracterização e Tratamento nutricional</w:t>
      </w:r>
      <w:r w:rsidRPr="009B721E">
        <w:rPr>
          <w:rFonts w:ascii="NewsGotT" w:hAnsi="NewsGotT"/>
          <w:noProof/>
        </w:rPr>
        <w:t>. Associação Portuguesa de Nutrição. Retrieved from http://www.jstage.jst.go.jp/article/pjab/86/5/86_5_484/_article</w:t>
      </w:r>
    </w:p>
    <w:p w14:paraId="1E1F3B11"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Basu, S., Faghmous, J. H., &amp; Doupe, P. (2020). Machine learning methods for precision medicine research designed to reduce health disparities: A structured tutorial. </w:t>
      </w:r>
      <w:r w:rsidRPr="009B721E">
        <w:rPr>
          <w:rFonts w:ascii="NewsGotT" w:hAnsi="NewsGotT"/>
          <w:i/>
          <w:iCs/>
          <w:noProof/>
        </w:rPr>
        <w:t>Ethnicity and Disease</w:t>
      </w:r>
      <w:r w:rsidRPr="009B721E">
        <w:rPr>
          <w:rFonts w:ascii="NewsGotT" w:hAnsi="NewsGotT"/>
          <w:noProof/>
        </w:rPr>
        <w:t xml:space="preserve">, </w:t>
      </w:r>
      <w:r w:rsidRPr="009B721E">
        <w:rPr>
          <w:rFonts w:ascii="NewsGotT" w:hAnsi="NewsGotT"/>
          <w:i/>
          <w:iCs/>
          <w:noProof/>
        </w:rPr>
        <w:t>30</w:t>
      </w:r>
      <w:r w:rsidRPr="009B721E">
        <w:rPr>
          <w:rFonts w:ascii="NewsGotT" w:hAnsi="NewsGotT"/>
          <w:noProof/>
        </w:rPr>
        <w:t>, 217–228. https://doi.org/10.18865/ed.30.S1.217</w:t>
      </w:r>
    </w:p>
    <w:p w14:paraId="2F29AB2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Bial. (2006). Denominação da especialidade farmacêutica - SEDOXIL. Retrieved July 21, 2021, from https://www.bial.com/media/2780/sedoxil.pdf</w:t>
      </w:r>
    </w:p>
    <w:p w14:paraId="6C96F46A"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Bourgeois, J. A., Hategan, A., &amp; Losier, B. (2014). Delirium in the hospital: Emphasis on the management of geriatric patients. </w:t>
      </w:r>
      <w:r w:rsidRPr="009B721E">
        <w:rPr>
          <w:rFonts w:ascii="NewsGotT" w:hAnsi="NewsGotT"/>
          <w:i/>
          <w:iCs/>
          <w:noProof/>
        </w:rPr>
        <w:t>Current Psychiatry</w:t>
      </w:r>
      <w:r w:rsidRPr="009B721E">
        <w:rPr>
          <w:rFonts w:ascii="NewsGotT" w:hAnsi="NewsGotT"/>
          <w:noProof/>
        </w:rPr>
        <w:t xml:space="preserve">, </w:t>
      </w:r>
      <w:r w:rsidRPr="009B721E">
        <w:rPr>
          <w:rFonts w:ascii="NewsGotT" w:hAnsi="NewsGotT"/>
          <w:i/>
          <w:iCs/>
          <w:noProof/>
        </w:rPr>
        <w:t>13</w:t>
      </w:r>
      <w:r w:rsidRPr="009B721E">
        <w:rPr>
          <w:rFonts w:ascii="NewsGotT" w:hAnsi="NewsGotT"/>
          <w:noProof/>
        </w:rPr>
        <w:t>(8), 29–42.</w:t>
      </w:r>
    </w:p>
    <w:p w14:paraId="762B8821"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Braga, A. de P., Ludermir, T. B., &amp; Carvalho, A. C. P. de L. F. (2000). </w:t>
      </w:r>
      <w:r w:rsidRPr="009B721E">
        <w:rPr>
          <w:rFonts w:ascii="NewsGotT" w:hAnsi="NewsGotT"/>
          <w:i/>
          <w:iCs/>
          <w:noProof/>
        </w:rPr>
        <w:t>Redes Neurais Artificiais: Teoria e Aplicações</w:t>
      </w:r>
      <w:r w:rsidRPr="009B721E">
        <w:rPr>
          <w:rFonts w:ascii="NewsGotT" w:hAnsi="NewsGotT"/>
          <w:noProof/>
        </w:rPr>
        <w:t>. Rio de Janeiro: LTC - Livros técnicos e científicos editora S.A.</w:t>
      </w:r>
    </w:p>
    <w:p w14:paraId="7F12637A"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Breiman, L. (2001). Random forests. </w:t>
      </w:r>
      <w:r w:rsidRPr="009B721E">
        <w:rPr>
          <w:rFonts w:ascii="NewsGotT" w:hAnsi="NewsGotT"/>
          <w:i/>
          <w:iCs/>
          <w:noProof/>
        </w:rPr>
        <w:t>Machine Learning</w:t>
      </w:r>
      <w:r w:rsidRPr="009B721E">
        <w:rPr>
          <w:rFonts w:ascii="NewsGotT" w:hAnsi="NewsGotT"/>
          <w:noProof/>
        </w:rPr>
        <w:t xml:space="preserve">, </w:t>
      </w:r>
      <w:r w:rsidRPr="009B721E">
        <w:rPr>
          <w:rFonts w:ascii="NewsGotT" w:hAnsi="NewsGotT"/>
          <w:i/>
          <w:iCs/>
          <w:noProof/>
        </w:rPr>
        <w:t>45</w:t>
      </w:r>
      <w:r w:rsidRPr="009B721E">
        <w:rPr>
          <w:rFonts w:ascii="NewsGotT" w:hAnsi="NewsGotT"/>
          <w:noProof/>
        </w:rPr>
        <w:t>(1), 5–32.</w:t>
      </w:r>
    </w:p>
    <w:p w14:paraId="7F7F4B8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Brenner, D. M., &amp; Lacy, B. E. (2021). Antispasmodics for Chronic Abdominal Pain. </w:t>
      </w:r>
      <w:r w:rsidRPr="009B721E">
        <w:rPr>
          <w:rFonts w:ascii="NewsGotT" w:hAnsi="NewsGotT"/>
          <w:i/>
          <w:iCs/>
          <w:noProof/>
        </w:rPr>
        <w:t>American Journal of Gastroenterology</w:t>
      </w:r>
      <w:r w:rsidRPr="009B721E">
        <w:rPr>
          <w:rFonts w:ascii="NewsGotT" w:hAnsi="NewsGotT"/>
          <w:noProof/>
        </w:rPr>
        <w:t xml:space="preserve">, </w:t>
      </w:r>
      <w:r w:rsidRPr="009B721E">
        <w:rPr>
          <w:rFonts w:ascii="NewsGotT" w:hAnsi="NewsGotT"/>
          <w:i/>
          <w:iCs/>
          <w:noProof/>
        </w:rPr>
        <w:t>Publish Ah</w:t>
      </w:r>
      <w:r w:rsidRPr="009B721E">
        <w:rPr>
          <w:rFonts w:ascii="NewsGotT" w:hAnsi="NewsGotT"/>
          <w:noProof/>
        </w:rPr>
        <w:t>, 1587–1600. https://doi.org/10.14309/ajg.0000000000001266</w:t>
      </w:r>
    </w:p>
    <w:p w14:paraId="5180B4BC"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Bruha, I., &amp; Berka, P. (2000). Discretization and Fuzzification of Numerical Attributes in Attribute-Based Learning. In </w:t>
      </w:r>
      <w:r w:rsidRPr="009B721E">
        <w:rPr>
          <w:rFonts w:ascii="NewsGotT" w:hAnsi="NewsGotT"/>
          <w:i/>
          <w:iCs/>
          <w:noProof/>
        </w:rPr>
        <w:t>Fuzzy Systems in Medicine</w:t>
      </w:r>
      <w:r w:rsidRPr="009B721E">
        <w:rPr>
          <w:rFonts w:ascii="NewsGotT" w:hAnsi="NewsGotT"/>
          <w:noProof/>
        </w:rPr>
        <w:t xml:space="preserve"> (Vol. 41, pp. 112–138). https://doi.org/10.1007/978-3-7908-1859-8_6</w:t>
      </w:r>
    </w:p>
    <w:p w14:paraId="51A26989"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Brunton, L. L., Chabner, B. A., &amp; Knollmann, B. C. (2011). </w:t>
      </w:r>
      <w:r w:rsidRPr="009B721E">
        <w:rPr>
          <w:rFonts w:ascii="NewsGotT" w:hAnsi="NewsGotT"/>
          <w:i/>
          <w:iCs/>
          <w:noProof/>
        </w:rPr>
        <w:t>Goodman &amp; Gilman’s pharmacological basis of therapeutics</w:t>
      </w:r>
      <w:r w:rsidRPr="009B721E">
        <w:rPr>
          <w:rFonts w:ascii="NewsGotT" w:hAnsi="NewsGotT"/>
          <w:noProof/>
        </w:rPr>
        <w:t xml:space="preserve"> (twelfth). New York, NY: McGraw-Hill Medical.</w:t>
      </w:r>
    </w:p>
    <w:p w14:paraId="5EB7936B"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Burges, Christopher, J. C. (1998). A Tutorial on Support Vector Machines for Pattern Recognition. </w:t>
      </w:r>
      <w:r w:rsidRPr="009B721E">
        <w:rPr>
          <w:rFonts w:ascii="NewsGotT" w:hAnsi="NewsGotT"/>
          <w:i/>
          <w:iCs/>
          <w:noProof/>
        </w:rPr>
        <w:t>Data Mining and Knowledge Discovery</w:t>
      </w:r>
      <w:r w:rsidRPr="009B721E">
        <w:rPr>
          <w:rFonts w:ascii="NewsGotT" w:hAnsi="NewsGotT"/>
          <w:noProof/>
        </w:rPr>
        <w:t xml:space="preserve">, </w:t>
      </w:r>
      <w:r w:rsidRPr="009B721E">
        <w:rPr>
          <w:rFonts w:ascii="NewsGotT" w:hAnsi="NewsGotT"/>
          <w:i/>
          <w:iCs/>
          <w:noProof/>
        </w:rPr>
        <w:t>2</w:t>
      </w:r>
      <w:r w:rsidRPr="009B721E">
        <w:rPr>
          <w:rFonts w:ascii="NewsGotT" w:hAnsi="NewsGotT"/>
          <w:noProof/>
        </w:rPr>
        <w:t>, 121–167. https://doi.org/https://doi.org/10.1023/A:1009715923555</w:t>
      </w:r>
    </w:p>
    <w:p w14:paraId="439F6A3B"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Cano-escalera, G., Besga, A., &amp; Graña, M. (2021). Risk factors for prediction of delirium at hospital admittance. </w:t>
      </w:r>
      <w:r w:rsidRPr="009B721E">
        <w:rPr>
          <w:rFonts w:ascii="NewsGotT" w:hAnsi="NewsGotT"/>
          <w:i/>
          <w:iCs/>
          <w:noProof/>
        </w:rPr>
        <w:t>Expert Systems</w:t>
      </w:r>
      <w:r w:rsidRPr="009B721E">
        <w:rPr>
          <w:rFonts w:ascii="NewsGotT" w:hAnsi="NewsGotT"/>
          <w:noProof/>
        </w:rPr>
        <w:t xml:space="preserve">, </w:t>
      </w:r>
      <w:r w:rsidRPr="009B721E">
        <w:rPr>
          <w:rFonts w:ascii="NewsGotT" w:hAnsi="NewsGotT"/>
          <w:i/>
          <w:iCs/>
          <w:noProof/>
        </w:rPr>
        <w:t>e12698</w:t>
      </w:r>
      <w:r w:rsidRPr="009B721E">
        <w:rPr>
          <w:rFonts w:ascii="NewsGotT" w:hAnsi="NewsGotT"/>
          <w:noProof/>
        </w:rPr>
        <w:t xml:space="preserve">(December 2020), 1–10. </w:t>
      </w:r>
      <w:r w:rsidRPr="009B721E">
        <w:rPr>
          <w:rFonts w:ascii="NewsGotT" w:hAnsi="NewsGotT"/>
          <w:noProof/>
        </w:rPr>
        <w:lastRenderedPageBreak/>
        <w:t>https://doi.org/10.1111/exsy.12698</w:t>
      </w:r>
    </w:p>
    <w:p w14:paraId="55BB24A9"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Casey, P., Cross, W., Mart, M. W. S., Baldwin, C., Riddell, K., &amp; D</w:t>
      </w:r>
      <w:r w:rsidRPr="009B721E">
        <w:rPr>
          <w:rFonts w:ascii="Cambria" w:hAnsi="Cambria" w:cs="Cambria"/>
          <w:noProof/>
        </w:rPr>
        <w:t>ā</w:t>
      </w:r>
      <w:r w:rsidRPr="009B721E">
        <w:rPr>
          <w:rFonts w:ascii="NewsGotT" w:hAnsi="NewsGotT"/>
          <w:noProof/>
        </w:rPr>
        <w:t>rzi</w:t>
      </w:r>
      <w:r w:rsidRPr="009B721E">
        <w:rPr>
          <w:rFonts w:ascii="Cambria" w:hAnsi="Cambria" w:cs="Cambria"/>
          <w:noProof/>
        </w:rPr>
        <w:t>ņ</w:t>
      </w:r>
      <w:r w:rsidRPr="009B721E">
        <w:rPr>
          <w:rFonts w:ascii="NewsGotT" w:hAnsi="NewsGotT"/>
          <w:noProof/>
        </w:rPr>
        <w:t xml:space="preserve">š, P. (2019). Hospital discharge data under-reports delirium occurrence: results from a point prevalence survey of delirium in a major Australian health service. </w:t>
      </w:r>
      <w:r w:rsidRPr="009B721E">
        <w:rPr>
          <w:rFonts w:ascii="NewsGotT" w:hAnsi="NewsGotT"/>
          <w:i/>
          <w:iCs/>
          <w:noProof/>
        </w:rPr>
        <w:t>Internal Medicine Journal</w:t>
      </w:r>
      <w:r w:rsidRPr="009B721E">
        <w:rPr>
          <w:rFonts w:ascii="NewsGotT" w:hAnsi="NewsGotT"/>
          <w:noProof/>
        </w:rPr>
        <w:t xml:space="preserve">, </w:t>
      </w:r>
      <w:r w:rsidRPr="009B721E">
        <w:rPr>
          <w:rFonts w:ascii="NewsGotT" w:hAnsi="NewsGotT"/>
          <w:i/>
          <w:iCs/>
          <w:noProof/>
        </w:rPr>
        <w:t>49</w:t>
      </w:r>
      <w:r w:rsidRPr="009B721E">
        <w:rPr>
          <w:rFonts w:ascii="NewsGotT" w:hAnsi="NewsGotT"/>
          <w:noProof/>
        </w:rPr>
        <w:t>(3), 338–344. https://doi.org/10.1111/imj.14066</w:t>
      </w:r>
    </w:p>
    <w:p w14:paraId="077A4F53"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Chapelle, O., Vapnik, V., Bousquet, O., &amp; Mukherjee, S. (2002). Choosing Multiple Parameters for Support Vector Machines. </w:t>
      </w:r>
      <w:r w:rsidRPr="009B721E">
        <w:rPr>
          <w:rFonts w:ascii="NewsGotT" w:hAnsi="NewsGotT"/>
          <w:i/>
          <w:iCs/>
          <w:noProof/>
        </w:rPr>
        <w:t>Machine Learning</w:t>
      </w:r>
      <w:r w:rsidRPr="009B721E">
        <w:rPr>
          <w:rFonts w:ascii="NewsGotT" w:hAnsi="NewsGotT"/>
          <w:noProof/>
        </w:rPr>
        <w:t xml:space="preserve">, </w:t>
      </w:r>
      <w:r w:rsidRPr="009B721E">
        <w:rPr>
          <w:rFonts w:ascii="NewsGotT" w:hAnsi="NewsGotT"/>
          <w:i/>
          <w:iCs/>
          <w:noProof/>
        </w:rPr>
        <w:t>46</w:t>
      </w:r>
      <w:r w:rsidRPr="009B721E">
        <w:rPr>
          <w:rFonts w:ascii="NewsGotT" w:hAnsi="NewsGotT"/>
          <w:noProof/>
        </w:rPr>
        <w:t>, 131–159. https://doi.org/https://doi.org/10.1023/A:1012450327387</w:t>
      </w:r>
    </w:p>
    <w:p w14:paraId="7A41D42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Chapman, P., Clinton, J., Kerber, R., Khabaza, T., Reinartz, T., Shearer, C., &amp; Wirth, R. (2000). </w:t>
      </w:r>
      <w:r w:rsidRPr="009B721E">
        <w:rPr>
          <w:rFonts w:ascii="NewsGotT" w:hAnsi="NewsGotT"/>
          <w:i/>
          <w:iCs/>
          <w:noProof/>
        </w:rPr>
        <w:t>CRISP-DM 1.0 Step-by-step data mining guide</w:t>
      </w:r>
      <w:r w:rsidRPr="009B721E">
        <w:rPr>
          <w:rFonts w:ascii="NewsGotT" w:hAnsi="NewsGotT"/>
          <w:noProof/>
        </w:rPr>
        <w:t xml:space="preserve">. </w:t>
      </w:r>
      <w:r w:rsidRPr="009B721E">
        <w:rPr>
          <w:rFonts w:ascii="NewsGotT" w:hAnsi="NewsGotT"/>
          <w:i/>
          <w:iCs/>
          <w:noProof/>
        </w:rPr>
        <w:t>SPSS inc</w:t>
      </w:r>
      <w:r w:rsidRPr="009B721E">
        <w:rPr>
          <w:rFonts w:ascii="NewsGotT" w:hAnsi="NewsGotT"/>
          <w:noProof/>
        </w:rPr>
        <w:t>. Retrieved from http://www.crisp-dm.org/CRISPWP-0800.pdf</w:t>
      </w:r>
    </w:p>
    <w:p w14:paraId="4A74D46D"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Cheon, S. Y., Koo, B.-N., Kim, S. Y., Kam, E. H., Nam, J., &amp; Kim, E. J. (2021). Scopolamine promotes neuroinflammation and delirium-like neuropsychiatric disorder in mice. </w:t>
      </w:r>
      <w:r w:rsidRPr="009B721E">
        <w:rPr>
          <w:rFonts w:ascii="NewsGotT" w:hAnsi="NewsGotT"/>
          <w:i/>
          <w:iCs/>
          <w:noProof/>
        </w:rPr>
        <w:t>Scientific Reports</w:t>
      </w:r>
      <w:r w:rsidRPr="009B721E">
        <w:rPr>
          <w:rFonts w:ascii="NewsGotT" w:hAnsi="NewsGotT"/>
          <w:noProof/>
        </w:rPr>
        <w:t xml:space="preserve">, </w:t>
      </w:r>
      <w:r w:rsidRPr="009B721E">
        <w:rPr>
          <w:rFonts w:ascii="NewsGotT" w:hAnsi="NewsGotT"/>
          <w:i/>
          <w:iCs/>
          <w:noProof/>
        </w:rPr>
        <w:t>11</w:t>
      </w:r>
      <w:r w:rsidRPr="009B721E">
        <w:rPr>
          <w:rFonts w:ascii="NewsGotT" w:hAnsi="NewsGotT"/>
          <w:noProof/>
        </w:rPr>
        <w:t>(1), 8376. https://doi.org/10.1038/s41598-021-87790-y</w:t>
      </w:r>
    </w:p>
    <w:p w14:paraId="7F0647F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Church, M. K., &amp; Maurer, M. (2014). Antihistamines. In </w:t>
      </w:r>
      <w:r w:rsidRPr="009B721E">
        <w:rPr>
          <w:rFonts w:ascii="NewsGotT" w:hAnsi="NewsGotT"/>
          <w:i/>
          <w:iCs/>
          <w:noProof/>
        </w:rPr>
        <w:t>History of Allergy</w:t>
      </w:r>
      <w:r w:rsidRPr="009B721E">
        <w:rPr>
          <w:rFonts w:ascii="NewsGotT" w:hAnsi="NewsGotT"/>
          <w:noProof/>
        </w:rPr>
        <w:t xml:space="preserve"> (Vol. 100, pp. 302–310). https://doi.org/10.1159/000359963</w:t>
      </w:r>
    </w:p>
    <w:p w14:paraId="2F03BDED"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9B721E">
        <w:rPr>
          <w:rFonts w:ascii="NewsGotT" w:hAnsi="NewsGotT"/>
          <w:i/>
          <w:iCs/>
          <w:noProof/>
        </w:rPr>
        <w:t>International Psychogeriatrics</w:t>
      </w:r>
      <w:r w:rsidRPr="009B721E">
        <w:rPr>
          <w:rFonts w:ascii="NewsGotT" w:hAnsi="NewsGotT"/>
          <w:noProof/>
        </w:rPr>
        <w:t xml:space="preserve">, </w:t>
      </w:r>
      <w:r w:rsidRPr="009B721E">
        <w:rPr>
          <w:rFonts w:ascii="NewsGotT" w:hAnsi="NewsGotT"/>
          <w:i/>
          <w:iCs/>
          <w:noProof/>
        </w:rPr>
        <w:t>31</w:t>
      </w:r>
      <w:r w:rsidRPr="009B721E">
        <w:rPr>
          <w:rFonts w:ascii="NewsGotT" w:hAnsi="NewsGotT"/>
          <w:noProof/>
        </w:rPr>
        <w:t>(2), 267–276. https://doi.org/10.1017/S1041610218000777</w:t>
      </w:r>
    </w:p>
    <w:p w14:paraId="3D99F5DA"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Clegg, A., &amp; Young, J. B. (2011). Which medications to avoid in people at risk of delirium: A systematic review. </w:t>
      </w:r>
      <w:r w:rsidRPr="009B721E">
        <w:rPr>
          <w:rFonts w:ascii="NewsGotT" w:hAnsi="NewsGotT"/>
          <w:i/>
          <w:iCs/>
          <w:noProof/>
        </w:rPr>
        <w:t>Age and Ageing</w:t>
      </w:r>
      <w:r w:rsidRPr="009B721E">
        <w:rPr>
          <w:rFonts w:ascii="NewsGotT" w:hAnsi="NewsGotT"/>
          <w:noProof/>
        </w:rPr>
        <w:t xml:space="preserve">, </w:t>
      </w:r>
      <w:r w:rsidRPr="009B721E">
        <w:rPr>
          <w:rFonts w:ascii="NewsGotT" w:hAnsi="NewsGotT"/>
          <w:i/>
          <w:iCs/>
          <w:noProof/>
        </w:rPr>
        <w:t>40</w:t>
      </w:r>
      <w:r w:rsidRPr="009B721E">
        <w:rPr>
          <w:rFonts w:ascii="NewsGotT" w:hAnsi="NewsGotT"/>
          <w:noProof/>
        </w:rPr>
        <w:t>(1), 23–29. https://doi.org/10.1093/ageing/afq140</w:t>
      </w:r>
    </w:p>
    <w:p w14:paraId="5679945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Conselho Nacional da Saúde. (2019). </w:t>
      </w:r>
      <w:r w:rsidRPr="009B721E">
        <w:rPr>
          <w:rFonts w:ascii="NewsGotT" w:hAnsi="NewsGotT"/>
          <w:i/>
          <w:iCs/>
          <w:noProof/>
        </w:rPr>
        <w:t>Sem mais tempo a perder - Saúde mental em Portugal: um desafio para a próxima década</w:t>
      </w:r>
      <w:r w:rsidRPr="009B721E">
        <w:rPr>
          <w:rFonts w:ascii="NewsGotT" w:hAnsi="NewsGotT"/>
          <w:noProof/>
        </w:rPr>
        <w:t xml:space="preserve">. </w:t>
      </w:r>
      <w:r w:rsidRPr="009B721E">
        <w:rPr>
          <w:rFonts w:ascii="NewsGotT" w:hAnsi="NewsGotT"/>
          <w:i/>
          <w:iCs/>
          <w:noProof/>
        </w:rPr>
        <w:t>Conselho Nacional de Saúde</w:t>
      </w:r>
      <w:r w:rsidRPr="009B721E">
        <w:rPr>
          <w:rFonts w:ascii="NewsGotT" w:hAnsi="NewsGotT"/>
          <w:noProof/>
        </w:rPr>
        <w:t>. Lisboa: CNS.</w:t>
      </w:r>
    </w:p>
    <w:p w14:paraId="113CE03E"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Corradi, J. P., Thompson, S., Mather, J. F., Waszynski, C. M., &amp; Dicks, R. S. (2018). Prediction of Incident Delirium Using a Random Forest classifier. </w:t>
      </w:r>
      <w:r w:rsidRPr="009B721E">
        <w:rPr>
          <w:rFonts w:ascii="NewsGotT" w:hAnsi="NewsGotT"/>
          <w:i/>
          <w:iCs/>
          <w:noProof/>
        </w:rPr>
        <w:t>Journal of Medical Systems</w:t>
      </w:r>
      <w:r w:rsidRPr="009B721E">
        <w:rPr>
          <w:rFonts w:ascii="NewsGotT" w:hAnsi="NewsGotT"/>
          <w:noProof/>
        </w:rPr>
        <w:t xml:space="preserve">, </w:t>
      </w:r>
      <w:r w:rsidRPr="009B721E">
        <w:rPr>
          <w:rFonts w:ascii="NewsGotT" w:hAnsi="NewsGotT"/>
          <w:i/>
          <w:iCs/>
          <w:noProof/>
        </w:rPr>
        <w:t>42</w:t>
      </w:r>
      <w:r w:rsidRPr="009B721E">
        <w:rPr>
          <w:rFonts w:ascii="NewsGotT" w:hAnsi="NewsGotT"/>
          <w:noProof/>
        </w:rPr>
        <w:t>(12). https://doi.org/10.1007/s10916-018-1109-0</w:t>
      </w:r>
    </w:p>
    <w:p w14:paraId="6773700E"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Davoudi, A., Ebadi, A., Rashidi, P., Ozrazgat-Baslanti, T., Bihorac, A., &amp; Bursian, A. C. (2017). Delirium Prediction using Machine Learning Models on Predictive Electronic Health Records Data. </w:t>
      </w:r>
      <w:r w:rsidRPr="009B721E">
        <w:rPr>
          <w:rFonts w:ascii="NewsGotT" w:hAnsi="NewsGotT"/>
          <w:i/>
          <w:iCs/>
          <w:noProof/>
        </w:rPr>
        <w:t>Proceedings - IEEE 17th International Symposium on Bioinformatics and Bioengineering, BIBE 2017</w:t>
      </w:r>
      <w:r w:rsidRPr="009B721E">
        <w:rPr>
          <w:rFonts w:ascii="NewsGotT" w:hAnsi="NewsGotT"/>
          <w:noProof/>
        </w:rPr>
        <w:t>, 568–573. https://doi.org/10.1109/BIBE.2017.00014</w:t>
      </w:r>
    </w:p>
    <w:p w14:paraId="529EB881"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De, J., &amp; Wand, A. P. F. (2015). Delirium screening: A systematic review of delirium screening tools in hospitalized patients. </w:t>
      </w:r>
      <w:r w:rsidRPr="009B721E">
        <w:rPr>
          <w:rFonts w:ascii="NewsGotT" w:hAnsi="NewsGotT"/>
          <w:i/>
          <w:iCs/>
          <w:noProof/>
        </w:rPr>
        <w:t>Gerontologist</w:t>
      </w:r>
      <w:r w:rsidRPr="009B721E">
        <w:rPr>
          <w:rFonts w:ascii="NewsGotT" w:hAnsi="NewsGotT"/>
          <w:noProof/>
        </w:rPr>
        <w:t xml:space="preserve">, </w:t>
      </w:r>
      <w:r w:rsidRPr="009B721E">
        <w:rPr>
          <w:rFonts w:ascii="NewsGotT" w:hAnsi="NewsGotT"/>
          <w:i/>
          <w:iCs/>
          <w:noProof/>
        </w:rPr>
        <w:t>55</w:t>
      </w:r>
      <w:r w:rsidRPr="009B721E">
        <w:rPr>
          <w:rFonts w:ascii="NewsGotT" w:hAnsi="NewsGotT"/>
          <w:noProof/>
        </w:rPr>
        <w:t>(6), 1079–1099. https://doi.org/10.1093/geront/gnv100</w:t>
      </w:r>
    </w:p>
    <w:p w14:paraId="2E190A8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Delaney, J., Spevack, D., Doddamani, S., &amp; Ostfeld, R. (2006). Clonidine-induced delirium. </w:t>
      </w:r>
      <w:r w:rsidRPr="009B721E">
        <w:rPr>
          <w:rFonts w:ascii="NewsGotT" w:hAnsi="NewsGotT"/>
          <w:i/>
          <w:iCs/>
          <w:noProof/>
        </w:rPr>
        <w:t>International Journal of Cardiology</w:t>
      </w:r>
      <w:r w:rsidRPr="009B721E">
        <w:rPr>
          <w:rFonts w:ascii="NewsGotT" w:hAnsi="NewsGotT"/>
          <w:noProof/>
        </w:rPr>
        <w:t xml:space="preserve">, </w:t>
      </w:r>
      <w:r w:rsidRPr="009B721E">
        <w:rPr>
          <w:rFonts w:ascii="NewsGotT" w:hAnsi="NewsGotT"/>
          <w:i/>
          <w:iCs/>
          <w:noProof/>
        </w:rPr>
        <w:t>113</w:t>
      </w:r>
      <w:r w:rsidRPr="009B721E">
        <w:rPr>
          <w:rFonts w:ascii="NewsGotT" w:hAnsi="NewsGotT"/>
          <w:noProof/>
        </w:rPr>
        <w:t>(2), 276–278. https://doi.org/10.1016/j.ijcard.2005.09.032</w:t>
      </w:r>
    </w:p>
    <w:p w14:paraId="11B5927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Desforges, J. F., &amp; Lipowski, Z. J. (1989). Delirium in the Elderly Patient. </w:t>
      </w:r>
      <w:r w:rsidRPr="009B721E">
        <w:rPr>
          <w:rFonts w:ascii="NewsGotT" w:hAnsi="NewsGotT"/>
          <w:i/>
          <w:iCs/>
          <w:noProof/>
        </w:rPr>
        <w:t>New England Journal of Medicine</w:t>
      </w:r>
      <w:r w:rsidRPr="009B721E">
        <w:rPr>
          <w:rFonts w:ascii="NewsGotT" w:hAnsi="NewsGotT"/>
          <w:noProof/>
        </w:rPr>
        <w:t xml:space="preserve">, </w:t>
      </w:r>
      <w:r w:rsidRPr="009B721E">
        <w:rPr>
          <w:rFonts w:ascii="NewsGotT" w:hAnsi="NewsGotT"/>
          <w:i/>
          <w:iCs/>
          <w:noProof/>
        </w:rPr>
        <w:t>320</w:t>
      </w:r>
      <w:r w:rsidRPr="009B721E">
        <w:rPr>
          <w:rFonts w:ascii="NewsGotT" w:hAnsi="NewsGotT"/>
          <w:noProof/>
        </w:rPr>
        <w:t>(9), 578–582. https://doi.org/10.1056/NEJM198903023200907</w:t>
      </w:r>
    </w:p>
    <w:p w14:paraId="7DC0CC9F"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DGS. (n.d.). Porque se fala em saúde mental? Retrieved July 14, 2021, from https://www.dgs.pt/paginas-de-sistema/saude-de-a-a-z/programa-nacional-para-a-saude-mental/perguntas-e-respostas.aspx</w:t>
      </w:r>
    </w:p>
    <w:p w14:paraId="6876F774"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Dreiseitl, S., &amp; Ohno-Machado, L. (2002). Logistic regression and artificial neural network classification models: A methodology review. </w:t>
      </w:r>
      <w:r w:rsidRPr="009B721E">
        <w:rPr>
          <w:rFonts w:ascii="NewsGotT" w:hAnsi="NewsGotT"/>
          <w:i/>
          <w:iCs/>
          <w:noProof/>
        </w:rPr>
        <w:t>Journal of Biomedical Informatics</w:t>
      </w:r>
      <w:r w:rsidRPr="009B721E">
        <w:rPr>
          <w:rFonts w:ascii="NewsGotT" w:hAnsi="NewsGotT"/>
          <w:noProof/>
        </w:rPr>
        <w:t xml:space="preserve">, </w:t>
      </w:r>
      <w:r w:rsidRPr="009B721E">
        <w:rPr>
          <w:rFonts w:ascii="NewsGotT" w:hAnsi="NewsGotT"/>
          <w:i/>
          <w:iCs/>
          <w:noProof/>
        </w:rPr>
        <w:t>35</w:t>
      </w:r>
      <w:r w:rsidRPr="009B721E">
        <w:rPr>
          <w:rFonts w:ascii="NewsGotT" w:hAnsi="NewsGotT"/>
          <w:noProof/>
        </w:rPr>
        <w:t>(5–6), 352–359. https://doi.org/10.1016/S1532-0464(03)00034-0</w:t>
      </w:r>
    </w:p>
    <w:p w14:paraId="37001B8C"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Duan, K., Keerthi, S., &amp; Poo, A. (2003). Evaluation of simple performance measures for tuning SVM hyper parameters. Technical report. </w:t>
      </w:r>
      <w:r w:rsidRPr="009B721E">
        <w:rPr>
          <w:rFonts w:ascii="NewsGotT" w:hAnsi="NewsGotT"/>
          <w:i/>
          <w:iCs/>
          <w:noProof/>
        </w:rPr>
        <w:t>Neurocomputing</w:t>
      </w:r>
      <w:r w:rsidRPr="009B721E">
        <w:rPr>
          <w:rFonts w:ascii="NewsGotT" w:hAnsi="NewsGotT"/>
          <w:noProof/>
        </w:rPr>
        <w:t xml:space="preserve">, </w:t>
      </w:r>
      <w:r w:rsidRPr="009B721E">
        <w:rPr>
          <w:rFonts w:ascii="NewsGotT" w:hAnsi="NewsGotT"/>
          <w:i/>
          <w:iCs/>
          <w:noProof/>
        </w:rPr>
        <w:t>51</w:t>
      </w:r>
      <w:r w:rsidRPr="009B721E">
        <w:rPr>
          <w:rFonts w:ascii="NewsGotT" w:hAnsi="NewsGotT"/>
          <w:noProof/>
        </w:rPr>
        <w:t>, 41–59. https://doi.org/https://doi.org/10.1016/S0925-2312(02)00601-X</w:t>
      </w:r>
    </w:p>
    <w:p w14:paraId="1A2D8DBF"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Ely, E. W., Margolin, R., Francis, J., May, L., Truman, B., Dittus, R., … Inouye, S. K. (2001). Evaluation of delirium in critically ill patients: Validation of the Confusion Assessment Method for the intensive </w:t>
      </w:r>
      <w:r w:rsidRPr="009B721E">
        <w:rPr>
          <w:rFonts w:ascii="NewsGotT" w:hAnsi="NewsGotT"/>
          <w:noProof/>
        </w:rPr>
        <w:lastRenderedPageBreak/>
        <w:t xml:space="preserve">care unit (CAM-ICU). </w:t>
      </w:r>
      <w:r w:rsidRPr="009B721E">
        <w:rPr>
          <w:rFonts w:ascii="NewsGotT" w:hAnsi="NewsGotT"/>
          <w:i/>
          <w:iCs/>
          <w:noProof/>
        </w:rPr>
        <w:t>Critical Care Medicine</w:t>
      </w:r>
      <w:r w:rsidRPr="009B721E">
        <w:rPr>
          <w:rFonts w:ascii="NewsGotT" w:hAnsi="NewsGotT"/>
          <w:noProof/>
        </w:rPr>
        <w:t xml:space="preserve">, </w:t>
      </w:r>
      <w:r w:rsidRPr="009B721E">
        <w:rPr>
          <w:rFonts w:ascii="NewsGotT" w:hAnsi="NewsGotT"/>
          <w:i/>
          <w:iCs/>
          <w:noProof/>
        </w:rPr>
        <w:t>29</w:t>
      </w:r>
      <w:r w:rsidRPr="009B721E">
        <w:rPr>
          <w:rFonts w:ascii="NewsGotT" w:hAnsi="NewsGotT"/>
          <w:noProof/>
        </w:rPr>
        <w:t>(7), 1370–1379. https://doi.org/10.1097/00003246-200107000-00012</w:t>
      </w:r>
    </w:p>
    <w:p w14:paraId="60A3A19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Ely, E. W., Truman, B., Shintani, A., Thomason, J. W. W., Wheeler, A. P., Gordon, S., … Bernard, G. R. (2003). Monitoring Sedation Status Over Time in ICU Patients. </w:t>
      </w:r>
      <w:r w:rsidRPr="009B721E">
        <w:rPr>
          <w:rFonts w:ascii="NewsGotT" w:hAnsi="NewsGotT"/>
          <w:i/>
          <w:iCs/>
          <w:noProof/>
        </w:rPr>
        <w:t>JAMA</w:t>
      </w:r>
      <w:r w:rsidRPr="009B721E">
        <w:rPr>
          <w:rFonts w:ascii="NewsGotT" w:hAnsi="NewsGotT"/>
          <w:noProof/>
        </w:rPr>
        <w:t xml:space="preserve">, </w:t>
      </w:r>
      <w:r w:rsidRPr="009B721E">
        <w:rPr>
          <w:rFonts w:ascii="NewsGotT" w:hAnsi="NewsGotT"/>
          <w:i/>
          <w:iCs/>
          <w:noProof/>
        </w:rPr>
        <w:t>289</w:t>
      </w:r>
      <w:r w:rsidRPr="009B721E">
        <w:rPr>
          <w:rFonts w:ascii="NewsGotT" w:hAnsi="NewsGotT"/>
          <w:noProof/>
        </w:rPr>
        <w:t>(22), 2983. https://doi.org/10.1001/jama.289.22.2983</w:t>
      </w:r>
    </w:p>
    <w:p w14:paraId="007B0975"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Estivill-Castro, V. (2002). Why so many clustering algorithms - a position paper. </w:t>
      </w:r>
      <w:r w:rsidRPr="009B721E">
        <w:rPr>
          <w:rFonts w:ascii="NewsGotT" w:hAnsi="NewsGotT"/>
          <w:i/>
          <w:iCs/>
          <w:noProof/>
        </w:rPr>
        <w:t>ACM SIGKDD Explorations Newsletter</w:t>
      </w:r>
      <w:r w:rsidRPr="009B721E">
        <w:rPr>
          <w:rFonts w:ascii="NewsGotT" w:hAnsi="NewsGotT"/>
          <w:noProof/>
        </w:rPr>
        <w:t xml:space="preserve">, </w:t>
      </w:r>
      <w:r w:rsidRPr="009B721E">
        <w:rPr>
          <w:rFonts w:ascii="NewsGotT" w:hAnsi="NewsGotT"/>
          <w:i/>
          <w:iCs/>
          <w:noProof/>
        </w:rPr>
        <w:t>4</w:t>
      </w:r>
      <w:r w:rsidRPr="009B721E">
        <w:rPr>
          <w:rFonts w:ascii="NewsGotT" w:hAnsi="NewsGotT"/>
          <w:noProof/>
        </w:rPr>
        <w:t>(1), 65–75. https://doi.org/10.1145/568574.568575</w:t>
      </w:r>
    </w:p>
    <w:p w14:paraId="0B267AB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Faceli, K., Lorena, A. C., Gama, J., &amp; Carvalho, A. C. P. L. . de C. (2011). </w:t>
      </w:r>
      <w:r w:rsidRPr="009B721E">
        <w:rPr>
          <w:rFonts w:ascii="NewsGotT" w:hAnsi="NewsGotT"/>
          <w:i/>
          <w:iCs/>
          <w:noProof/>
        </w:rPr>
        <w:t>Inteligência Artificial. Uma Abordagem de Aprendizado de Máquina (Em Portugues do Brasil)</w:t>
      </w:r>
      <w:r w:rsidRPr="009B721E">
        <w:rPr>
          <w:rFonts w:ascii="NewsGotT" w:hAnsi="NewsGotT"/>
          <w:noProof/>
        </w:rPr>
        <w:t>. GEN: LTC. Retrieved from http://amazon.com/o/ASIN/8521618808/</w:t>
      </w:r>
    </w:p>
    <w:p w14:paraId="5E3D79B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Field, R. R., &amp; Wall, M. H. (2013). Delirium: Past, present, and future. </w:t>
      </w:r>
      <w:r w:rsidRPr="009B721E">
        <w:rPr>
          <w:rFonts w:ascii="NewsGotT" w:hAnsi="NewsGotT"/>
          <w:i/>
          <w:iCs/>
          <w:noProof/>
        </w:rPr>
        <w:t>Seminars in Cardiothoracic and Vascular Anesthesia</w:t>
      </w:r>
      <w:r w:rsidRPr="009B721E">
        <w:rPr>
          <w:rFonts w:ascii="NewsGotT" w:hAnsi="NewsGotT"/>
          <w:noProof/>
        </w:rPr>
        <w:t xml:space="preserve">, </w:t>
      </w:r>
      <w:r w:rsidRPr="009B721E">
        <w:rPr>
          <w:rFonts w:ascii="NewsGotT" w:hAnsi="NewsGotT"/>
          <w:i/>
          <w:iCs/>
          <w:noProof/>
        </w:rPr>
        <w:t>17</w:t>
      </w:r>
      <w:r w:rsidRPr="009B721E">
        <w:rPr>
          <w:rFonts w:ascii="NewsGotT" w:hAnsi="NewsGotT"/>
          <w:noProof/>
        </w:rPr>
        <w:t>(3), 170–179. https://doi.org/10.1177/1089253213476957</w:t>
      </w:r>
    </w:p>
    <w:p w14:paraId="77736DA1"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Flacker, J. M., &amp; Lipsitz, L. A. (1999). Neural Mechanisms of Delirium: Current Hypotheses and Evolving Concepts. </w:t>
      </w:r>
      <w:r w:rsidRPr="009B721E">
        <w:rPr>
          <w:rFonts w:ascii="NewsGotT" w:hAnsi="NewsGotT"/>
          <w:i/>
          <w:iCs/>
          <w:noProof/>
        </w:rPr>
        <w:t>The Journals of Gerontology Series A: Biological Sciences and Medical Sciences</w:t>
      </w:r>
      <w:r w:rsidRPr="009B721E">
        <w:rPr>
          <w:rFonts w:ascii="NewsGotT" w:hAnsi="NewsGotT"/>
          <w:noProof/>
        </w:rPr>
        <w:t xml:space="preserve">, </w:t>
      </w:r>
      <w:r w:rsidRPr="009B721E">
        <w:rPr>
          <w:rFonts w:ascii="NewsGotT" w:hAnsi="NewsGotT"/>
          <w:i/>
          <w:iCs/>
          <w:noProof/>
        </w:rPr>
        <w:t>54</w:t>
      </w:r>
      <w:r w:rsidRPr="009B721E">
        <w:rPr>
          <w:rFonts w:ascii="NewsGotT" w:hAnsi="NewsGotT"/>
          <w:noProof/>
        </w:rPr>
        <w:t>(6), B239–B246. https://doi.org/10.1093/gerona/54.6.B239</w:t>
      </w:r>
    </w:p>
    <w:p w14:paraId="2241C3A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Francis, J. (1996). Drug-Induced Delirium</w:t>
      </w:r>
      <w:r w:rsidRPr="009B721E">
        <w:rPr>
          <w:noProof/>
        </w:rPr>
        <w:t> </w:t>
      </w:r>
      <w:r w:rsidRPr="009B721E">
        <w:rPr>
          <w:rFonts w:ascii="NewsGotT" w:hAnsi="NewsGotT"/>
          <w:noProof/>
        </w:rPr>
        <w:t xml:space="preserve">: Diagnosis and treatment. </w:t>
      </w:r>
      <w:r w:rsidRPr="009B721E">
        <w:rPr>
          <w:rFonts w:ascii="NewsGotT" w:hAnsi="NewsGotT"/>
          <w:i/>
          <w:iCs/>
          <w:noProof/>
        </w:rPr>
        <w:t>CNS Drugs</w:t>
      </w:r>
      <w:r w:rsidRPr="009B721E">
        <w:rPr>
          <w:rFonts w:ascii="NewsGotT" w:hAnsi="NewsGotT"/>
          <w:noProof/>
        </w:rPr>
        <w:t xml:space="preserve">, </w:t>
      </w:r>
      <w:r w:rsidRPr="009B721E">
        <w:rPr>
          <w:rFonts w:ascii="NewsGotT" w:hAnsi="NewsGotT"/>
          <w:i/>
          <w:iCs/>
          <w:noProof/>
        </w:rPr>
        <w:t>5</w:t>
      </w:r>
      <w:r w:rsidRPr="009B721E">
        <w:rPr>
          <w:rFonts w:ascii="NewsGotT" w:hAnsi="NewsGotT"/>
          <w:noProof/>
        </w:rPr>
        <w:t>(2), 103–114.</w:t>
      </w:r>
    </w:p>
    <w:p w14:paraId="4FFBDBC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Frederick, A. L., &amp; Stanwood, G. D. (2009). Drugs, biogenic amine targets and the developing brain. </w:t>
      </w:r>
      <w:r w:rsidRPr="009B721E">
        <w:rPr>
          <w:rFonts w:ascii="NewsGotT" w:hAnsi="NewsGotT"/>
          <w:i/>
          <w:iCs/>
          <w:noProof/>
        </w:rPr>
        <w:t>Developmental Neuroscience</w:t>
      </w:r>
      <w:r w:rsidRPr="009B721E">
        <w:rPr>
          <w:rFonts w:ascii="NewsGotT" w:hAnsi="NewsGotT"/>
          <w:noProof/>
        </w:rPr>
        <w:t xml:space="preserve">, </w:t>
      </w:r>
      <w:r w:rsidRPr="009B721E">
        <w:rPr>
          <w:rFonts w:ascii="NewsGotT" w:hAnsi="NewsGotT"/>
          <w:i/>
          <w:iCs/>
          <w:noProof/>
        </w:rPr>
        <w:t>31</w:t>
      </w:r>
      <w:r w:rsidRPr="009B721E">
        <w:rPr>
          <w:rFonts w:ascii="NewsGotT" w:hAnsi="NewsGotT"/>
          <w:noProof/>
        </w:rPr>
        <w:t>(1–2), 7–22. https://doi.org/10.1159/000207490</w:t>
      </w:r>
    </w:p>
    <w:p w14:paraId="0C2B094F"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Friedman, J. H. (2002). Stochastic gradient boosting. </w:t>
      </w:r>
      <w:r w:rsidRPr="009B721E">
        <w:rPr>
          <w:rFonts w:ascii="NewsGotT" w:hAnsi="NewsGotT"/>
          <w:i/>
          <w:iCs/>
          <w:noProof/>
        </w:rPr>
        <w:t>Computational Statistics and Data Analysis</w:t>
      </w:r>
      <w:r w:rsidRPr="009B721E">
        <w:rPr>
          <w:rFonts w:ascii="NewsGotT" w:hAnsi="NewsGotT"/>
          <w:noProof/>
        </w:rPr>
        <w:t xml:space="preserve">, </w:t>
      </w:r>
      <w:r w:rsidRPr="009B721E">
        <w:rPr>
          <w:rFonts w:ascii="NewsGotT" w:hAnsi="NewsGotT"/>
          <w:i/>
          <w:iCs/>
          <w:noProof/>
        </w:rPr>
        <w:t>38</w:t>
      </w:r>
      <w:r w:rsidRPr="009B721E">
        <w:rPr>
          <w:rFonts w:ascii="NewsGotT" w:hAnsi="NewsGotT"/>
          <w:noProof/>
        </w:rPr>
        <w:t>(4), 367–378. https://doi.org/10.1016/S0167-9473(01)00065-2</w:t>
      </w:r>
    </w:p>
    <w:p w14:paraId="6A10CF0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Furtado, C. (2013). </w:t>
      </w:r>
      <w:r w:rsidRPr="009B721E">
        <w:rPr>
          <w:rFonts w:ascii="NewsGotT" w:hAnsi="NewsGotT"/>
          <w:i/>
          <w:iCs/>
          <w:noProof/>
        </w:rPr>
        <w:t>Psicofármacos: Evolução do consumo em Portugal Continental (2000 – 2012)</w:t>
      </w:r>
      <w:r w:rsidRPr="009B721E">
        <w:rPr>
          <w:rFonts w:ascii="NewsGotT" w:hAnsi="NewsGotT"/>
          <w:noProof/>
        </w:rPr>
        <w:t>. Retrieved from https://www.infarmed.pt/documents/15786/17838/psicofarmacos_relatorio2013+%281%29.pdf/3e52568f-7f90-47c8-9903-d128395c73e5</w:t>
      </w:r>
    </w:p>
    <w:p w14:paraId="21E3034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Gaudreau, J. D., Gagnon, P., Harel, F., Roy, M. A., &amp; Tremblay, A. (2005). Psychoactive medications and risk of delirium in hospitalized cancer patients. </w:t>
      </w:r>
      <w:r w:rsidRPr="009B721E">
        <w:rPr>
          <w:rFonts w:ascii="NewsGotT" w:hAnsi="NewsGotT"/>
          <w:i/>
          <w:iCs/>
          <w:noProof/>
        </w:rPr>
        <w:t>Journal of Clinical Oncology</w:t>
      </w:r>
      <w:r w:rsidRPr="009B721E">
        <w:rPr>
          <w:rFonts w:ascii="NewsGotT" w:hAnsi="NewsGotT"/>
          <w:noProof/>
        </w:rPr>
        <w:t xml:space="preserve">, </w:t>
      </w:r>
      <w:r w:rsidRPr="009B721E">
        <w:rPr>
          <w:rFonts w:ascii="NewsGotT" w:hAnsi="NewsGotT"/>
          <w:i/>
          <w:iCs/>
          <w:noProof/>
        </w:rPr>
        <w:t>23</w:t>
      </w:r>
      <w:r w:rsidRPr="009B721E">
        <w:rPr>
          <w:rFonts w:ascii="NewsGotT" w:hAnsi="NewsGotT"/>
          <w:noProof/>
        </w:rPr>
        <w:t>(27), 6712–6718. https://doi.org/10.1200/JCO.2005.05.140</w:t>
      </w:r>
    </w:p>
    <w:p w14:paraId="1D019C6D"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Gross, A. L., Jones, R. N., Habtemariam, D. A., Fong, T. G., Tommet, D., Quach, L., … Inouye, S. K. (2012). Delirium and long-term cognitive trajectory among persons with dementia. </w:t>
      </w:r>
      <w:r w:rsidRPr="009B721E">
        <w:rPr>
          <w:rFonts w:ascii="NewsGotT" w:hAnsi="NewsGotT"/>
          <w:i/>
          <w:iCs/>
          <w:noProof/>
        </w:rPr>
        <w:t>Archives of Internal Medicine</w:t>
      </w:r>
      <w:r w:rsidRPr="009B721E">
        <w:rPr>
          <w:rFonts w:ascii="NewsGotT" w:hAnsi="NewsGotT"/>
          <w:noProof/>
        </w:rPr>
        <w:t xml:space="preserve">, </w:t>
      </w:r>
      <w:r w:rsidRPr="009B721E">
        <w:rPr>
          <w:rFonts w:ascii="NewsGotT" w:hAnsi="NewsGotT"/>
          <w:i/>
          <w:iCs/>
          <w:noProof/>
        </w:rPr>
        <w:t>172</w:t>
      </w:r>
      <w:r w:rsidRPr="009B721E">
        <w:rPr>
          <w:rFonts w:ascii="NewsGotT" w:hAnsi="NewsGotT"/>
          <w:noProof/>
        </w:rPr>
        <w:t>(17), 1324–1331. https://doi.org/10.1001/archinternmed.2012.3203</w:t>
      </w:r>
    </w:p>
    <w:p w14:paraId="61DACF1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Han, J. H., Eden, S., Shintani, A., Morandi, A., Schnelle, J., Dittus, R. S., … Ely, E. W. (2011). Delirium in older emergency department patients is an independent predictor of hospital length of stay. </w:t>
      </w:r>
      <w:r w:rsidRPr="009B721E">
        <w:rPr>
          <w:rFonts w:ascii="NewsGotT" w:hAnsi="NewsGotT"/>
          <w:i/>
          <w:iCs/>
          <w:noProof/>
        </w:rPr>
        <w:t>Academic Emergency Medicine</w:t>
      </w:r>
      <w:r w:rsidRPr="009B721E">
        <w:rPr>
          <w:rFonts w:ascii="NewsGotT" w:hAnsi="NewsGotT"/>
          <w:noProof/>
        </w:rPr>
        <w:t xml:space="preserve">, </w:t>
      </w:r>
      <w:r w:rsidRPr="009B721E">
        <w:rPr>
          <w:rFonts w:ascii="NewsGotT" w:hAnsi="NewsGotT"/>
          <w:i/>
          <w:iCs/>
          <w:noProof/>
        </w:rPr>
        <w:t>18</w:t>
      </w:r>
      <w:r w:rsidRPr="009B721E">
        <w:rPr>
          <w:rFonts w:ascii="NewsGotT" w:hAnsi="NewsGotT"/>
          <w:noProof/>
        </w:rPr>
        <w:t>(5), 451–457. https://doi.org/10.1111/j.1553-2712.2011.01065.x</w:t>
      </w:r>
    </w:p>
    <w:p w14:paraId="2246DEB3"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Han, J., Kamber, M., &amp; Pei, J. (2012). </w:t>
      </w:r>
      <w:r w:rsidRPr="009B721E">
        <w:rPr>
          <w:rFonts w:ascii="NewsGotT" w:hAnsi="NewsGotT"/>
          <w:i/>
          <w:iCs/>
          <w:noProof/>
        </w:rPr>
        <w:t>Data mining: Concepts and Techniques</w:t>
      </w:r>
      <w:r w:rsidRPr="009B721E">
        <w:rPr>
          <w:rFonts w:ascii="NewsGotT" w:hAnsi="NewsGotT"/>
          <w:noProof/>
        </w:rPr>
        <w:t xml:space="preserve">. </w:t>
      </w:r>
      <w:r w:rsidRPr="009B721E">
        <w:rPr>
          <w:rFonts w:ascii="NewsGotT" w:hAnsi="NewsGotT"/>
          <w:i/>
          <w:iCs/>
          <w:noProof/>
        </w:rPr>
        <w:t>Elsevier</w:t>
      </w:r>
      <w:r w:rsidRPr="009B721E">
        <w:rPr>
          <w:rFonts w:ascii="NewsGotT" w:hAnsi="NewsGotT"/>
          <w:noProof/>
        </w:rPr>
        <w:t>. Morgan Kaufmann.</w:t>
      </w:r>
    </w:p>
    <w:p w14:paraId="13DA47DB"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Harrison, P., Cowen, P., Burns, T., &amp; Fazel, M. (2018). </w:t>
      </w:r>
      <w:r w:rsidRPr="009B721E">
        <w:rPr>
          <w:rFonts w:ascii="NewsGotT" w:hAnsi="NewsGotT"/>
          <w:i/>
          <w:iCs/>
          <w:noProof/>
        </w:rPr>
        <w:t>Shorter Oxford Textbook of Psychiatry</w:t>
      </w:r>
      <w:r w:rsidRPr="009B721E">
        <w:rPr>
          <w:rFonts w:ascii="NewsGotT" w:hAnsi="NewsGotT"/>
          <w:noProof/>
        </w:rPr>
        <w:t xml:space="preserve"> (seventh). Oxford: Oxford University Press.</w:t>
      </w:r>
    </w:p>
    <w:p w14:paraId="38035355"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Hatano, Y., Narumoto, J., Shibata, K., Matsuoka, T., Taniguchi, S., Hata, Y., … Fukui, K. (2013). White-matter hyperintensities predict delirium after cardiac surgery. </w:t>
      </w:r>
      <w:r w:rsidRPr="009B721E">
        <w:rPr>
          <w:rFonts w:ascii="NewsGotT" w:hAnsi="NewsGotT"/>
          <w:i/>
          <w:iCs/>
          <w:noProof/>
        </w:rPr>
        <w:t>American Journal of Geriatric Psychiatry</w:t>
      </w:r>
      <w:r w:rsidRPr="009B721E">
        <w:rPr>
          <w:rFonts w:ascii="NewsGotT" w:hAnsi="NewsGotT"/>
          <w:noProof/>
        </w:rPr>
        <w:t xml:space="preserve">, </w:t>
      </w:r>
      <w:r w:rsidRPr="009B721E">
        <w:rPr>
          <w:rFonts w:ascii="NewsGotT" w:hAnsi="NewsGotT"/>
          <w:i/>
          <w:iCs/>
          <w:noProof/>
        </w:rPr>
        <w:t>21</w:t>
      </w:r>
      <w:r w:rsidRPr="009B721E">
        <w:rPr>
          <w:rFonts w:ascii="NewsGotT" w:hAnsi="NewsGotT"/>
          <w:noProof/>
        </w:rPr>
        <w:t>(10), 938–945. https://doi.org/10.1016/j.jagp.2013.01.061</w:t>
      </w:r>
    </w:p>
    <w:p w14:paraId="72A0B54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Haykin, S. (2009). </w:t>
      </w:r>
      <w:r w:rsidRPr="009B721E">
        <w:rPr>
          <w:rFonts w:ascii="NewsGotT" w:hAnsi="NewsGotT"/>
          <w:i/>
          <w:iCs/>
          <w:noProof/>
        </w:rPr>
        <w:t>Neural Networks and Learning Machines</w:t>
      </w:r>
      <w:r w:rsidRPr="009B721E">
        <w:rPr>
          <w:rFonts w:ascii="NewsGotT" w:hAnsi="NewsGotT"/>
          <w:noProof/>
        </w:rPr>
        <w:t xml:space="preserve"> (3rd ed., Vol. 1–3). New Jersey: Pearson.</w:t>
      </w:r>
    </w:p>
    <w:p w14:paraId="1A563C2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Hosker, C., &amp; Ward, D. (2017). Hypoactive delirium. </w:t>
      </w:r>
      <w:r w:rsidRPr="009B721E">
        <w:rPr>
          <w:rFonts w:ascii="NewsGotT" w:hAnsi="NewsGotT"/>
          <w:i/>
          <w:iCs/>
          <w:noProof/>
        </w:rPr>
        <w:t>BMJ</w:t>
      </w:r>
      <w:r w:rsidRPr="009B721E">
        <w:rPr>
          <w:rFonts w:ascii="NewsGotT" w:hAnsi="NewsGotT"/>
          <w:noProof/>
        </w:rPr>
        <w:t xml:space="preserve">, </w:t>
      </w:r>
      <w:r w:rsidRPr="009B721E">
        <w:rPr>
          <w:rFonts w:ascii="NewsGotT" w:hAnsi="NewsGotT"/>
          <w:i/>
          <w:iCs/>
          <w:noProof/>
        </w:rPr>
        <w:t>357</w:t>
      </w:r>
      <w:r w:rsidRPr="009B721E">
        <w:rPr>
          <w:rFonts w:ascii="NewsGotT" w:hAnsi="NewsGotT"/>
          <w:noProof/>
        </w:rPr>
        <w:t>. https://doi.org/10.1136/bmj.j2047</w:t>
      </w:r>
    </w:p>
    <w:p w14:paraId="794D9CC5"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Hosmer, D. W., Lemeshow, S., &amp; Sturdivant, R. X. (2013). </w:t>
      </w:r>
      <w:r w:rsidRPr="009B721E">
        <w:rPr>
          <w:rFonts w:ascii="NewsGotT" w:hAnsi="NewsGotT"/>
          <w:i/>
          <w:iCs/>
          <w:noProof/>
        </w:rPr>
        <w:t>Applied Logistic Regression.</w:t>
      </w:r>
      <w:r w:rsidRPr="009B721E">
        <w:rPr>
          <w:rFonts w:ascii="NewsGotT" w:hAnsi="NewsGotT"/>
          <w:noProof/>
        </w:rPr>
        <w:t xml:space="preserve"> </w:t>
      </w:r>
      <w:r w:rsidRPr="009B721E">
        <w:rPr>
          <w:rFonts w:ascii="NewsGotT" w:hAnsi="NewsGotT"/>
          <w:i/>
          <w:iCs/>
          <w:noProof/>
        </w:rPr>
        <w:t>Wiley Series in Probability and Statistics</w:t>
      </w:r>
      <w:r w:rsidRPr="009B721E">
        <w:rPr>
          <w:rFonts w:ascii="NewsGotT" w:hAnsi="NewsGotT"/>
          <w:noProof/>
        </w:rPr>
        <w:t>.</w:t>
      </w:r>
    </w:p>
    <w:p w14:paraId="3184292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Hshieh, T. T., Fong, T. G., Marcantonio, E. R., &amp; Inouye, S. K. (2008). Cholinergic Deficiency Hypothesis in Delirium: A Synthesis of Current Evidence. </w:t>
      </w:r>
      <w:r w:rsidRPr="009B721E">
        <w:rPr>
          <w:rFonts w:ascii="NewsGotT" w:hAnsi="NewsGotT"/>
          <w:i/>
          <w:iCs/>
          <w:noProof/>
        </w:rPr>
        <w:t>The Journals of Gerontology Series A: Biological Sciences and Medical Sciences</w:t>
      </w:r>
      <w:r w:rsidRPr="009B721E">
        <w:rPr>
          <w:rFonts w:ascii="NewsGotT" w:hAnsi="NewsGotT"/>
          <w:noProof/>
        </w:rPr>
        <w:t xml:space="preserve">, </w:t>
      </w:r>
      <w:r w:rsidRPr="009B721E">
        <w:rPr>
          <w:rFonts w:ascii="NewsGotT" w:hAnsi="NewsGotT"/>
          <w:i/>
          <w:iCs/>
          <w:noProof/>
        </w:rPr>
        <w:t>63</w:t>
      </w:r>
      <w:r w:rsidRPr="009B721E">
        <w:rPr>
          <w:rFonts w:ascii="NewsGotT" w:hAnsi="NewsGotT"/>
          <w:noProof/>
        </w:rPr>
        <w:t xml:space="preserve">(7), 764–772. </w:t>
      </w:r>
      <w:r w:rsidRPr="009B721E">
        <w:rPr>
          <w:rFonts w:ascii="NewsGotT" w:hAnsi="NewsGotT"/>
          <w:noProof/>
        </w:rPr>
        <w:lastRenderedPageBreak/>
        <w:t>https://doi.org/10.1093/gerona/63.7.764</w:t>
      </w:r>
    </w:p>
    <w:p w14:paraId="362B931D"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Hurwitz, J., &amp; Kirsch, D. (2018). </w:t>
      </w:r>
      <w:r w:rsidRPr="009B721E">
        <w:rPr>
          <w:rFonts w:ascii="NewsGotT" w:hAnsi="NewsGotT"/>
          <w:i/>
          <w:iCs/>
          <w:noProof/>
        </w:rPr>
        <w:t>Machine learning</w:t>
      </w:r>
      <w:r w:rsidRPr="009B721E">
        <w:rPr>
          <w:rFonts w:ascii="NewsGotT" w:hAnsi="NewsGotT"/>
          <w:noProof/>
        </w:rPr>
        <w:t>. John Wiley &amp; Sons Inc.</w:t>
      </w:r>
    </w:p>
    <w:p w14:paraId="40B7802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Immers, H. E. M., Schuurmans, M. J., &amp; Van De Bijl, J. J. (2005). Recognition of delirium in ICU patients: A diagnostic study of the NEECHAM confusion scale in ICU patients. </w:t>
      </w:r>
      <w:r w:rsidRPr="009B721E">
        <w:rPr>
          <w:rFonts w:ascii="NewsGotT" w:hAnsi="NewsGotT"/>
          <w:i/>
          <w:iCs/>
          <w:noProof/>
        </w:rPr>
        <w:t>BMC Nursing</w:t>
      </w:r>
      <w:r w:rsidRPr="009B721E">
        <w:rPr>
          <w:rFonts w:ascii="NewsGotT" w:hAnsi="NewsGotT"/>
          <w:noProof/>
        </w:rPr>
        <w:t xml:space="preserve">, </w:t>
      </w:r>
      <w:r w:rsidRPr="009B721E">
        <w:rPr>
          <w:rFonts w:ascii="NewsGotT" w:hAnsi="NewsGotT"/>
          <w:i/>
          <w:iCs/>
          <w:noProof/>
        </w:rPr>
        <w:t>4</w:t>
      </w:r>
      <w:r w:rsidRPr="009B721E">
        <w:rPr>
          <w:rFonts w:ascii="NewsGotT" w:hAnsi="NewsGotT"/>
          <w:noProof/>
        </w:rPr>
        <w:t>(1). https://doi.org/10.1186/1472-6955-4-7</w:t>
      </w:r>
    </w:p>
    <w:p w14:paraId="5ABB1521"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Infarmed. (2002). </w:t>
      </w:r>
      <w:r w:rsidRPr="009B721E">
        <w:rPr>
          <w:rFonts w:ascii="NewsGotT" w:hAnsi="NewsGotT"/>
          <w:i/>
          <w:iCs/>
          <w:noProof/>
        </w:rPr>
        <w:t>Evolução do consumo de antidepressivos em Portugal continental de 1995 a 2001: impacto das medidas reguladoras</w:t>
      </w:r>
      <w:r w:rsidRPr="009B721E">
        <w:rPr>
          <w:rFonts w:ascii="NewsGotT" w:hAnsi="NewsGotT"/>
          <w:noProof/>
        </w:rPr>
        <w:t xml:space="preserve">. </w:t>
      </w:r>
      <w:r w:rsidRPr="009B721E">
        <w:rPr>
          <w:rFonts w:ascii="NewsGotT" w:hAnsi="NewsGotT"/>
          <w:i/>
          <w:iCs/>
          <w:noProof/>
        </w:rPr>
        <w:t>Observatório dos Medicamentos e Produtos de Saúde - Infarmed</w:t>
      </w:r>
      <w:r w:rsidRPr="009B721E">
        <w:rPr>
          <w:rFonts w:ascii="NewsGotT" w:hAnsi="NewsGotT"/>
          <w:noProof/>
        </w:rPr>
        <w:t>. Retrieved from http://www.infarmed.pt/web/infarmed/profissionais-de-saude/utilizacao-e-despesa/estudos-medicamentos-por-grupo-terapeutico</w:t>
      </w:r>
    </w:p>
    <w:p w14:paraId="5626741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Infarmed. (2010). </w:t>
      </w:r>
      <w:r w:rsidRPr="009B721E">
        <w:rPr>
          <w:rFonts w:ascii="NewsGotT" w:hAnsi="NewsGotT"/>
          <w:i/>
          <w:iCs/>
          <w:noProof/>
        </w:rPr>
        <w:t>Prontuário Terapêutico - 9</w:t>
      </w:r>
      <w:r w:rsidRPr="009B721E">
        <w:rPr>
          <w:rFonts w:ascii="NewsGotT" w:hAnsi="NewsGotT"/>
          <w:noProof/>
        </w:rPr>
        <w:t>. (I. de S. INFARMED - Autoridade Nacional do Medicamento e Produtos de Saúde, Ed.).</w:t>
      </w:r>
    </w:p>
    <w:p w14:paraId="1C40A625"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(2014). RESUMO DAS CARACTERISTICAS DO MEDICAMENTO: Diazepam. Retrieved July 21, 2021, from https://extranet.infarmed.pt/INFOMED-fo/pesquisa-avancada.xhtml</w:t>
      </w:r>
    </w:p>
    <w:p w14:paraId="7732A2B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(2018a). Resumo das características do medicamento: Quetiapina. Retrieved from https://extranet.infarmed.pt/INFOMED-fo/pesquisa-avancada.xhtml</w:t>
      </w:r>
    </w:p>
    <w:p w14:paraId="6C995F6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(2018b). Resumo das características do medicamento: Tramadol. Infarmed. Retrieved from https://extranet.infarmed.pt/INFOMED-fo/pesquisa-avancada.xhtml</w:t>
      </w:r>
    </w:p>
    <w:p w14:paraId="52EE0EA5"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Infarmed. (2019). Resumo das características do medicamento: Amitriptilina. </w:t>
      </w:r>
      <w:r w:rsidRPr="009B721E">
        <w:rPr>
          <w:rFonts w:ascii="NewsGotT" w:hAnsi="NewsGotT"/>
          <w:i/>
          <w:iCs/>
          <w:noProof/>
        </w:rPr>
        <w:t>Infarmed</w:t>
      </w:r>
      <w:r w:rsidRPr="009B721E">
        <w:rPr>
          <w:rFonts w:ascii="NewsGotT" w:hAnsi="NewsGotT"/>
          <w:noProof/>
        </w:rPr>
        <w:t>. Retrieved from https://extranet.infarmed.pt/INFOMED-fo/pesquisa-avancada.xhtml</w:t>
      </w:r>
    </w:p>
    <w:p w14:paraId="11B49F25"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(2020a). RESUMO DAS CARACTERÍSTICAS DO MEDICAMENTO</w:t>
      </w:r>
      <w:r w:rsidRPr="009B721E">
        <w:rPr>
          <w:noProof/>
        </w:rPr>
        <w:t> </w:t>
      </w:r>
      <w:r w:rsidRPr="009B721E">
        <w:rPr>
          <w:rFonts w:ascii="NewsGotT" w:hAnsi="NewsGotT"/>
          <w:noProof/>
        </w:rPr>
        <w:t>: Escitalopram. Retrieved October 22, 2021, from https://extranet.infarmed.pt/INFOMED-fo/pesquisa-avancada.xhtml</w:t>
      </w:r>
    </w:p>
    <w:p w14:paraId="594A01B1"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(2020b). Resumo das características do medicamento: Haloperidol. Retrieved from https://extranet.infarmed.pt/INFOMED-fo/pesquisa-avancada.xhtml</w:t>
      </w:r>
    </w:p>
    <w:p w14:paraId="072FC66F"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(2020c). Resumo das características do medicamento: Morfina. Infarmed. Retrieved from https://extranet.infarmed.pt/INFOMED-fo/pesquisa-avancada.xhtml</w:t>
      </w:r>
    </w:p>
    <w:p w14:paraId="4EDC4FB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(2020d). Resumo das características do medicamento: Sertralina. Infarmed. Retrieved from https://extranet.infarmed.pt/INFOMED-fo/pesquisa-avancada.xhtml</w:t>
      </w:r>
    </w:p>
    <w:p w14:paraId="74EAEC94"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(2020e). Resumo das características do medicamento: Trazodona. Infarmed.</w:t>
      </w:r>
    </w:p>
    <w:p w14:paraId="7382E67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(2021a). RESUMO DAS CARACTERÍSTICAS DO MEDICAMENTO: Citalopram. Infarmed. Retrieved from https://extranet.infarmed.pt/INFOMED-fo/pesquisa-avancada.xhtml</w:t>
      </w:r>
    </w:p>
    <w:p w14:paraId="7FCF86D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(2021b). Resumo das características do medicamento: Fluoxetina.</w:t>
      </w:r>
    </w:p>
    <w:p w14:paraId="5774E7CE"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(2021c). Resumo das características do medicamento: Fluvoxamina. Retrieved from https://extranet.infarmed.pt/INFOMED-fo/pesquisa-avancada.xhtml</w:t>
      </w:r>
    </w:p>
    <w:p w14:paraId="3AEDB3DC"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(2021d). Resumo das características do medicamento: Paroxetina. Infarmed. Retrieved from https://extranet.infarmed.pt/INFOMED-fo/pesquisa-avancada.xhtml</w:t>
      </w:r>
    </w:p>
    <w:p w14:paraId="4C19D99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(2021e). Resumo das características do medicamento: Risperidona. Retrieved from https://extranet.infarmed.pt/INFOMED-fo/pesquisa-avancada.xhtml</w:t>
      </w:r>
    </w:p>
    <w:p w14:paraId="16BD211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(2021f). Resumo das características do medicamento: Venlafaxina. Infarmed. Retrieved from https://extranet.infarmed.pt/INFOMED-fo/pesquisa-avancada.xhtml</w:t>
      </w:r>
    </w:p>
    <w:p w14:paraId="70AB41C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(2016a). Resumo das características do medicamento: Varfarina. Retrieved from http://app7.infarmed.pt/infomed/download_ficheiro.php?med_id=9007&amp;tipo_doc=rcm</w:t>
      </w:r>
    </w:p>
    <w:p w14:paraId="750741A3"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(2020a). Resumo das características do medicamento: Dipiridamol. Retrieved from https://extranet.infarmed.pt/INFOMED-fo/pesquisa-avancada.xhtml</w:t>
      </w:r>
    </w:p>
    <w:p w14:paraId="326DFC0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INFARMED - Direção de informação e Planeamento Estratégico. (2017). </w:t>
      </w:r>
      <w:r w:rsidRPr="009B721E">
        <w:rPr>
          <w:rFonts w:ascii="NewsGotT" w:hAnsi="NewsGotT"/>
          <w:i/>
          <w:iCs/>
          <w:noProof/>
        </w:rPr>
        <w:t>Utlilização de Benzodiazepinas e análogos</w:t>
      </w:r>
      <w:r w:rsidRPr="009B721E">
        <w:rPr>
          <w:rFonts w:ascii="NewsGotT" w:hAnsi="NewsGotT"/>
          <w:noProof/>
        </w:rPr>
        <w:t>. Retrieved from https://www.infarmed.pt/documents/15786/2219894/Utlilização+de+Benzodiazepinas+e+análogos/adb100fa-4a77-4eb7-9e67-99229e13154f</w:t>
      </w:r>
    </w:p>
    <w:p w14:paraId="406A9573"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A. N. do M. e P. de S. (2016b). Resumo das características do medicamento: Furosemida.</w:t>
      </w:r>
    </w:p>
    <w:p w14:paraId="53F42EBF"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lastRenderedPageBreak/>
        <w:t>INFARMED, A. N. do M. e P. de S. (2018a). Aprovado em 26-07-2018 infarmed. Retrieved from https://extranet.infarmed.pt/INFOMED-fo/pesquisa-avancada.xhtml</w:t>
      </w:r>
    </w:p>
    <w:p w14:paraId="59B24AA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A. N. do M. e P. de S. (2018b). Resumo das características do medicamento: Captopril, 20. Retrieved from https://extranet.infarmed.pt/INFOMED-fo/pesquisa-avancada.xhtml</w:t>
      </w:r>
    </w:p>
    <w:p w14:paraId="27E6A669"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A. N. do M. e P. de S. (2018c). Resumo das Características do Medicamento: Sinvastatina.</w:t>
      </w:r>
    </w:p>
    <w:p w14:paraId="568AD765"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A. N. do M. e P. de S. (2019a). Resumo das características do medicamento: Clonidina. Retrieved from https://extranet.infarmed.pt/INFOMED-fo/pesquisa-avancada.xhtml</w:t>
      </w:r>
    </w:p>
    <w:p w14:paraId="277621F3"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A. N. do M. e P. de S. (2019b). Resumo das características do medicamento: Rosuvastatina. Retrieved from https://extranet.infarmed.pt/INFOMED-fo/pesquisa-avancada.xhtml</w:t>
      </w:r>
    </w:p>
    <w:p w14:paraId="7A011C19"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A. N. do M. e P. de S. (2020b). Resumo das Características do Medicamento: Brometo de Butilescopolamina. Retrieved from https://extranet.infarmed.pt/INFOMED-fo/pesquisa-avancada.xhtml</w:t>
      </w:r>
    </w:p>
    <w:p w14:paraId="179FED7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A. N. do M. e P. de S. (2020c). Resumo das características do medicamento: Fluvastatina. Retrieved from https://extranet.infarmed.pt/INFOMED-fo/pesquisa-avancada.xhtml</w:t>
      </w:r>
    </w:p>
    <w:p w14:paraId="6D657D7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A. N. do M. e P. de S. (2020d). Resumo das características do medicamento: Hidroxizina. Retrieved from https://extranet.infarmed.pt/INFOMED-fo/pesquisa-avancada.xhtml</w:t>
      </w:r>
    </w:p>
    <w:p w14:paraId="698A2D04"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A. N. do M. e P. de S. (2021a). Resumo das características do medicamento: Atorvastatina. Retrieved from https://extranet.infarmed.pt/INFOMED-fo/pesquisa-avancada.xhtml</w:t>
      </w:r>
    </w:p>
    <w:p w14:paraId="74EDF20E"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A. N. do M. e P. de S. (2021b). Resumo das características do medicamento: Nifedipina. Retrieved from https://extranet.infarmed.pt/INFOMED-fo/pesquisa-avancada.xhtml</w:t>
      </w:r>
    </w:p>
    <w:p w14:paraId="676BE9BC"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INFARMED, A. N. do M. e P. de S., &amp; DGRM, D. de G. do R. de M. (2018). Resumo das características do medicamento: Ranitidina.</w:t>
      </w:r>
    </w:p>
    <w:p w14:paraId="31F2CBCE"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INFARMED, A. N. do M. e P. de S., &amp; Ministério da Saúde, I. (2012). </w:t>
      </w:r>
      <w:r w:rsidRPr="009B721E">
        <w:rPr>
          <w:rFonts w:ascii="NewsGotT" w:hAnsi="NewsGotT"/>
          <w:i/>
          <w:iCs/>
          <w:noProof/>
        </w:rPr>
        <w:t>Prontuário Terapêutico - 11</w:t>
      </w:r>
      <w:r w:rsidRPr="009B721E">
        <w:rPr>
          <w:rFonts w:ascii="NewsGotT" w:hAnsi="NewsGotT"/>
          <w:noProof/>
        </w:rPr>
        <w:t>. (I. P. / M. de S. INFARMED – Autoridade Nacional do Medicamento e Produtos de Saúde, Ed.) (Caramona,).</w:t>
      </w:r>
    </w:p>
    <w:p w14:paraId="4A81770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Inouye, S. K., Van Dyck, C. H., Alessi, C. A., Balkin, S., Siegal, A. P., &amp; Horwitz, R. I. (1990). Clarifying confusion: The confusion assessment method: A new method for detection of delirium. </w:t>
      </w:r>
      <w:r w:rsidRPr="009B721E">
        <w:rPr>
          <w:rFonts w:ascii="NewsGotT" w:hAnsi="NewsGotT"/>
          <w:i/>
          <w:iCs/>
          <w:noProof/>
        </w:rPr>
        <w:t>Annals of Internal Medicine</w:t>
      </w:r>
      <w:r w:rsidRPr="009B721E">
        <w:rPr>
          <w:rFonts w:ascii="NewsGotT" w:hAnsi="NewsGotT"/>
          <w:noProof/>
        </w:rPr>
        <w:t xml:space="preserve">, </w:t>
      </w:r>
      <w:r w:rsidRPr="009B721E">
        <w:rPr>
          <w:rFonts w:ascii="NewsGotT" w:hAnsi="NewsGotT"/>
          <w:i/>
          <w:iCs/>
          <w:noProof/>
        </w:rPr>
        <w:t>113</w:t>
      </w:r>
      <w:r w:rsidRPr="009B721E">
        <w:rPr>
          <w:rFonts w:ascii="NewsGotT" w:hAnsi="NewsGotT"/>
          <w:noProof/>
        </w:rPr>
        <w:t>(12), 941–948. https://doi.org/10.7326/0003-4819-113-12-941</w:t>
      </w:r>
    </w:p>
    <w:p w14:paraId="63BF1AAE"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Inouye, Sharon K. (2006). Delirium in Older Persons. </w:t>
      </w:r>
      <w:r w:rsidRPr="009B721E">
        <w:rPr>
          <w:rFonts w:ascii="NewsGotT" w:hAnsi="NewsGotT"/>
          <w:i/>
          <w:iCs/>
          <w:noProof/>
        </w:rPr>
        <w:t>The New England Journal of Medicine</w:t>
      </w:r>
      <w:r w:rsidRPr="009B721E">
        <w:rPr>
          <w:rFonts w:ascii="NewsGotT" w:hAnsi="NewsGotT"/>
          <w:noProof/>
        </w:rPr>
        <w:t xml:space="preserve">, </w:t>
      </w:r>
      <w:r w:rsidRPr="009B721E">
        <w:rPr>
          <w:rFonts w:ascii="NewsGotT" w:hAnsi="NewsGotT"/>
          <w:i/>
          <w:iCs/>
          <w:noProof/>
        </w:rPr>
        <w:t>354</w:t>
      </w:r>
      <w:r w:rsidRPr="009B721E">
        <w:rPr>
          <w:rFonts w:ascii="NewsGotT" w:hAnsi="NewsGotT"/>
          <w:noProof/>
        </w:rPr>
        <w:t>(11), 1157–1165.</w:t>
      </w:r>
    </w:p>
    <w:p w14:paraId="356F83B1"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Inouye, Sharon K., &amp; Charpentier, P. A. (1996). Precipitating factors for delirium in hospitalized elderly persons: Predictive model and interrelationship with baseline vulnerability. </w:t>
      </w:r>
      <w:r w:rsidRPr="009B721E">
        <w:rPr>
          <w:rFonts w:ascii="NewsGotT" w:hAnsi="NewsGotT"/>
          <w:i/>
          <w:iCs/>
          <w:noProof/>
        </w:rPr>
        <w:t>Journal of the American Medical Association</w:t>
      </w:r>
      <w:r w:rsidRPr="009B721E">
        <w:rPr>
          <w:rFonts w:ascii="NewsGotT" w:hAnsi="NewsGotT"/>
          <w:noProof/>
        </w:rPr>
        <w:t xml:space="preserve">, </w:t>
      </w:r>
      <w:r w:rsidRPr="009B721E">
        <w:rPr>
          <w:rFonts w:ascii="NewsGotT" w:hAnsi="NewsGotT"/>
          <w:i/>
          <w:iCs/>
          <w:noProof/>
        </w:rPr>
        <w:t>275</w:t>
      </w:r>
      <w:r w:rsidRPr="009B721E">
        <w:rPr>
          <w:rFonts w:ascii="NewsGotT" w:hAnsi="NewsGotT"/>
          <w:noProof/>
        </w:rPr>
        <w:t>(11), 852–857. https://doi.org/10.1001/jama.275.11.852</w:t>
      </w:r>
    </w:p>
    <w:p w14:paraId="121BE82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Inouye, Sharon K., Westendorp, R. G. J., &amp; Saczynski, J. S. (2014). Delirium in elderly people. </w:t>
      </w:r>
      <w:r w:rsidRPr="009B721E">
        <w:rPr>
          <w:rFonts w:ascii="NewsGotT" w:hAnsi="NewsGotT"/>
          <w:i/>
          <w:iCs/>
          <w:noProof/>
        </w:rPr>
        <w:t>The Lancet</w:t>
      </w:r>
      <w:r w:rsidRPr="009B721E">
        <w:rPr>
          <w:rFonts w:ascii="NewsGotT" w:hAnsi="NewsGotT"/>
          <w:noProof/>
        </w:rPr>
        <w:t xml:space="preserve">, </w:t>
      </w:r>
      <w:r w:rsidRPr="009B721E">
        <w:rPr>
          <w:rFonts w:ascii="NewsGotT" w:hAnsi="NewsGotT"/>
          <w:i/>
          <w:iCs/>
          <w:noProof/>
        </w:rPr>
        <w:t>383</w:t>
      </w:r>
      <w:r w:rsidRPr="009B721E">
        <w:rPr>
          <w:rFonts w:ascii="NewsGotT" w:hAnsi="NewsGotT"/>
          <w:noProof/>
        </w:rPr>
        <w:t>(9920), 911–922. https://doi.org/10.1016/S0140-6736(13)60688-1</w:t>
      </w:r>
    </w:p>
    <w:p w14:paraId="53A60B9D"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Inouye, Sharon K. (2000). Prevention of delirium in hospitalized older patients: risk factors and targeted intervention strategies. </w:t>
      </w:r>
      <w:r w:rsidRPr="009B721E">
        <w:rPr>
          <w:rFonts w:ascii="NewsGotT" w:hAnsi="NewsGotT"/>
          <w:i/>
          <w:iCs/>
          <w:noProof/>
        </w:rPr>
        <w:t>Annals of Medicine</w:t>
      </w:r>
      <w:r w:rsidRPr="009B721E">
        <w:rPr>
          <w:rFonts w:ascii="NewsGotT" w:hAnsi="NewsGotT"/>
          <w:noProof/>
        </w:rPr>
        <w:t xml:space="preserve">, </w:t>
      </w:r>
      <w:r w:rsidRPr="009B721E">
        <w:rPr>
          <w:rFonts w:ascii="NewsGotT" w:hAnsi="NewsGotT"/>
          <w:i/>
          <w:iCs/>
          <w:noProof/>
        </w:rPr>
        <w:t>32</w:t>
      </w:r>
      <w:r w:rsidRPr="009B721E">
        <w:rPr>
          <w:rFonts w:ascii="NewsGotT" w:hAnsi="NewsGotT"/>
          <w:noProof/>
        </w:rPr>
        <w:t>(4), 257–263. https://doi.org/10.3109/07853890009011770</w:t>
      </w:r>
    </w:p>
    <w:p w14:paraId="2418720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Isik, A. T., &amp; Grossberg, G. T. (2018). </w:t>
      </w:r>
      <w:r w:rsidRPr="009B721E">
        <w:rPr>
          <w:rFonts w:ascii="NewsGotT" w:hAnsi="NewsGotT"/>
          <w:i/>
          <w:iCs/>
          <w:noProof/>
        </w:rPr>
        <w:t>Delirium in Elderly Patients</w:t>
      </w:r>
      <w:r w:rsidRPr="009B721E">
        <w:rPr>
          <w:rFonts w:ascii="NewsGotT" w:hAnsi="NewsGotT"/>
          <w:noProof/>
        </w:rPr>
        <w:t xml:space="preserve">. (A. T. Isik &amp; G. T. Grossberg, Eds.), </w:t>
      </w:r>
      <w:r w:rsidRPr="009B721E">
        <w:rPr>
          <w:rFonts w:ascii="NewsGotT" w:hAnsi="NewsGotT"/>
          <w:i/>
          <w:iCs/>
          <w:noProof/>
        </w:rPr>
        <w:t>Delirium in Elderly Patients</w:t>
      </w:r>
      <w:r w:rsidRPr="009B721E">
        <w:rPr>
          <w:rFonts w:ascii="NewsGotT" w:hAnsi="NewsGotT"/>
          <w:noProof/>
        </w:rPr>
        <w:t>. Cham: Springer International Publishing. https://doi.org/10.1007/978-3-319-65239-9</w:t>
      </w:r>
    </w:p>
    <w:p w14:paraId="58DA86C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Jain, A. K., &amp; Dubes, R. C. (1988). </w:t>
      </w:r>
      <w:r w:rsidRPr="009B721E">
        <w:rPr>
          <w:rFonts w:ascii="NewsGotT" w:hAnsi="NewsGotT"/>
          <w:i/>
          <w:iCs/>
          <w:noProof/>
        </w:rPr>
        <w:t>Algorithms for Clustering Data</w:t>
      </w:r>
      <w:r w:rsidRPr="009B721E">
        <w:rPr>
          <w:rFonts w:ascii="NewsGotT" w:hAnsi="NewsGotT"/>
          <w:noProof/>
        </w:rPr>
        <w:t>. Prentice Hall.</w:t>
      </w:r>
    </w:p>
    <w:p w14:paraId="52704D4A"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James, G., Witten, D., Hastie, T., &amp; Tibshirani, R. (2013). </w:t>
      </w:r>
      <w:r w:rsidRPr="009B721E">
        <w:rPr>
          <w:rFonts w:ascii="NewsGotT" w:hAnsi="NewsGotT"/>
          <w:i/>
          <w:iCs/>
          <w:noProof/>
        </w:rPr>
        <w:t>An Introduction to Statistical Learning - with Applications in R</w:t>
      </w:r>
      <w:r w:rsidRPr="009B721E">
        <w:rPr>
          <w:rFonts w:ascii="NewsGotT" w:hAnsi="NewsGotT"/>
          <w:noProof/>
        </w:rPr>
        <w:t>. Springer Texts in Statistics.</w:t>
      </w:r>
    </w:p>
    <w:p w14:paraId="3951EC0C"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Jamin, A., Abraham, P., &amp; Humeau-Heurtier, A. (2021). Machine learning for predictive data analytics in medicine: A review illustrated by cardiovascular and nuclear medicine examples. </w:t>
      </w:r>
      <w:r w:rsidRPr="009B721E">
        <w:rPr>
          <w:rFonts w:ascii="NewsGotT" w:hAnsi="NewsGotT"/>
          <w:i/>
          <w:iCs/>
          <w:noProof/>
        </w:rPr>
        <w:t>Clinical Physiology and Functional Imaging</w:t>
      </w:r>
      <w:r w:rsidRPr="009B721E">
        <w:rPr>
          <w:rFonts w:ascii="NewsGotT" w:hAnsi="NewsGotT"/>
          <w:noProof/>
        </w:rPr>
        <w:t xml:space="preserve">, </w:t>
      </w:r>
      <w:r w:rsidRPr="009B721E">
        <w:rPr>
          <w:rFonts w:ascii="NewsGotT" w:hAnsi="NewsGotT"/>
          <w:i/>
          <w:iCs/>
          <w:noProof/>
        </w:rPr>
        <w:t>41</w:t>
      </w:r>
      <w:r w:rsidRPr="009B721E">
        <w:rPr>
          <w:rFonts w:ascii="NewsGotT" w:hAnsi="NewsGotT"/>
          <w:noProof/>
        </w:rPr>
        <w:t>(2), 113–127. https://doi.org/10.1111/cpf.12686</w:t>
      </w:r>
    </w:p>
    <w:p w14:paraId="16D94BDF"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lastRenderedPageBreak/>
        <w:t xml:space="preserve">Jauk, S., Kramer, D., Großauer, B., Rienmüller, S., Avian, A., Berghold, A., … Schulz, S. (2020). Risk prediction of delirium in hospitalized patients using machine learning: An implementation and prospective evaluation study. </w:t>
      </w:r>
      <w:r w:rsidRPr="009B721E">
        <w:rPr>
          <w:rFonts w:ascii="NewsGotT" w:hAnsi="NewsGotT"/>
          <w:i/>
          <w:iCs/>
          <w:noProof/>
        </w:rPr>
        <w:t>Journal of the American Medical Informatics Association</w:t>
      </w:r>
      <w:r w:rsidRPr="009B721E">
        <w:rPr>
          <w:rFonts w:ascii="NewsGotT" w:hAnsi="NewsGotT"/>
          <w:noProof/>
        </w:rPr>
        <w:t xml:space="preserve">, </w:t>
      </w:r>
      <w:r w:rsidRPr="009B721E">
        <w:rPr>
          <w:rFonts w:ascii="NewsGotT" w:hAnsi="NewsGotT"/>
          <w:i/>
          <w:iCs/>
          <w:noProof/>
        </w:rPr>
        <w:t>27</w:t>
      </w:r>
      <w:r w:rsidRPr="009B721E">
        <w:rPr>
          <w:rFonts w:ascii="NewsGotT" w:hAnsi="NewsGotT"/>
          <w:noProof/>
        </w:rPr>
        <w:t>(9), 1383–1392. https://doi.org/10.1093/jamia/ocaa113</w:t>
      </w:r>
    </w:p>
    <w:p w14:paraId="294076BD"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9B721E">
        <w:rPr>
          <w:rFonts w:ascii="NewsGotT" w:hAnsi="NewsGotT"/>
          <w:i/>
          <w:iCs/>
          <w:noProof/>
        </w:rPr>
        <w:t>Academic Emergency Medicine</w:t>
      </w:r>
      <w:r w:rsidRPr="009B721E">
        <w:rPr>
          <w:rFonts w:ascii="NewsGotT" w:hAnsi="NewsGotT"/>
          <w:noProof/>
        </w:rPr>
        <w:t xml:space="preserve">, </w:t>
      </w:r>
      <w:r w:rsidRPr="009B721E">
        <w:rPr>
          <w:rFonts w:ascii="NewsGotT" w:hAnsi="NewsGotT"/>
          <w:i/>
          <w:iCs/>
          <w:noProof/>
        </w:rPr>
        <w:t>28</w:t>
      </w:r>
      <w:r w:rsidRPr="009B721E">
        <w:rPr>
          <w:rFonts w:ascii="NewsGotT" w:hAnsi="NewsGotT"/>
          <w:noProof/>
        </w:rPr>
        <w:t>(2), 184–196. https://doi.org/10.1111/acem.14190</w:t>
      </w:r>
    </w:p>
    <w:p w14:paraId="29180A8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9B721E">
        <w:rPr>
          <w:rFonts w:ascii="NewsGotT" w:hAnsi="NewsGotT"/>
          <w:i/>
          <w:iCs/>
          <w:noProof/>
        </w:rPr>
        <w:t>General Hospital Psychiatry</w:t>
      </w:r>
      <w:r w:rsidRPr="009B721E">
        <w:rPr>
          <w:rFonts w:ascii="NewsGotT" w:hAnsi="NewsGotT"/>
          <w:noProof/>
        </w:rPr>
        <w:t xml:space="preserve">, </w:t>
      </w:r>
      <w:r w:rsidRPr="009B721E">
        <w:rPr>
          <w:rFonts w:ascii="NewsGotT" w:hAnsi="NewsGotT"/>
          <w:i/>
          <w:iCs/>
          <w:noProof/>
        </w:rPr>
        <w:t>36</w:t>
      </w:r>
      <w:r w:rsidRPr="009B721E">
        <w:rPr>
          <w:rFonts w:ascii="NewsGotT" w:hAnsi="NewsGotT"/>
          <w:noProof/>
        </w:rPr>
        <w:t>(2), 156–164. https://doi.org/10.1016/j.genhosppsych.2013.10.010</w:t>
      </w:r>
    </w:p>
    <w:p w14:paraId="1A57A22D"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Laird, J. E., Newell, A., &amp; Rosenbloom, P. S. (1987). An integrative architecture for general intelligence and. </w:t>
      </w:r>
      <w:r w:rsidRPr="009B721E">
        <w:rPr>
          <w:rFonts w:ascii="NewsGotT" w:hAnsi="NewsGotT"/>
          <w:i/>
          <w:iCs/>
          <w:noProof/>
        </w:rPr>
        <w:t>Artificial Intelligence</w:t>
      </w:r>
      <w:r w:rsidRPr="009B721E">
        <w:rPr>
          <w:rFonts w:ascii="NewsGotT" w:hAnsi="NewsGotT"/>
          <w:noProof/>
        </w:rPr>
        <w:t xml:space="preserve">, </w:t>
      </w:r>
      <w:r w:rsidRPr="009B721E">
        <w:rPr>
          <w:rFonts w:ascii="NewsGotT" w:hAnsi="NewsGotT"/>
          <w:i/>
          <w:iCs/>
          <w:noProof/>
        </w:rPr>
        <w:t>33</w:t>
      </w:r>
      <w:r w:rsidRPr="009B721E">
        <w:rPr>
          <w:rFonts w:ascii="NewsGotT" w:hAnsi="NewsGotT"/>
          <w:noProof/>
        </w:rPr>
        <w:t>(1987), 1–64.</w:t>
      </w:r>
    </w:p>
    <w:p w14:paraId="2EF54B6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Laurila, J. V., Laakkonen, M. L., Strandberg, T. E., &amp; Tilvis, R. S. (2008). Predisposing and precipitating factors for delirium in a frail geriatric population. </w:t>
      </w:r>
      <w:r w:rsidRPr="009B721E">
        <w:rPr>
          <w:rFonts w:ascii="NewsGotT" w:hAnsi="NewsGotT"/>
          <w:i/>
          <w:iCs/>
          <w:noProof/>
        </w:rPr>
        <w:t>Journal of Psychosomatic Research</w:t>
      </w:r>
      <w:r w:rsidRPr="009B721E">
        <w:rPr>
          <w:rFonts w:ascii="NewsGotT" w:hAnsi="NewsGotT"/>
          <w:noProof/>
        </w:rPr>
        <w:t xml:space="preserve">, </w:t>
      </w:r>
      <w:r w:rsidRPr="009B721E">
        <w:rPr>
          <w:rFonts w:ascii="NewsGotT" w:hAnsi="NewsGotT"/>
          <w:i/>
          <w:iCs/>
          <w:noProof/>
        </w:rPr>
        <w:t>65</w:t>
      </w:r>
      <w:r w:rsidRPr="009B721E">
        <w:rPr>
          <w:rFonts w:ascii="NewsGotT" w:hAnsi="NewsGotT"/>
          <w:noProof/>
        </w:rPr>
        <w:t>(3), 249–254. https://doi.org/10.1016/j.jpsychores.2008.05.026</w:t>
      </w:r>
    </w:p>
    <w:p w14:paraId="1359701A"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9B721E">
        <w:rPr>
          <w:rFonts w:ascii="NewsGotT" w:hAnsi="NewsGotT"/>
          <w:i/>
          <w:iCs/>
          <w:noProof/>
        </w:rPr>
        <w:t>Archives of Internal Medicine</w:t>
      </w:r>
      <w:r w:rsidRPr="009B721E">
        <w:rPr>
          <w:rFonts w:ascii="NewsGotT" w:hAnsi="NewsGotT"/>
          <w:noProof/>
        </w:rPr>
        <w:t xml:space="preserve">, </w:t>
      </w:r>
      <w:r w:rsidRPr="009B721E">
        <w:rPr>
          <w:rFonts w:ascii="NewsGotT" w:hAnsi="NewsGotT"/>
          <w:i/>
          <w:iCs/>
          <w:noProof/>
        </w:rPr>
        <w:t>160</w:t>
      </w:r>
      <w:r w:rsidRPr="009B721E">
        <w:rPr>
          <w:rFonts w:ascii="NewsGotT" w:hAnsi="NewsGotT"/>
          <w:noProof/>
        </w:rPr>
        <w:t>(6), 786–794. https://doi.org/10.1001/archinte.160.6.786</w:t>
      </w:r>
    </w:p>
    <w:p w14:paraId="692E613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Lee-Archer, P. F., von Ungern-Sternberg, B. S., Reade, M. C., Law, K. C., &amp; Long, D. (2021). An observational study of hypoactive delirium in the post-anesthesia recovery unit of a pediatric hospital. </w:t>
      </w:r>
      <w:r w:rsidRPr="009B721E">
        <w:rPr>
          <w:rFonts w:ascii="NewsGotT" w:hAnsi="NewsGotT"/>
          <w:i/>
          <w:iCs/>
          <w:noProof/>
        </w:rPr>
        <w:t>Paediatric Anaesthesia</w:t>
      </w:r>
      <w:r w:rsidRPr="009B721E">
        <w:rPr>
          <w:rFonts w:ascii="NewsGotT" w:hAnsi="NewsGotT"/>
          <w:noProof/>
        </w:rPr>
        <w:t>, (September 2020), 429–435. https://doi.org/10.1111/pan.14122</w:t>
      </w:r>
    </w:p>
    <w:p w14:paraId="3353AD81"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Lee, S., Mueller, B., Nick Street, W., &amp; M. Carnahan, R. (2021). Machine learning algorithm to predict delirium from emergency department data. </w:t>
      </w:r>
      <w:r w:rsidRPr="009B721E">
        <w:rPr>
          <w:rFonts w:ascii="NewsGotT" w:hAnsi="NewsGotT"/>
          <w:i/>
          <w:iCs/>
          <w:noProof/>
        </w:rPr>
        <w:t>BMJ</w:t>
      </w:r>
      <w:r w:rsidRPr="009B721E">
        <w:rPr>
          <w:rFonts w:ascii="NewsGotT" w:hAnsi="NewsGotT"/>
          <w:noProof/>
        </w:rPr>
        <w:t>. https://doi.org/https://doi.org/10.1101/2021.02.19.21251956</w:t>
      </w:r>
    </w:p>
    <w:p w14:paraId="2C340EBF"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Leonard, M. M., Nekolaichuk, C., Meagher, D. J., Barnes, C., Gaudreau, J. D., Watanabe, S., … Lawlor, P. G. (2014). Practical assessment of delirium in palliative care. </w:t>
      </w:r>
      <w:r w:rsidRPr="009B721E">
        <w:rPr>
          <w:rFonts w:ascii="NewsGotT" w:hAnsi="NewsGotT"/>
          <w:i/>
          <w:iCs/>
          <w:noProof/>
        </w:rPr>
        <w:t>Journal of Pain and Symptom Management</w:t>
      </w:r>
      <w:r w:rsidRPr="009B721E">
        <w:rPr>
          <w:rFonts w:ascii="NewsGotT" w:hAnsi="NewsGotT"/>
          <w:noProof/>
        </w:rPr>
        <w:t xml:space="preserve">, </w:t>
      </w:r>
      <w:r w:rsidRPr="009B721E">
        <w:rPr>
          <w:rFonts w:ascii="NewsGotT" w:hAnsi="NewsGotT"/>
          <w:i/>
          <w:iCs/>
          <w:noProof/>
        </w:rPr>
        <w:t>48</w:t>
      </w:r>
      <w:r w:rsidRPr="009B721E">
        <w:rPr>
          <w:rFonts w:ascii="NewsGotT" w:hAnsi="NewsGotT"/>
          <w:noProof/>
        </w:rPr>
        <w:t>(2), 176–190. https://doi.org/10.1016/j.jpainsymman.2013.10.024</w:t>
      </w:r>
    </w:p>
    <w:p w14:paraId="642689E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9B721E">
        <w:rPr>
          <w:rFonts w:ascii="NewsGotT" w:hAnsi="NewsGotT"/>
          <w:i/>
          <w:iCs/>
          <w:noProof/>
        </w:rPr>
        <w:t>Nursing in Critical Care</w:t>
      </w:r>
      <w:r w:rsidRPr="009B721E">
        <w:rPr>
          <w:rFonts w:ascii="NewsGotT" w:hAnsi="NewsGotT"/>
          <w:noProof/>
        </w:rPr>
        <w:t>, (August), 1–7. https://doi.org/10.1111/nicc.12550</w:t>
      </w:r>
    </w:p>
    <w:p w14:paraId="35855EED"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Libbrecht, M. W., &amp; Noble, W. S. (2015). Machine learning applications in genetics and genomics. </w:t>
      </w:r>
      <w:r w:rsidRPr="009B721E">
        <w:rPr>
          <w:rFonts w:ascii="NewsGotT" w:hAnsi="NewsGotT"/>
          <w:i/>
          <w:iCs/>
          <w:noProof/>
        </w:rPr>
        <w:t>Nature Reviews Genetics</w:t>
      </w:r>
      <w:r w:rsidRPr="009B721E">
        <w:rPr>
          <w:rFonts w:ascii="NewsGotT" w:hAnsi="NewsGotT"/>
          <w:noProof/>
        </w:rPr>
        <w:t xml:space="preserve">, </w:t>
      </w:r>
      <w:r w:rsidRPr="009B721E">
        <w:rPr>
          <w:rFonts w:ascii="NewsGotT" w:hAnsi="NewsGotT"/>
          <w:i/>
          <w:iCs/>
          <w:noProof/>
        </w:rPr>
        <w:t>16</w:t>
      </w:r>
      <w:r w:rsidRPr="009B721E">
        <w:rPr>
          <w:rFonts w:ascii="NewsGotT" w:hAnsi="NewsGotT"/>
          <w:noProof/>
        </w:rPr>
        <w:t>(6), 321–332. https://doi.org/10.1038/nrg3920</w:t>
      </w:r>
    </w:p>
    <w:p w14:paraId="5897752D"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Lipowski, Z. J. (1987). Delirium (Acute Confusional State). </w:t>
      </w:r>
      <w:r w:rsidRPr="009B721E">
        <w:rPr>
          <w:rFonts w:ascii="NewsGotT" w:hAnsi="NewsGotT"/>
          <w:i/>
          <w:iCs/>
          <w:noProof/>
        </w:rPr>
        <w:t>JAMA</w:t>
      </w:r>
      <w:r w:rsidRPr="009B721E">
        <w:rPr>
          <w:rFonts w:ascii="NewsGotT" w:hAnsi="NewsGotT"/>
          <w:noProof/>
        </w:rPr>
        <w:t>, 1789–1792. https://doi.org/doi:10.1001/jama.1987.03400130103041</w:t>
      </w:r>
    </w:p>
    <w:p w14:paraId="4577195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Lipowski, Zbigniew J. (1991). Delirium: How Its Concept Has Developed. </w:t>
      </w:r>
      <w:r w:rsidRPr="009B721E">
        <w:rPr>
          <w:rFonts w:ascii="NewsGotT" w:hAnsi="NewsGotT"/>
          <w:i/>
          <w:iCs/>
          <w:noProof/>
        </w:rPr>
        <w:t>International Psychogeriatrics</w:t>
      </w:r>
      <w:r w:rsidRPr="009B721E">
        <w:rPr>
          <w:rFonts w:ascii="NewsGotT" w:hAnsi="NewsGotT"/>
          <w:noProof/>
        </w:rPr>
        <w:t xml:space="preserve">, </w:t>
      </w:r>
      <w:r w:rsidRPr="009B721E">
        <w:rPr>
          <w:rFonts w:ascii="NewsGotT" w:hAnsi="NewsGotT"/>
          <w:i/>
          <w:iCs/>
          <w:noProof/>
        </w:rPr>
        <w:t>3</w:t>
      </w:r>
      <w:r w:rsidRPr="009B721E">
        <w:rPr>
          <w:rFonts w:ascii="NewsGotT" w:hAnsi="NewsGotT"/>
          <w:noProof/>
        </w:rPr>
        <w:t>(2), 115–120. https://doi.org/10.1017/S1041610291000595</w:t>
      </w:r>
    </w:p>
    <w:p w14:paraId="0513D7DB"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Lôbo, R. R., Silva Filho, S. R. B., Lima, N. K. C., Ferriolli, E., &amp; Moriguti, J. C. (2010). Delirium. </w:t>
      </w:r>
      <w:r w:rsidRPr="009B721E">
        <w:rPr>
          <w:rFonts w:ascii="NewsGotT" w:hAnsi="NewsGotT"/>
          <w:i/>
          <w:iCs/>
          <w:noProof/>
        </w:rPr>
        <w:t>Medicina (Ribeirao Preto. Online)</w:t>
      </w:r>
      <w:r w:rsidRPr="009B721E">
        <w:rPr>
          <w:rFonts w:ascii="NewsGotT" w:hAnsi="NewsGotT"/>
          <w:noProof/>
        </w:rPr>
        <w:t xml:space="preserve">, </w:t>
      </w:r>
      <w:r w:rsidRPr="009B721E">
        <w:rPr>
          <w:rFonts w:ascii="NewsGotT" w:hAnsi="NewsGotT"/>
          <w:i/>
          <w:iCs/>
          <w:noProof/>
        </w:rPr>
        <w:t>43</w:t>
      </w:r>
      <w:r w:rsidRPr="009B721E">
        <w:rPr>
          <w:rFonts w:ascii="NewsGotT" w:hAnsi="NewsGotT"/>
          <w:noProof/>
        </w:rPr>
        <w:t>(3), 249–257. https://doi.org/10.11606/issn.2176-7262.v43i3p249-257</w:t>
      </w:r>
    </w:p>
    <w:p w14:paraId="654C975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Lüllmann, H., Mohr, K., &amp; Hein, L. (2018). </w:t>
      </w:r>
      <w:r w:rsidRPr="009B721E">
        <w:rPr>
          <w:rFonts w:ascii="NewsGotT" w:hAnsi="NewsGotT"/>
          <w:i/>
          <w:iCs/>
          <w:noProof/>
        </w:rPr>
        <w:t>Color Atlas of Pharmacology</w:t>
      </w:r>
      <w:r w:rsidRPr="009B721E">
        <w:rPr>
          <w:rFonts w:ascii="NewsGotT" w:hAnsi="NewsGotT"/>
          <w:noProof/>
        </w:rPr>
        <w:t xml:space="preserve"> (Fifth). Thieme.</w:t>
      </w:r>
    </w:p>
    <w:p w14:paraId="4656D9F1"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MacLullich, A. M. J., Ferguson, K. J., Miller, T., de Rooij, S. E. J. A., &amp; Cunningham, C. (2008). Unravelling the pathophysiology of delirium: A focus on the role of aberrant stress responses. </w:t>
      </w:r>
      <w:r w:rsidRPr="009B721E">
        <w:rPr>
          <w:rFonts w:ascii="NewsGotT" w:hAnsi="NewsGotT"/>
          <w:i/>
          <w:iCs/>
          <w:noProof/>
        </w:rPr>
        <w:t>Journal of Psychosomatic Research</w:t>
      </w:r>
      <w:r w:rsidRPr="009B721E">
        <w:rPr>
          <w:rFonts w:ascii="NewsGotT" w:hAnsi="NewsGotT"/>
          <w:noProof/>
        </w:rPr>
        <w:t xml:space="preserve">, </w:t>
      </w:r>
      <w:r w:rsidRPr="009B721E">
        <w:rPr>
          <w:rFonts w:ascii="NewsGotT" w:hAnsi="NewsGotT"/>
          <w:i/>
          <w:iCs/>
          <w:noProof/>
        </w:rPr>
        <w:t>65</w:t>
      </w:r>
      <w:r w:rsidRPr="009B721E">
        <w:rPr>
          <w:rFonts w:ascii="NewsGotT" w:hAnsi="NewsGotT"/>
          <w:noProof/>
        </w:rPr>
        <w:t>(3), 229–238. https://doi.org/10.1016/j.jpsychores.2008.05.019</w:t>
      </w:r>
    </w:p>
    <w:p w14:paraId="0CF3DDA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lastRenderedPageBreak/>
        <w:t xml:space="preserve">Maldonado, J. R. (2018). Delirium pathophysiology: An updated hypothesis of the etiology of acute brain failure. </w:t>
      </w:r>
      <w:r w:rsidRPr="009B721E">
        <w:rPr>
          <w:rFonts w:ascii="NewsGotT" w:hAnsi="NewsGotT"/>
          <w:i/>
          <w:iCs/>
          <w:noProof/>
        </w:rPr>
        <w:t>International Journal of Geriatric Psychiatry</w:t>
      </w:r>
      <w:r w:rsidRPr="009B721E">
        <w:rPr>
          <w:rFonts w:ascii="NewsGotT" w:hAnsi="NewsGotT"/>
          <w:noProof/>
        </w:rPr>
        <w:t xml:space="preserve">, </w:t>
      </w:r>
      <w:r w:rsidRPr="009B721E">
        <w:rPr>
          <w:rFonts w:ascii="NewsGotT" w:hAnsi="NewsGotT"/>
          <w:i/>
          <w:iCs/>
          <w:noProof/>
        </w:rPr>
        <w:t>33</w:t>
      </w:r>
      <w:r w:rsidRPr="009B721E">
        <w:rPr>
          <w:rFonts w:ascii="NewsGotT" w:hAnsi="NewsGotT"/>
          <w:noProof/>
        </w:rPr>
        <w:t>(11), 1428–1457. https://doi.org/10.1002/gps.4823</w:t>
      </w:r>
    </w:p>
    <w:p w14:paraId="028A0C4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Martins, S., &amp; Fernandes, L. (2012). Delirium in elderly people: A review. </w:t>
      </w:r>
      <w:r w:rsidRPr="009B721E">
        <w:rPr>
          <w:rFonts w:ascii="NewsGotT" w:hAnsi="NewsGotT"/>
          <w:i/>
          <w:iCs/>
          <w:noProof/>
        </w:rPr>
        <w:t>Frontiers in Neurology</w:t>
      </w:r>
      <w:r w:rsidRPr="009B721E">
        <w:rPr>
          <w:rFonts w:ascii="NewsGotT" w:hAnsi="NewsGotT"/>
          <w:noProof/>
        </w:rPr>
        <w:t xml:space="preserve">, </w:t>
      </w:r>
      <w:r w:rsidRPr="009B721E">
        <w:rPr>
          <w:rFonts w:ascii="NewsGotT" w:hAnsi="NewsGotT"/>
          <w:i/>
          <w:iCs/>
          <w:noProof/>
        </w:rPr>
        <w:t>JUN</w:t>
      </w:r>
      <w:r w:rsidRPr="009B721E">
        <w:rPr>
          <w:rFonts w:ascii="NewsGotT" w:hAnsi="NewsGotT"/>
          <w:noProof/>
        </w:rPr>
        <w:t>(June), 1–12. https://doi.org/10.3389/fneur.2012.00101</w:t>
      </w:r>
    </w:p>
    <w:p w14:paraId="0504FE3F"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McCorduck, P. (2004). </w:t>
      </w:r>
      <w:r w:rsidRPr="009B721E">
        <w:rPr>
          <w:rFonts w:ascii="NewsGotT" w:hAnsi="NewsGotT"/>
          <w:i/>
          <w:iCs/>
          <w:noProof/>
        </w:rPr>
        <w:t>Machines Who Think</w:t>
      </w:r>
      <w:r w:rsidRPr="009B721E">
        <w:rPr>
          <w:rFonts w:ascii="NewsGotT" w:hAnsi="NewsGotT"/>
          <w:noProof/>
        </w:rPr>
        <w:t xml:space="preserve">. </w:t>
      </w:r>
      <w:r w:rsidRPr="009B721E">
        <w:rPr>
          <w:rFonts w:ascii="NewsGotT" w:hAnsi="NewsGotT"/>
          <w:i/>
          <w:iCs/>
          <w:noProof/>
        </w:rPr>
        <w:t>A K Peters, Ltd.</w:t>
      </w:r>
      <w:r w:rsidRPr="009B721E">
        <w:rPr>
          <w:rFonts w:ascii="NewsGotT" w:hAnsi="NewsGotT"/>
          <w:noProof/>
        </w:rPr>
        <w:t xml:space="preserve"> Natick, MA: A K Peters, Ltd. https://doi.org/10.1126/science.254.5036.1291-a</w:t>
      </w:r>
    </w:p>
    <w:p w14:paraId="2B9A683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McCulloch, W. S., &amp; Pits, W. (1943). A LOGICAL CALCULUS OF THE IDEAS IMMANENT IN NERVOUS ACTIVITY. </w:t>
      </w:r>
      <w:r w:rsidRPr="009B721E">
        <w:rPr>
          <w:rFonts w:ascii="NewsGotT" w:hAnsi="NewsGotT"/>
          <w:i/>
          <w:iCs/>
          <w:noProof/>
        </w:rPr>
        <w:t>Bullentin of Mathematical</w:t>
      </w:r>
      <w:r w:rsidRPr="009B721E">
        <w:rPr>
          <w:rFonts w:ascii="NewsGotT" w:hAnsi="NewsGotT"/>
          <w:noProof/>
        </w:rPr>
        <w:t xml:space="preserve">, </w:t>
      </w:r>
      <w:r w:rsidRPr="009B721E">
        <w:rPr>
          <w:rFonts w:ascii="NewsGotT" w:hAnsi="NewsGotT"/>
          <w:i/>
          <w:iCs/>
          <w:noProof/>
        </w:rPr>
        <w:t>5</w:t>
      </w:r>
      <w:r w:rsidRPr="009B721E">
        <w:rPr>
          <w:rFonts w:ascii="NewsGotT" w:hAnsi="NewsGotT"/>
          <w:noProof/>
        </w:rPr>
        <w:t>, 115–133.</w:t>
      </w:r>
    </w:p>
    <w:p w14:paraId="5D9BFE33"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Meagher, D. J., MacLullich, A. M. J., &amp; Laurila, J. V. (2008). Defining delirium for the International Classification of Diseases, 11th Revision. </w:t>
      </w:r>
      <w:r w:rsidRPr="009B721E">
        <w:rPr>
          <w:rFonts w:ascii="NewsGotT" w:hAnsi="NewsGotT"/>
          <w:i/>
          <w:iCs/>
          <w:noProof/>
        </w:rPr>
        <w:t>Journal of Psychosomatic Research</w:t>
      </w:r>
      <w:r w:rsidRPr="009B721E">
        <w:rPr>
          <w:rFonts w:ascii="NewsGotT" w:hAnsi="NewsGotT"/>
          <w:noProof/>
        </w:rPr>
        <w:t xml:space="preserve">, </w:t>
      </w:r>
      <w:r w:rsidRPr="009B721E">
        <w:rPr>
          <w:rFonts w:ascii="NewsGotT" w:hAnsi="NewsGotT"/>
          <w:i/>
          <w:iCs/>
          <w:noProof/>
        </w:rPr>
        <w:t>65</w:t>
      </w:r>
      <w:r w:rsidRPr="009B721E">
        <w:rPr>
          <w:rFonts w:ascii="NewsGotT" w:hAnsi="NewsGotT"/>
          <w:noProof/>
        </w:rPr>
        <w:t>(3), 207–214. https://doi.org/10.1016/j.jpsychores.2008.05.015</w:t>
      </w:r>
    </w:p>
    <w:p w14:paraId="4473D663"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Meltzer, H. Y. (2013). Update on Typical and Atypical Antipsychotic Drugs. </w:t>
      </w:r>
      <w:r w:rsidRPr="009B721E">
        <w:rPr>
          <w:rFonts w:ascii="NewsGotT" w:hAnsi="NewsGotT"/>
          <w:i/>
          <w:iCs/>
          <w:noProof/>
        </w:rPr>
        <w:t>Annual Review of Medicine</w:t>
      </w:r>
      <w:r w:rsidRPr="009B721E">
        <w:rPr>
          <w:rFonts w:ascii="NewsGotT" w:hAnsi="NewsGotT"/>
          <w:noProof/>
        </w:rPr>
        <w:t xml:space="preserve">, </w:t>
      </w:r>
      <w:r w:rsidRPr="009B721E">
        <w:rPr>
          <w:rFonts w:ascii="NewsGotT" w:hAnsi="NewsGotT"/>
          <w:i/>
          <w:iCs/>
          <w:noProof/>
        </w:rPr>
        <w:t>64</w:t>
      </w:r>
      <w:r w:rsidRPr="009B721E">
        <w:rPr>
          <w:rFonts w:ascii="NewsGotT" w:hAnsi="NewsGotT"/>
          <w:noProof/>
        </w:rPr>
        <w:t>(1), 393–406. https://doi.org/10.1146/annurev-med-050911-161504</w:t>
      </w:r>
    </w:p>
    <w:p w14:paraId="2AF46CAE"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Michalski, R. S., Carbonell, J. G., &amp; Mitchell, T. M. (1983). </w:t>
      </w:r>
      <w:r w:rsidRPr="009B721E">
        <w:rPr>
          <w:rFonts w:ascii="NewsGotT" w:hAnsi="NewsGotT"/>
          <w:i/>
          <w:iCs/>
          <w:noProof/>
        </w:rPr>
        <w:t>Machine Learning</w:t>
      </w:r>
      <w:r w:rsidRPr="009B721E">
        <w:rPr>
          <w:rFonts w:ascii="NewsGotT" w:hAnsi="NewsGotT"/>
          <w:noProof/>
        </w:rPr>
        <w:t>. Berlin, Heidelberg: Springer Berlin Heidelberg. https://doi.org/10.1007/978-3-662-12405-5</w:t>
      </w:r>
    </w:p>
    <w:p w14:paraId="7DFA2B7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Michaud, L., Büla, C., Berney, A., Camus, V., Voellinger, R., Stiefel, F., &amp; Burnand, B. (2007). Delirium: Guidelines for general hospitals. </w:t>
      </w:r>
      <w:r w:rsidRPr="009B721E">
        <w:rPr>
          <w:rFonts w:ascii="NewsGotT" w:hAnsi="NewsGotT"/>
          <w:i/>
          <w:iCs/>
          <w:noProof/>
        </w:rPr>
        <w:t>Journal of Psychosomatic Research</w:t>
      </w:r>
      <w:r w:rsidRPr="009B721E">
        <w:rPr>
          <w:rFonts w:ascii="NewsGotT" w:hAnsi="NewsGotT"/>
          <w:noProof/>
        </w:rPr>
        <w:t xml:space="preserve">, </w:t>
      </w:r>
      <w:r w:rsidRPr="009B721E">
        <w:rPr>
          <w:rFonts w:ascii="NewsGotT" w:hAnsi="NewsGotT"/>
          <w:i/>
          <w:iCs/>
          <w:noProof/>
        </w:rPr>
        <w:t>62</w:t>
      </w:r>
      <w:r w:rsidRPr="009B721E">
        <w:rPr>
          <w:rFonts w:ascii="NewsGotT" w:hAnsi="NewsGotT"/>
          <w:noProof/>
        </w:rPr>
        <w:t>(3), 371–383. https://doi.org/10.1016/j.jpsychores.2006.10.004</w:t>
      </w:r>
    </w:p>
    <w:p w14:paraId="0161A543"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Ministério da Saúde. (2006). DL n</w:t>
      </w:r>
      <w:r w:rsidRPr="009B721E">
        <w:rPr>
          <w:rFonts w:ascii="NewsGotT" w:hAnsi="NewsGotT"/>
          <w:noProof/>
          <w:vertAlign w:val="superscript"/>
        </w:rPr>
        <w:t>o</w:t>
      </w:r>
      <w:r w:rsidRPr="009B721E">
        <w:rPr>
          <w:rFonts w:ascii="NewsGotT" w:hAnsi="NewsGotT"/>
          <w:noProof/>
        </w:rPr>
        <w:t xml:space="preserve"> 176/2006 de 30 de agosto. </w:t>
      </w:r>
      <w:r w:rsidRPr="009B721E">
        <w:rPr>
          <w:rFonts w:ascii="NewsGotT" w:hAnsi="NewsGotT"/>
          <w:i/>
          <w:iCs/>
          <w:noProof/>
        </w:rPr>
        <w:t>Diário Da República 1</w:t>
      </w:r>
      <w:r w:rsidRPr="009B721E">
        <w:rPr>
          <w:rFonts w:ascii="NewsGotT" w:hAnsi="NewsGotT"/>
          <w:i/>
          <w:iCs/>
          <w:noProof/>
          <w:vertAlign w:val="superscript"/>
        </w:rPr>
        <w:t>a</w:t>
      </w:r>
      <w:r w:rsidRPr="009B721E">
        <w:rPr>
          <w:rFonts w:ascii="NewsGotT" w:hAnsi="NewsGotT"/>
          <w:i/>
          <w:iCs/>
          <w:noProof/>
        </w:rPr>
        <w:t xml:space="preserve"> Série</w:t>
      </w:r>
      <w:r w:rsidRPr="009B721E">
        <w:rPr>
          <w:rFonts w:ascii="NewsGotT" w:hAnsi="NewsGotT"/>
          <w:noProof/>
        </w:rPr>
        <w:t>, 6297–6303. Retrieved from http://www.portaldasaude.pt/NR/rdonlyres/D2D959FC-A937-4850-B0DC-B60E04F2108B/0/62976383.pdf</w:t>
      </w:r>
    </w:p>
    <w:p w14:paraId="1A0D9DBC"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Mitchell, T. M. (1999). Machine learning and data mining. </w:t>
      </w:r>
      <w:r w:rsidRPr="009B721E">
        <w:rPr>
          <w:rFonts w:ascii="NewsGotT" w:hAnsi="NewsGotT"/>
          <w:i/>
          <w:iCs/>
          <w:noProof/>
        </w:rPr>
        <w:t>Communications of the ACM</w:t>
      </w:r>
      <w:r w:rsidRPr="009B721E">
        <w:rPr>
          <w:rFonts w:ascii="NewsGotT" w:hAnsi="NewsGotT"/>
          <w:noProof/>
        </w:rPr>
        <w:t xml:space="preserve">, </w:t>
      </w:r>
      <w:r w:rsidRPr="009B721E">
        <w:rPr>
          <w:rFonts w:ascii="NewsGotT" w:hAnsi="NewsGotT"/>
          <w:i/>
          <w:iCs/>
          <w:noProof/>
        </w:rPr>
        <w:t>42</w:t>
      </w:r>
      <w:r w:rsidRPr="009B721E">
        <w:rPr>
          <w:rFonts w:ascii="NewsGotT" w:hAnsi="NewsGotT"/>
          <w:noProof/>
        </w:rPr>
        <w:t>(11), 30–46. https://doi.org/10.1145/319382.319388</w:t>
      </w:r>
    </w:p>
    <w:p w14:paraId="1768F71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Mitchell, Tom M. (1997). </w:t>
      </w:r>
      <w:r w:rsidRPr="009B721E">
        <w:rPr>
          <w:rFonts w:ascii="NewsGotT" w:hAnsi="NewsGotT"/>
          <w:i/>
          <w:iCs/>
          <w:noProof/>
        </w:rPr>
        <w:t>Machine Learning</w:t>
      </w:r>
      <w:r w:rsidRPr="009B721E">
        <w:rPr>
          <w:rFonts w:ascii="NewsGotT" w:hAnsi="NewsGotT"/>
          <w:noProof/>
        </w:rPr>
        <w:t>. McGraw-Hill Science/Engineering/Math.</w:t>
      </w:r>
    </w:p>
    <w:p w14:paraId="30DBD86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Mittal, V., Muralee, S., Williamson, D., McEnerney, N., Thomas, J., Cash, M., &amp; Tampi, R. R. (2011). Delirium in the elderly: A comprehensive review. </w:t>
      </w:r>
      <w:r w:rsidRPr="009B721E">
        <w:rPr>
          <w:rFonts w:ascii="NewsGotT" w:hAnsi="NewsGotT"/>
          <w:i/>
          <w:iCs/>
          <w:noProof/>
        </w:rPr>
        <w:t>American Journal of Alzheimer’s Disease and Other Dementias</w:t>
      </w:r>
      <w:r w:rsidRPr="009B721E">
        <w:rPr>
          <w:rFonts w:ascii="NewsGotT" w:hAnsi="NewsGotT"/>
          <w:noProof/>
        </w:rPr>
        <w:t xml:space="preserve">, </w:t>
      </w:r>
      <w:r w:rsidRPr="009B721E">
        <w:rPr>
          <w:rFonts w:ascii="NewsGotT" w:hAnsi="NewsGotT"/>
          <w:i/>
          <w:iCs/>
          <w:noProof/>
        </w:rPr>
        <w:t>26</w:t>
      </w:r>
      <w:r w:rsidRPr="009B721E">
        <w:rPr>
          <w:rFonts w:ascii="NewsGotT" w:hAnsi="NewsGotT"/>
          <w:noProof/>
        </w:rPr>
        <w:t>(2), 97–109. https://doi.org/10.1177/1533317510397331</w:t>
      </w:r>
    </w:p>
    <w:p w14:paraId="7D09BB99"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9B721E">
        <w:rPr>
          <w:rFonts w:ascii="NewsGotT" w:hAnsi="NewsGotT"/>
          <w:i/>
          <w:iCs/>
          <w:noProof/>
        </w:rPr>
        <w:t>Intensive Care Medicine</w:t>
      </w:r>
      <w:r w:rsidRPr="009B721E">
        <w:rPr>
          <w:rFonts w:ascii="NewsGotT" w:hAnsi="NewsGotT"/>
          <w:noProof/>
        </w:rPr>
        <w:t xml:space="preserve">, </w:t>
      </w:r>
      <w:r w:rsidRPr="009B721E">
        <w:rPr>
          <w:rFonts w:ascii="NewsGotT" w:hAnsi="NewsGotT"/>
          <w:i/>
          <w:iCs/>
          <w:noProof/>
        </w:rPr>
        <w:t>34</w:t>
      </w:r>
      <w:r w:rsidRPr="009B721E">
        <w:rPr>
          <w:rFonts w:ascii="NewsGotT" w:hAnsi="NewsGotT"/>
          <w:noProof/>
        </w:rPr>
        <w:t>(10), 1907–1915. https://doi.org/10.1007/s00134-008-1177-6</w:t>
      </w:r>
    </w:p>
    <w:p w14:paraId="796ECC69"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Murphy, K. P. (2012). </w:t>
      </w:r>
      <w:r w:rsidRPr="009B721E">
        <w:rPr>
          <w:rFonts w:ascii="NewsGotT" w:hAnsi="NewsGotT"/>
          <w:i/>
          <w:iCs/>
          <w:noProof/>
        </w:rPr>
        <w:t>Machine learning: A Probabilistic Perspective</w:t>
      </w:r>
      <w:r w:rsidRPr="009B721E">
        <w:rPr>
          <w:rFonts w:ascii="NewsGotT" w:hAnsi="NewsGotT"/>
          <w:noProof/>
        </w:rPr>
        <w:t xml:space="preserve">. </w:t>
      </w:r>
      <w:r w:rsidRPr="009B721E">
        <w:rPr>
          <w:rFonts w:ascii="NewsGotT" w:hAnsi="NewsGotT"/>
          <w:i/>
          <w:iCs/>
          <w:noProof/>
        </w:rPr>
        <w:t>Expert Systems</w:t>
      </w:r>
      <w:r w:rsidRPr="009B721E">
        <w:rPr>
          <w:rFonts w:ascii="NewsGotT" w:hAnsi="NewsGotT"/>
          <w:noProof/>
        </w:rPr>
        <w:t xml:space="preserve"> (Vol. 5). The MIT Press. https://doi.org/10.1111/j.1468-0394.1988.tb00341.x</w:t>
      </w:r>
    </w:p>
    <w:p w14:paraId="2AA4C91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Nagari, N., &amp; Suresh Babu, M. (2019). Assessment of risk factors and precipitating factors of delirium in patients admitted to intensive care unit of a tertiary care hospital. </w:t>
      </w:r>
      <w:r w:rsidRPr="009B721E">
        <w:rPr>
          <w:rFonts w:ascii="NewsGotT" w:hAnsi="NewsGotT"/>
          <w:i/>
          <w:iCs/>
          <w:noProof/>
        </w:rPr>
        <w:t>British Journal of Medical Practitioners</w:t>
      </w:r>
      <w:r w:rsidRPr="009B721E">
        <w:rPr>
          <w:rFonts w:ascii="NewsGotT" w:hAnsi="NewsGotT"/>
          <w:noProof/>
        </w:rPr>
        <w:t xml:space="preserve">, </w:t>
      </w:r>
      <w:r w:rsidRPr="009B721E">
        <w:rPr>
          <w:rFonts w:ascii="NewsGotT" w:hAnsi="NewsGotT"/>
          <w:i/>
          <w:iCs/>
          <w:noProof/>
        </w:rPr>
        <w:t>12</w:t>
      </w:r>
      <w:r w:rsidRPr="009B721E">
        <w:rPr>
          <w:rFonts w:ascii="NewsGotT" w:hAnsi="NewsGotT"/>
          <w:noProof/>
        </w:rPr>
        <w:t>(2).</w:t>
      </w:r>
    </w:p>
    <w:p w14:paraId="0EC23A7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Nemati, S., Holder, A., Razmi, F., Stanley, M. D., Clifford, G. D., &amp; Buchman, T. G. (2018). An Interpretable Machine Learning Model for Accurate Prediction of Sepsis in the ICU. </w:t>
      </w:r>
      <w:r w:rsidRPr="009B721E">
        <w:rPr>
          <w:rFonts w:ascii="NewsGotT" w:hAnsi="NewsGotT"/>
          <w:i/>
          <w:iCs/>
          <w:noProof/>
        </w:rPr>
        <w:t>Critical Care Medicine</w:t>
      </w:r>
      <w:r w:rsidRPr="009B721E">
        <w:rPr>
          <w:rFonts w:ascii="NewsGotT" w:hAnsi="NewsGotT"/>
          <w:noProof/>
        </w:rPr>
        <w:t xml:space="preserve">, </w:t>
      </w:r>
      <w:r w:rsidRPr="009B721E">
        <w:rPr>
          <w:rFonts w:ascii="NewsGotT" w:hAnsi="NewsGotT"/>
          <w:i/>
          <w:iCs/>
          <w:noProof/>
        </w:rPr>
        <w:t>46</w:t>
      </w:r>
      <w:r w:rsidRPr="009B721E">
        <w:rPr>
          <w:rFonts w:ascii="NewsGotT" w:hAnsi="NewsGotT"/>
          <w:noProof/>
        </w:rPr>
        <w:t>(4), 547–553. https://doi.org/10.1097/CCM.0000000000002936</w:t>
      </w:r>
    </w:p>
    <w:p w14:paraId="4C499DED"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Nikam, S. S. (2015). A Comparative Study of Classification Techniques in Data Mining Algorithms. </w:t>
      </w:r>
      <w:r w:rsidRPr="009B721E">
        <w:rPr>
          <w:rFonts w:ascii="NewsGotT" w:hAnsi="NewsGotT"/>
          <w:i/>
          <w:iCs/>
          <w:noProof/>
        </w:rPr>
        <w:t>ORIENTAL JOURNAL OF COMPUTER SCIENCE &amp; TECHNOLOGY</w:t>
      </w:r>
      <w:r w:rsidRPr="009B721E">
        <w:rPr>
          <w:rFonts w:ascii="NewsGotT" w:hAnsi="NewsGotT"/>
          <w:noProof/>
        </w:rPr>
        <w:t xml:space="preserve">, </w:t>
      </w:r>
      <w:r w:rsidRPr="009B721E">
        <w:rPr>
          <w:rFonts w:ascii="NewsGotT" w:hAnsi="NewsGotT"/>
          <w:i/>
          <w:iCs/>
          <w:noProof/>
        </w:rPr>
        <w:t>8</w:t>
      </w:r>
      <w:r w:rsidRPr="009B721E">
        <w:rPr>
          <w:rFonts w:ascii="NewsGotT" w:hAnsi="NewsGotT"/>
          <w:noProof/>
        </w:rPr>
        <w:t>(1), 13–19.</w:t>
      </w:r>
    </w:p>
    <w:p w14:paraId="3F3C7DDD"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Nitchingham, A., Kumar, V., Shenkin, S., Ferguson, K. J., &amp; Caplan, G. A. (2018). A systematic review of neuroimaging in delirium: predictors, correlates and consequences. </w:t>
      </w:r>
      <w:r w:rsidRPr="009B721E">
        <w:rPr>
          <w:rFonts w:ascii="NewsGotT" w:hAnsi="NewsGotT"/>
          <w:i/>
          <w:iCs/>
          <w:noProof/>
        </w:rPr>
        <w:t>International Journal of Geriatric Psychiatry</w:t>
      </w:r>
      <w:r w:rsidRPr="009B721E">
        <w:rPr>
          <w:rFonts w:ascii="NewsGotT" w:hAnsi="NewsGotT"/>
          <w:noProof/>
        </w:rPr>
        <w:t xml:space="preserve">, </w:t>
      </w:r>
      <w:r w:rsidRPr="009B721E">
        <w:rPr>
          <w:rFonts w:ascii="NewsGotT" w:hAnsi="NewsGotT"/>
          <w:i/>
          <w:iCs/>
          <w:noProof/>
        </w:rPr>
        <w:t>33</w:t>
      </w:r>
      <w:r w:rsidRPr="009B721E">
        <w:rPr>
          <w:rFonts w:ascii="NewsGotT" w:hAnsi="NewsGotT"/>
          <w:noProof/>
        </w:rPr>
        <w:t>(11), 1458–1478. https://doi.org/10.1002/gps.4724</w:t>
      </w:r>
    </w:p>
    <w:p w14:paraId="0EB56F4A"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ONU, P. (2021). Envelhecimento. Retrieved May 31, 2021, from https://unric.org/pt/envelhecimento/</w:t>
      </w:r>
    </w:p>
    <w:p w14:paraId="617B21DA"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Pedregosa, F., Varoquaux, G., Gramfort, A., Michel, V., Thirion, B., Grisel, O., … Duchesnay, É. (2011). Scikit-learn: Machine Learning in Python. </w:t>
      </w:r>
      <w:r w:rsidRPr="009B721E">
        <w:rPr>
          <w:rFonts w:ascii="NewsGotT" w:hAnsi="NewsGotT"/>
          <w:i/>
          <w:iCs/>
          <w:noProof/>
        </w:rPr>
        <w:t>Journal of Machine Learning Research</w:t>
      </w:r>
      <w:r w:rsidRPr="009B721E">
        <w:rPr>
          <w:rFonts w:ascii="NewsGotT" w:hAnsi="NewsGotT"/>
          <w:noProof/>
        </w:rPr>
        <w:t xml:space="preserve">, </w:t>
      </w:r>
      <w:r w:rsidRPr="009B721E">
        <w:rPr>
          <w:rFonts w:ascii="NewsGotT" w:hAnsi="NewsGotT"/>
          <w:i/>
          <w:iCs/>
          <w:noProof/>
        </w:rPr>
        <w:t>12</w:t>
      </w:r>
      <w:r w:rsidRPr="009B721E">
        <w:rPr>
          <w:rFonts w:ascii="NewsGotT" w:hAnsi="NewsGotT"/>
          <w:noProof/>
        </w:rPr>
        <w:t>, 2825–2830.</w:t>
      </w:r>
    </w:p>
    <w:p w14:paraId="4BCE9C55"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lastRenderedPageBreak/>
        <w:t xml:space="preserve">Pérez-Ros, P., &amp; Martínez-Arnau, F. (2019). Delirium Assessment in Older People in Emergency Departments. A Literature Review. </w:t>
      </w:r>
      <w:r w:rsidRPr="009B721E">
        <w:rPr>
          <w:rFonts w:ascii="NewsGotT" w:hAnsi="NewsGotT"/>
          <w:i/>
          <w:iCs/>
          <w:noProof/>
        </w:rPr>
        <w:t>Diseases</w:t>
      </w:r>
      <w:r w:rsidRPr="009B721E">
        <w:rPr>
          <w:rFonts w:ascii="NewsGotT" w:hAnsi="NewsGotT"/>
          <w:noProof/>
        </w:rPr>
        <w:t xml:space="preserve">, </w:t>
      </w:r>
      <w:r w:rsidRPr="009B721E">
        <w:rPr>
          <w:rFonts w:ascii="NewsGotT" w:hAnsi="NewsGotT"/>
          <w:i/>
          <w:iCs/>
          <w:noProof/>
        </w:rPr>
        <w:t>7</w:t>
      </w:r>
      <w:r w:rsidRPr="009B721E">
        <w:rPr>
          <w:rFonts w:ascii="NewsGotT" w:hAnsi="NewsGotT"/>
          <w:noProof/>
        </w:rPr>
        <w:t>(1), 14. https://doi.org/10.3390/diseases7010014</w:t>
      </w:r>
    </w:p>
    <w:p w14:paraId="5050578C"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Pfizer. (2010). RESUMO DAS CARACTERÍSTICAS DO MEDICAMENTO: Lorenin. Retrieved July 21, 2021, from http://labeling.pfizer.com/ShowLabeling.aspx?id=5194</w:t>
      </w:r>
    </w:p>
    <w:p w14:paraId="353B7A9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Pfizer. (2021). RESUMO DAS CARACTERÍSTICAS: Alprazolam. Retrieved July 21, 2021, from http://labeling.pfizer.com/ShowLabeling.aspx?id=4838</w:t>
      </w:r>
    </w:p>
    <w:p w14:paraId="45D9C4F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Prayce, R., Quaresma, F., &amp; Neto, I. G. (2018). Delirium: O 7</w:t>
      </w:r>
      <w:r w:rsidRPr="009B721E">
        <w:rPr>
          <w:rFonts w:ascii="NewsGotT" w:hAnsi="NewsGotT"/>
          <w:noProof/>
          <w:vertAlign w:val="superscript"/>
        </w:rPr>
        <w:t>o</w:t>
      </w:r>
      <w:r w:rsidRPr="009B721E">
        <w:rPr>
          <w:rFonts w:ascii="NewsGotT" w:hAnsi="NewsGotT"/>
          <w:noProof/>
        </w:rPr>
        <w:t xml:space="preserve"> Parâmetro Vital? </w:t>
      </w:r>
      <w:r w:rsidRPr="009B721E">
        <w:rPr>
          <w:rFonts w:ascii="NewsGotT" w:hAnsi="NewsGotT"/>
          <w:i/>
          <w:iCs/>
          <w:noProof/>
        </w:rPr>
        <w:t>Acta Médica Portuguesa</w:t>
      </w:r>
      <w:r w:rsidRPr="009B721E">
        <w:rPr>
          <w:rFonts w:ascii="NewsGotT" w:hAnsi="NewsGotT"/>
          <w:noProof/>
        </w:rPr>
        <w:t xml:space="preserve">, </w:t>
      </w:r>
      <w:r w:rsidRPr="009B721E">
        <w:rPr>
          <w:rFonts w:ascii="NewsGotT" w:hAnsi="NewsGotT"/>
          <w:i/>
          <w:iCs/>
          <w:noProof/>
        </w:rPr>
        <w:t>31</w:t>
      </w:r>
      <w:r w:rsidRPr="009B721E">
        <w:rPr>
          <w:rFonts w:ascii="NewsGotT" w:hAnsi="NewsGotT"/>
          <w:noProof/>
        </w:rPr>
        <w:t>(1), 51. https://doi.org/10.20344/amp.9670</w:t>
      </w:r>
    </w:p>
    <w:p w14:paraId="4E65619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Quinlan, J. R. (1986). Induction of decision trees. </w:t>
      </w:r>
      <w:r w:rsidRPr="009B721E">
        <w:rPr>
          <w:rFonts w:ascii="NewsGotT" w:hAnsi="NewsGotT"/>
          <w:i/>
          <w:iCs/>
          <w:noProof/>
        </w:rPr>
        <w:t>Machine Learning</w:t>
      </w:r>
      <w:r w:rsidRPr="009B721E">
        <w:rPr>
          <w:rFonts w:ascii="NewsGotT" w:hAnsi="NewsGotT"/>
          <w:noProof/>
        </w:rPr>
        <w:t xml:space="preserve">, </w:t>
      </w:r>
      <w:r w:rsidRPr="009B721E">
        <w:rPr>
          <w:rFonts w:ascii="NewsGotT" w:hAnsi="NewsGotT"/>
          <w:i/>
          <w:iCs/>
          <w:noProof/>
        </w:rPr>
        <w:t>1</w:t>
      </w:r>
      <w:r w:rsidRPr="009B721E">
        <w:rPr>
          <w:rFonts w:ascii="NewsGotT" w:hAnsi="NewsGotT"/>
          <w:noProof/>
        </w:rPr>
        <w:t>(1), 81–106. https://doi.org/10.1007/bf00116251</w:t>
      </w:r>
    </w:p>
    <w:p w14:paraId="225CAF8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Robinson, T. N., Raeburn, C. D., Tran, Z. V., Brenner, L. A., &amp; Moss, M. (2011). Motor subtypes of postoperative delirium in older adults. </w:t>
      </w:r>
      <w:r w:rsidRPr="009B721E">
        <w:rPr>
          <w:rFonts w:ascii="NewsGotT" w:hAnsi="NewsGotT"/>
          <w:i/>
          <w:iCs/>
          <w:noProof/>
        </w:rPr>
        <w:t>Archives of Surgery</w:t>
      </w:r>
      <w:r w:rsidRPr="009B721E">
        <w:rPr>
          <w:rFonts w:ascii="NewsGotT" w:hAnsi="NewsGotT"/>
          <w:noProof/>
        </w:rPr>
        <w:t xml:space="preserve">, </w:t>
      </w:r>
      <w:r w:rsidRPr="009B721E">
        <w:rPr>
          <w:rFonts w:ascii="NewsGotT" w:hAnsi="NewsGotT"/>
          <w:i/>
          <w:iCs/>
          <w:noProof/>
        </w:rPr>
        <w:t>146</w:t>
      </w:r>
      <w:r w:rsidRPr="009B721E">
        <w:rPr>
          <w:rFonts w:ascii="NewsGotT" w:hAnsi="NewsGotT"/>
          <w:noProof/>
        </w:rPr>
        <w:t>(3), 295–300. https://doi.org/10.1001/archsurg.2011.14</w:t>
      </w:r>
    </w:p>
    <w:p w14:paraId="58C5815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Rosenblatt, F. (1958). The perceptron: A probabilistic model for information storage and organization in the brain. </w:t>
      </w:r>
      <w:r w:rsidRPr="009B721E">
        <w:rPr>
          <w:rFonts w:ascii="NewsGotT" w:hAnsi="NewsGotT"/>
          <w:i/>
          <w:iCs/>
          <w:noProof/>
        </w:rPr>
        <w:t>Psychological Review</w:t>
      </w:r>
      <w:r w:rsidRPr="009B721E">
        <w:rPr>
          <w:rFonts w:ascii="NewsGotT" w:hAnsi="NewsGotT"/>
          <w:noProof/>
        </w:rPr>
        <w:t xml:space="preserve">, </w:t>
      </w:r>
      <w:r w:rsidRPr="009B721E">
        <w:rPr>
          <w:rFonts w:ascii="NewsGotT" w:hAnsi="NewsGotT"/>
          <w:i/>
          <w:iCs/>
          <w:noProof/>
        </w:rPr>
        <w:t>65</w:t>
      </w:r>
      <w:r w:rsidRPr="009B721E">
        <w:rPr>
          <w:rFonts w:ascii="NewsGotT" w:hAnsi="NewsGotT"/>
          <w:noProof/>
        </w:rPr>
        <w:t>(6), 386–408. https://doi.org/10.1037/h0042519</w:t>
      </w:r>
    </w:p>
    <w:p w14:paraId="2BFFB72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9B721E">
        <w:rPr>
          <w:rFonts w:ascii="NewsGotT" w:hAnsi="NewsGotT"/>
          <w:i/>
          <w:iCs/>
          <w:noProof/>
        </w:rPr>
        <w:t>New Insights into the Future of Pharmacoepidemiology and Drug Safety [Working Title]</w:t>
      </w:r>
      <w:r w:rsidRPr="009B721E">
        <w:rPr>
          <w:rFonts w:ascii="NewsGotT" w:hAnsi="NewsGotT"/>
          <w:noProof/>
        </w:rPr>
        <w:t xml:space="preserve"> (Vol. 32, pp. 137–144). IntechOpen. https://doi.org/10.5772/intechopen.95470</w:t>
      </w:r>
    </w:p>
    <w:p w14:paraId="0C22372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9B721E">
        <w:rPr>
          <w:rFonts w:ascii="NewsGotT" w:hAnsi="NewsGotT"/>
          <w:i/>
          <w:iCs/>
          <w:noProof/>
        </w:rPr>
        <w:t>Interactive CardioVascular and Thoracic Surgery</w:t>
      </w:r>
      <w:r w:rsidRPr="009B721E">
        <w:rPr>
          <w:rFonts w:ascii="NewsGotT" w:hAnsi="NewsGotT"/>
          <w:noProof/>
        </w:rPr>
        <w:t xml:space="preserve">, </w:t>
      </w:r>
      <w:r w:rsidRPr="009B721E">
        <w:rPr>
          <w:rFonts w:ascii="NewsGotT" w:hAnsi="NewsGotT"/>
          <w:i/>
          <w:iCs/>
          <w:noProof/>
        </w:rPr>
        <w:t>10</w:t>
      </w:r>
      <w:r w:rsidRPr="009B721E">
        <w:rPr>
          <w:rFonts w:ascii="NewsGotT" w:hAnsi="NewsGotT"/>
          <w:noProof/>
        </w:rPr>
        <w:t>(1), 58–62. https://doi.org/10.1510/icvts.2009.217562</w:t>
      </w:r>
    </w:p>
    <w:p w14:paraId="17A985F1"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Rudberg, M. A., Pompei, P., Foreman, M. D., Ross, R. E., &amp; Cassel, C. K. (1997). The natural history of delirium in older hospitalized patients: A syndrome of heterogeneity. </w:t>
      </w:r>
      <w:r w:rsidRPr="009B721E">
        <w:rPr>
          <w:rFonts w:ascii="NewsGotT" w:hAnsi="NewsGotT"/>
          <w:i/>
          <w:iCs/>
          <w:noProof/>
        </w:rPr>
        <w:t>Age and Ageing</w:t>
      </w:r>
      <w:r w:rsidRPr="009B721E">
        <w:rPr>
          <w:rFonts w:ascii="NewsGotT" w:hAnsi="NewsGotT"/>
          <w:noProof/>
        </w:rPr>
        <w:t xml:space="preserve">, </w:t>
      </w:r>
      <w:r w:rsidRPr="009B721E">
        <w:rPr>
          <w:rFonts w:ascii="NewsGotT" w:hAnsi="NewsGotT"/>
          <w:i/>
          <w:iCs/>
          <w:noProof/>
        </w:rPr>
        <w:t>26</w:t>
      </w:r>
      <w:r w:rsidRPr="009B721E">
        <w:rPr>
          <w:rFonts w:ascii="NewsGotT" w:hAnsi="NewsGotT"/>
          <w:noProof/>
        </w:rPr>
        <w:t>(3), 169–174. https://doi.org/10.1093/ageing/26.3.169</w:t>
      </w:r>
    </w:p>
    <w:p w14:paraId="5D8434AF"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Salluh, J. I. F., Wang, H., Schneider, E. B., Nagaraja, N., Yenokyan, G., Damluji, A., … Stevens, R. D. (2015). Outcome of delirium in critically ill patients: Systematic review and meta-analysis. </w:t>
      </w:r>
      <w:r w:rsidRPr="009B721E">
        <w:rPr>
          <w:rFonts w:ascii="NewsGotT" w:hAnsi="NewsGotT"/>
          <w:i/>
          <w:iCs/>
          <w:noProof/>
        </w:rPr>
        <w:t>BMJ (Online)</w:t>
      </w:r>
      <w:r w:rsidRPr="009B721E">
        <w:rPr>
          <w:rFonts w:ascii="NewsGotT" w:hAnsi="NewsGotT"/>
          <w:noProof/>
        </w:rPr>
        <w:t xml:space="preserve">, </w:t>
      </w:r>
      <w:r w:rsidRPr="009B721E">
        <w:rPr>
          <w:rFonts w:ascii="NewsGotT" w:hAnsi="NewsGotT"/>
          <w:i/>
          <w:iCs/>
          <w:noProof/>
        </w:rPr>
        <w:t>350</w:t>
      </w:r>
      <w:r w:rsidRPr="009B721E">
        <w:rPr>
          <w:rFonts w:ascii="NewsGotT" w:hAnsi="NewsGotT"/>
          <w:noProof/>
        </w:rPr>
        <w:t>, 1–10. https://doi.org/10.1136/bmj.h2538</w:t>
      </w:r>
    </w:p>
    <w:p w14:paraId="33E5F804"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Samuel, A. L. (1959). Some Studies in Machine Learning. </w:t>
      </w:r>
      <w:r w:rsidRPr="009B721E">
        <w:rPr>
          <w:rFonts w:ascii="NewsGotT" w:hAnsi="NewsGotT"/>
          <w:i/>
          <w:iCs/>
          <w:noProof/>
        </w:rPr>
        <w:t>IBM Journal of Research and Development</w:t>
      </w:r>
      <w:r w:rsidRPr="009B721E">
        <w:rPr>
          <w:rFonts w:ascii="NewsGotT" w:hAnsi="NewsGotT"/>
          <w:noProof/>
        </w:rPr>
        <w:t xml:space="preserve">, </w:t>
      </w:r>
      <w:r w:rsidRPr="009B721E">
        <w:rPr>
          <w:rFonts w:ascii="NewsGotT" w:hAnsi="NewsGotT"/>
          <w:i/>
          <w:iCs/>
          <w:noProof/>
        </w:rPr>
        <w:t>3</w:t>
      </w:r>
      <w:r w:rsidRPr="009B721E">
        <w:rPr>
          <w:rFonts w:ascii="NewsGotT" w:hAnsi="NewsGotT"/>
          <w:noProof/>
        </w:rPr>
        <w:t>(3), 210–229. Retrieved from https://ieeexplore.ieee.org/stamp/stamp.jsp?tp=&amp;arnumber=5392560</w:t>
      </w:r>
    </w:p>
    <w:p w14:paraId="18686E2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Saraiva, C. B., &amp; Cerejeira, J. (2014). </w:t>
      </w:r>
      <w:r w:rsidRPr="009B721E">
        <w:rPr>
          <w:rFonts w:ascii="NewsGotT" w:hAnsi="NewsGotT"/>
          <w:i/>
          <w:iCs/>
          <w:noProof/>
        </w:rPr>
        <w:t>Psiquiatria fundamental</w:t>
      </w:r>
      <w:r w:rsidRPr="009B721E">
        <w:rPr>
          <w:rFonts w:ascii="NewsGotT" w:hAnsi="NewsGotT"/>
          <w:noProof/>
        </w:rPr>
        <w:t>. Lisboa: Lidel. Retrieved from http://id.bnportugal.gov.pt/bib/bibnacional/1938223</w:t>
      </w:r>
    </w:p>
    <w:p w14:paraId="79566039"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Schröer, C., Kruse, F., &amp; Gómez, J. M. (2021). A Systematic Literature Review on Applying CRISP-DM Process Model. </w:t>
      </w:r>
      <w:r w:rsidRPr="009B721E">
        <w:rPr>
          <w:rFonts w:ascii="NewsGotT" w:hAnsi="NewsGotT"/>
          <w:i/>
          <w:iCs/>
          <w:noProof/>
        </w:rPr>
        <w:t>Procedia Computer Science</w:t>
      </w:r>
      <w:r w:rsidRPr="009B721E">
        <w:rPr>
          <w:rFonts w:ascii="NewsGotT" w:hAnsi="NewsGotT"/>
          <w:noProof/>
        </w:rPr>
        <w:t xml:space="preserve">, </w:t>
      </w:r>
      <w:r w:rsidRPr="009B721E">
        <w:rPr>
          <w:rFonts w:ascii="NewsGotT" w:hAnsi="NewsGotT"/>
          <w:i/>
          <w:iCs/>
          <w:noProof/>
        </w:rPr>
        <w:t>181</w:t>
      </w:r>
      <w:r w:rsidRPr="009B721E">
        <w:rPr>
          <w:rFonts w:ascii="NewsGotT" w:hAnsi="NewsGotT"/>
          <w:noProof/>
        </w:rPr>
        <w:t>(2019), 526–534. https://doi.org/10.1016/j.procs.2021.01.199</w:t>
      </w:r>
    </w:p>
    <w:p w14:paraId="01B6624C"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Shen, W. W. (1999). A history of antipsychotic drug development. </w:t>
      </w:r>
      <w:r w:rsidRPr="009B721E">
        <w:rPr>
          <w:rFonts w:ascii="NewsGotT" w:hAnsi="NewsGotT"/>
          <w:i/>
          <w:iCs/>
          <w:noProof/>
        </w:rPr>
        <w:t>Comprehensive Psychiatry</w:t>
      </w:r>
      <w:r w:rsidRPr="009B721E">
        <w:rPr>
          <w:rFonts w:ascii="NewsGotT" w:hAnsi="NewsGotT"/>
          <w:noProof/>
        </w:rPr>
        <w:t xml:space="preserve">, </w:t>
      </w:r>
      <w:r w:rsidRPr="009B721E">
        <w:rPr>
          <w:rFonts w:ascii="NewsGotT" w:hAnsi="NewsGotT"/>
          <w:i/>
          <w:iCs/>
          <w:noProof/>
        </w:rPr>
        <w:t>40</w:t>
      </w:r>
      <w:r w:rsidRPr="009B721E">
        <w:rPr>
          <w:rFonts w:ascii="NewsGotT" w:hAnsi="NewsGotT"/>
          <w:noProof/>
        </w:rPr>
        <w:t>(6), 407–414. https://doi.org/10.1016/S0010-440X(99)90082-2</w:t>
      </w:r>
    </w:p>
    <w:p w14:paraId="4CE5AD30"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Siddiqi, N., House, A. O., &amp; Holmes, J. D. (2006). Occurrence and outcome of delirium in medical in-patients: A systematic literature review. </w:t>
      </w:r>
      <w:r w:rsidRPr="009B721E">
        <w:rPr>
          <w:rFonts w:ascii="NewsGotT" w:hAnsi="NewsGotT"/>
          <w:i/>
          <w:iCs/>
          <w:noProof/>
        </w:rPr>
        <w:t>Age and Ageing</w:t>
      </w:r>
      <w:r w:rsidRPr="009B721E">
        <w:rPr>
          <w:rFonts w:ascii="NewsGotT" w:hAnsi="NewsGotT"/>
          <w:noProof/>
        </w:rPr>
        <w:t xml:space="preserve">, </w:t>
      </w:r>
      <w:r w:rsidRPr="009B721E">
        <w:rPr>
          <w:rFonts w:ascii="NewsGotT" w:hAnsi="NewsGotT"/>
          <w:i/>
          <w:iCs/>
          <w:noProof/>
        </w:rPr>
        <w:t>35</w:t>
      </w:r>
      <w:r w:rsidRPr="009B721E">
        <w:rPr>
          <w:rFonts w:ascii="NewsGotT" w:hAnsi="NewsGotT"/>
          <w:noProof/>
        </w:rPr>
        <w:t>(4), 350–364. https://doi.org/10.1093/ageing/afl005</w:t>
      </w:r>
    </w:p>
    <w:p w14:paraId="2231F165"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Slooter, A. J. C., Otte, W. M., Devlin, J. W., Arora, R. C., Bleck, T. P., Claassen, J., … Stevens, R. D. (2020). Updated nomenclature of delirium and acute encephalopathy: statement of ten Societies. </w:t>
      </w:r>
      <w:r w:rsidRPr="009B721E">
        <w:rPr>
          <w:rFonts w:ascii="NewsGotT" w:hAnsi="NewsGotT"/>
          <w:i/>
          <w:iCs/>
          <w:noProof/>
        </w:rPr>
        <w:t>Intensive Care Medicine</w:t>
      </w:r>
      <w:r w:rsidRPr="009B721E">
        <w:rPr>
          <w:rFonts w:ascii="NewsGotT" w:hAnsi="NewsGotT"/>
          <w:noProof/>
        </w:rPr>
        <w:t xml:space="preserve">, </w:t>
      </w:r>
      <w:r w:rsidRPr="009B721E">
        <w:rPr>
          <w:rFonts w:ascii="NewsGotT" w:hAnsi="NewsGotT"/>
          <w:i/>
          <w:iCs/>
          <w:noProof/>
        </w:rPr>
        <w:t>46</w:t>
      </w:r>
      <w:r w:rsidRPr="009B721E">
        <w:rPr>
          <w:rFonts w:ascii="NewsGotT" w:hAnsi="NewsGotT"/>
          <w:noProof/>
        </w:rPr>
        <w:t>(5), 1020–1022. https://doi.org/10.1007/s00134-019-05907-4</w:t>
      </w:r>
    </w:p>
    <w:p w14:paraId="710669D5"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Smith, T. O., Cooper, A., Peryer, G., Griffiths, R., Fox, C., &amp; Cross, J. (2017). Factors predicting incidence of post-operative delirium in older people following hip fracture surgery: a systematic </w:t>
      </w:r>
      <w:r w:rsidRPr="009B721E">
        <w:rPr>
          <w:rFonts w:ascii="NewsGotT" w:hAnsi="NewsGotT"/>
          <w:noProof/>
        </w:rPr>
        <w:lastRenderedPageBreak/>
        <w:t xml:space="preserve">review and meta-analysis. </w:t>
      </w:r>
      <w:r w:rsidRPr="009B721E">
        <w:rPr>
          <w:rFonts w:ascii="NewsGotT" w:hAnsi="NewsGotT"/>
          <w:i/>
          <w:iCs/>
          <w:noProof/>
        </w:rPr>
        <w:t>International Journal of Geriatric Psychiatry</w:t>
      </w:r>
      <w:r w:rsidRPr="009B721E">
        <w:rPr>
          <w:rFonts w:ascii="NewsGotT" w:hAnsi="NewsGotT"/>
          <w:noProof/>
        </w:rPr>
        <w:t xml:space="preserve">, </w:t>
      </w:r>
      <w:r w:rsidRPr="009B721E">
        <w:rPr>
          <w:rFonts w:ascii="NewsGotT" w:hAnsi="NewsGotT"/>
          <w:i/>
          <w:iCs/>
          <w:noProof/>
        </w:rPr>
        <w:t>32</w:t>
      </w:r>
      <w:r w:rsidRPr="009B721E">
        <w:rPr>
          <w:rFonts w:ascii="NewsGotT" w:hAnsi="NewsGotT"/>
          <w:noProof/>
        </w:rPr>
        <w:t>(4), 386–396. https://doi.org/10.1002/gps.4655</w:t>
      </w:r>
    </w:p>
    <w:p w14:paraId="1E170EC9"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Souza, I. T., Wildner, D. P. da S., Gazdzichi, A. K., &amp; Nink, R. F. O. (2020). THE EVOLUTION OF PSYCHOPHARMACES IN THE TREATMENT OF DEPRESSION. </w:t>
      </w:r>
      <w:r w:rsidRPr="009B721E">
        <w:rPr>
          <w:rFonts w:ascii="NewsGotT" w:hAnsi="NewsGotT"/>
          <w:i/>
          <w:iCs/>
          <w:noProof/>
        </w:rPr>
        <w:t>Brazilian Journal of Surgery and Clinical Research – BJSCR</w:t>
      </w:r>
      <w:r w:rsidRPr="009B721E">
        <w:rPr>
          <w:rFonts w:ascii="NewsGotT" w:hAnsi="NewsGotT"/>
          <w:noProof/>
        </w:rPr>
        <w:t xml:space="preserve">, </w:t>
      </w:r>
      <w:r w:rsidRPr="009B721E">
        <w:rPr>
          <w:rFonts w:ascii="NewsGotT" w:hAnsi="NewsGotT"/>
          <w:i/>
          <w:iCs/>
          <w:noProof/>
        </w:rPr>
        <w:t>33</w:t>
      </w:r>
      <w:r w:rsidRPr="009B721E">
        <w:rPr>
          <w:rFonts w:ascii="NewsGotT" w:hAnsi="NewsGotT"/>
          <w:noProof/>
        </w:rPr>
        <w:t>(2), 109–114. Retrieved from http://www.mastereditora.com.br/bjscr</w:t>
      </w:r>
    </w:p>
    <w:p w14:paraId="759EF8FA"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Stahl, S. M., Grady, M. M., Moret, C., &amp; Briley, M. (2005). SNRIs: The Pharmacology, Clinical Efficacy, and Tolerability in Comparison with Other Classes of Antidepressants. </w:t>
      </w:r>
      <w:r w:rsidRPr="009B721E">
        <w:rPr>
          <w:rFonts w:ascii="NewsGotT" w:hAnsi="NewsGotT"/>
          <w:i/>
          <w:iCs/>
          <w:noProof/>
        </w:rPr>
        <w:t>CNS Spectrums</w:t>
      </w:r>
      <w:r w:rsidRPr="009B721E">
        <w:rPr>
          <w:rFonts w:ascii="NewsGotT" w:hAnsi="NewsGotT"/>
          <w:noProof/>
        </w:rPr>
        <w:t xml:space="preserve">, </w:t>
      </w:r>
      <w:r w:rsidRPr="009B721E">
        <w:rPr>
          <w:rFonts w:ascii="NewsGotT" w:hAnsi="NewsGotT"/>
          <w:i/>
          <w:iCs/>
          <w:noProof/>
        </w:rPr>
        <w:t>10</w:t>
      </w:r>
      <w:r w:rsidRPr="009B721E">
        <w:rPr>
          <w:rFonts w:ascii="NewsGotT" w:hAnsi="NewsGotT"/>
          <w:noProof/>
        </w:rPr>
        <w:t>(9), 732–747. https://doi.org/10.1017/S1092852900019726</w:t>
      </w:r>
    </w:p>
    <w:p w14:paraId="6EC2855B"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Stewart, J., Sprivulis, P., &amp; Dwivedi, G. (2018). Artificial intelligence and machine learning in emergency medicine. </w:t>
      </w:r>
      <w:r w:rsidRPr="009B721E">
        <w:rPr>
          <w:rFonts w:ascii="NewsGotT" w:hAnsi="NewsGotT"/>
          <w:i/>
          <w:iCs/>
          <w:noProof/>
        </w:rPr>
        <w:t>EMA - Emergency Medicine Australasia</w:t>
      </w:r>
      <w:r w:rsidRPr="009B721E">
        <w:rPr>
          <w:rFonts w:ascii="NewsGotT" w:hAnsi="NewsGotT"/>
          <w:noProof/>
        </w:rPr>
        <w:t xml:space="preserve">, </w:t>
      </w:r>
      <w:r w:rsidRPr="009B721E">
        <w:rPr>
          <w:rFonts w:ascii="NewsGotT" w:hAnsi="NewsGotT"/>
          <w:i/>
          <w:iCs/>
          <w:noProof/>
        </w:rPr>
        <w:t>30</w:t>
      </w:r>
      <w:r w:rsidRPr="009B721E">
        <w:rPr>
          <w:rFonts w:ascii="NewsGotT" w:hAnsi="NewsGotT"/>
          <w:noProof/>
        </w:rPr>
        <w:t>(6), 870–874. https://doi.org/10.1111/1742-6723.13145</w:t>
      </w:r>
    </w:p>
    <w:p w14:paraId="3782DBAF"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Stoltzfus, J. C. (2011). Logistic regression: A brief primer. </w:t>
      </w:r>
      <w:r w:rsidRPr="009B721E">
        <w:rPr>
          <w:rFonts w:ascii="NewsGotT" w:hAnsi="NewsGotT"/>
          <w:i/>
          <w:iCs/>
          <w:noProof/>
        </w:rPr>
        <w:t>Academic Emergency Medicine</w:t>
      </w:r>
      <w:r w:rsidRPr="009B721E">
        <w:rPr>
          <w:rFonts w:ascii="NewsGotT" w:hAnsi="NewsGotT"/>
          <w:noProof/>
        </w:rPr>
        <w:t xml:space="preserve">, </w:t>
      </w:r>
      <w:r w:rsidRPr="009B721E">
        <w:rPr>
          <w:rFonts w:ascii="NewsGotT" w:hAnsi="NewsGotT"/>
          <w:i/>
          <w:iCs/>
          <w:noProof/>
        </w:rPr>
        <w:t>18</w:t>
      </w:r>
      <w:r w:rsidRPr="009B721E">
        <w:rPr>
          <w:rFonts w:ascii="NewsGotT" w:hAnsi="NewsGotT"/>
          <w:noProof/>
        </w:rPr>
        <w:t>(10), 1099–1104. https://doi.org/10.1111/j.1553-2712.2011.01185.x</w:t>
      </w:r>
    </w:p>
    <w:p w14:paraId="3232AA8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Swart, L. M., van der Zanden, V., Spies, P. E., de Rooij, S. E., &amp; van Munster, B. C. (2017). The Comparative Risk of Delirium with Different Opioids: A Systematic Review. </w:t>
      </w:r>
      <w:r w:rsidRPr="009B721E">
        <w:rPr>
          <w:rFonts w:ascii="NewsGotT" w:hAnsi="NewsGotT"/>
          <w:i/>
          <w:iCs/>
          <w:noProof/>
        </w:rPr>
        <w:t>Drugs &amp; Aging</w:t>
      </w:r>
      <w:r w:rsidRPr="009B721E">
        <w:rPr>
          <w:rFonts w:ascii="NewsGotT" w:hAnsi="NewsGotT"/>
          <w:noProof/>
        </w:rPr>
        <w:t xml:space="preserve">, </w:t>
      </w:r>
      <w:r w:rsidRPr="009B721E">
        <w:rPr>
          <w:rFonts w:ascii="NewsGotT" w:hAnsi="NewsGotT"/>
          <w:i/>
          <w:iCs/>
          <w:noProof/>
        </w:rPr>
        <w:t>34</w:t>
      </w:r>
      <w:r w:rsidRPr="009B721E">
        <w:rPr>
          <w:rFonts w:ascii="NewsGotT" w:hAnsi="NewsGotT"/>
          <w:noProof/>
        </w:rPr>
        <w:t>(6), 437–443. https://doi.org/10.1007/s40266-017-0455-9</w:t>
      </w:r>
    </w:p>
    <w:p w14:paraId="5CC4003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Taylor, R. A., &amp; Haimovich, A. D. (2021). Machine Learning in Emergency Medicine: Keys to Future Success. </w:t>
      </w:r>
      <w:r w:rsidRPr="009B721E">
        <w:rPr>
          <w:rFonts w:ascii="NewsGotT" w:hAnsi="NewsGotT"/>
          <w:i/>
          <w:iCs/>
          <w:noProof/>
        </w:rPr>
        <w:t>Academic Emergency Medicine</w:t>
      </w:r>
      <w:r w:rsidRPr="009B721E">
        <w:rPr>
          <w:rFonts w:ascii="NewsGotT" w:hAnsi="NewsGotT"/>
          <w:noProof/>
        </w:rPr>
        <w:t xml:space="preserve">, </w:t>
      </w:r>
      <w:r w:rsidRPr="009B721E">
        <w:rPr>
          <w:rFonts w:ascii="NewsGotT" w:hAnsi="NewsGotT"/>
          <w:i/>
          <w:iCs/>
          <w:noProof/>
        </w:rPr>
        <w:t>28</w:t>
      </w:r>
      <w:r w:rsidRPr="009B721E">
        <w:rPr>
          <w:rFonts w:ascii="NewsGotT" w:hAnsi="NewsGotT"/>
          <w:noProof/>
        </w:rPr>
        <w:t>(2), 263–267. https://doi.org/10.1111/acem.14189</w:t>
      </w:r>
    </w:p>
    <w:p w14:paraId="6649004A"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Telles-Correia, D., Guerreiro, D. F., Oliveira, S., &amp; Figueira, M. L. (2007). Diferenças farmacodinâmicas e farmacocinéticas entre os SSRI: Implicações na prática clínica. </w:t>
      </w:r>
      <w:r w:rsidRPr="009B721E">
        <w:rPr>
          <w:rFonts w:ascii="NewsGotT" w:hAnsi="NewsGotT"/>
          <w:i/>
          <w:iCs/>
          <w:noProof/>
        </w:rPr>
        <w:t>Acta Medica Portuguesa</w:t>
      </w:r>
      <w:r w:rsidRPr="009B721E">
        <w:rPr>
          <w:rFonts w:ascii="NewsGotT" w:hAnsi="NewsGotT"/>
          <w:noProof/>
        </w:rPr>
        <w:t xml:space="preserve">, </w:t>
      </w:r>
      <w:r w:rsidRPr="009B721E">
        <w:rPr>
          <w:rFonts w:ascii="NewsGotT" w:hAnsi="NewsGotT"/>
          <w:i/>
          <w:iCs/>
          <w:noProof/>
        </w:rPr>
        <w:t>20</w:t>
      </w:r>
      <w:r w:rsidRPr="009B721E">
        <w:rPr>
          <w:rFonts w:ascii="NewsGotT" w:hAnsi="NewsGotT"/>
          <w:noProof/>
        </w:rPr>
        <w:t>(2), 167–174.</w:t>
      </w:r>
    </w:p>
    <w:p w14:paraId="199D0D9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Thom, R. P., Levy-Carrick, N. C., Bui, M., &amp; Silbersweig, D. (2019). Delirium. </w:t>
      </w:r>
      <w:r w:rsidRPr="009B721E">
        <w:rPr>
          <w:rFonts w:ascii="NewsGotT" w:hAnsi="NewsGotT"/>
          <w:i/>
          <w:iCs/>
          <w:noProof/>
        </w:rPr>
        <w:t>American Journal of Psychiatry</w:t>
      </w:r>
      <w:r w:rsidRPr="009B721E">
        <w:rPr>
          <w:rFonts w:ascii="NewsGotT" w:hAnsi="NewsGotT"/>
          <w:noProof/>
        </w:rPr>
        <w:t xml:space="preserve">, </w:t>
      </w:r>
      <w:r w:rsidRPr="009B721E">
        <w:rPr>
          <w:rFonts w:ascii="NewsGotT" w:hAnsi="NewsGotT"/>
          <w:i/>
          <w:iCs/>
          <w:noProof/>
        </w:rPr>
        <w:t>176</w:t>
      </w:r>
      <w:r w:rsidRPr="009B721E">
        <w:rPr>
          <w:rFonts w:ascii="NewsGotT" w:hAnsi="NewsGotT"/>
          <w:noProof/>
        </w:rPr>
        <w:t>(10), 785–793. https://doi.org/10.1176/appi.ajp.2018.18070893</w:t>
      </w:r>
    </w:p>
    <w:p w14:paraId="391E691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9B721E">
        <w:rPr>
          <w:rFonts w:ascii="NewsGotT" w:hAnsi="NewsGotT"/>
          <w:i/>
          <w:iCs/>
          <w:noProof/>
        </w:rPr>
        <w:t>BMJ (Online)</w:t>
      </w:r>
      <w:r w:rsidRPr="009B721E">
        <w:rPr>
          <w:rFonts w:ascii="NewsGotT" w:hAnsi="NewsGotT"/>
          <w:noProof/>
        </w:rPr>
        <w:t xml:space="preserve">, </w:t>
      </w:r>
      <w:r w:rsidRPr="009B721E">
        <w:rPr>
          <w:rFonts w:ascii="NewsGotT" w:hAnsi="NewsGotT"/>
          <w:i/>
          <w:iCs/>
          <w:noProof/>
        </w:rPr>
        <w:t>344</w:t>
      </w:r>
      <w:r w:rsidRPr="009B721E">
        <w:rPr>
          <w:rFonts w:ascii="NewsGotT" w:hAnsi="NewsGotT"/>
          <w:noProof/>
        </w:rPr>
        <w:t>(7845), 17. https://doi.org/10.1136/bmj.e420</w:t>
      </w:r>
    </w:p>
    <w:p w14:paraId="5EB2630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Van Eijk, M. M. J., Van Marum, R. J., Klijn, I. A. M., De Wit, N., Kesecioglu, J., &amp; Slooter, A. J. C. (2009). Comparison of delirium assessment tools in a mixed intensive care unit. </w:t>
      </w:r>
      <w:r w:rsidRPr="009B721E">
        <w:rPr>
          <w:rFonts w:ascii="NewsGotT" w:hAnsi="NewsGotT"/>
          <w:i/>
          <w:iCs/>
          <w:noProof/>
        </w:rPr>
        <w:t>Critical Care Medicine</w:t>
      </w:r>
      <w:r w:rsidRPr="009B721E">
        <w:rPr>
          <w:rFonts w:ascii="NewsGotT" w:hAnsi="NewsGotT"/>
          <w:noProof/>
        </w:rPr>
        <w:t xml:space="preserve">, </w:t>
      </w:r>
      <w:r w:rsidRPr="009B721E">
        <w:rPr>
          <w:rFonts w:ascii="NewsGotT" w:hAnsi="NewsGotT"/>
          <w:i/>
          <w:iCs/>
          <w:noProof/>
        </w:rPr>
        <w:t>37</w:t>
      </w:r>
      <w:r w:rsidRPr="009B721E">
        <w:rPr>
          <w:rFonts w:ascii="NewsGotT" w:hAnsi="NewsGotT"/>
          <w:noProof/>
        </w:rPr>
        <w:t>(6), 1881–1885. https://doi.org/10.1097/CCM.0b013e3181a00118</w:t>
      </w:r>
    </w:p>
    <w:p w14:paraId="7C8E154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Vapnik, V. N. (2000). </w:t>
      </w:r>
      <w:r w:rsidRPr="009B721E">
        <w:rPr>
          <w:rFonts w:ascii="NewsGotT" w:hAnsi="NewsGotT"/>
          <w:i/>
          <w:iCs/>
          <w:noProof/>
        </w:rPr>
        <w:t>The Nature of Statistical Learning Theory</w:t>
      </w:r>
      <w:r w:rsidRPr="009B721E">
        <w:rPr>
          <w:rFonts w:ascii="NewsGotT" w:hAnsi="NewsGotT"/>
          <w:noProof/>
        </w:rPr>
        <w:t xml:space="preserve">. </w:t>
      </w:r>
      <w:r w:rsidRPr="009B721E">
        <w:rPr>
          <w:rFonts w:ascii="NewsGotT" w:hAnsi="NewsGotT"/>
          <w:i/>
          <w:iCs/>
          <w:noProof/>
        </w:rPr>
        <w:t>Statistics for Engineering and Information Science</w:t>
      </w:r>
      <w:r w:rsidRPr="009B721E">
        <w:rPr>
          <w:rFonts w:ascii="NewsGotT" w:hAnsi="NewsGotT"/>
          <w:noProof/>
        </w:rPr>
        <w:t xml:space="preserve"> (2nd ed.). Springer New York. Retrieved from https://ci.nii.ac.jp/naid/10020951890</w:t>
      </w:r>
    </w:p>
    <w:p w14:paraId="71D329CB"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9B721E">
        <w:rPr>
          <w:rFonts w:ascii="NewsGotT" w:hAnsi="NewsGotT"/>
          <w:i/>
          <w:iCs/>
          <w:noProof/>
        </w:rPr>
        <w:t>Nutrition</w:t>
      </w:r>
      <w:r w:rsidRPr="009B721E">
        <w:rPr>
          <w:rFonts w:ascii="NewsGotT" w:hAnsi="NewsGotT"/>
          <w:noProof/>
        </w:rPr>
        <w:t xml:space="preserve">, </w:t>
      </w:r>
      <w:r w:rsidRPr="009B721E">
        <w:rPr>
          <w:rFonts w:ascii="NewsGotT" w:hAnsi="NewsGotT"/>
          <w:i/>
          <w:iCs/>
          <w:noProof/>
        </w:rPr>
        <w:t>66</w:t>
      </w:r>
      <w:r w:rsidRPr="009B721E">
        <w:rPr>
          <w:rFonts w:ascii="NewsGotT" w:hAnsi="NewsGotT"/>
          <w:noProof/>
        </w:rPr>
        <w:t>, 227–232. https://doi.org/10.1016/j.nut.2019.06.006</w:t>
      </w:r>
    </w:p>
    <w:p w14:paraId="4CF74B41"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Vellido, A. (2020). The importance of interpretability and visualization in machine learning for applications in medicine and health care. </w:t>
      </w:r>
      <w:r w:rsidRPr="009B721E">
        <w:rPr>
          <w:rFonts w:ascii="NewsGotT" w:hAnsi="NewsGotT"/>
          <w:i/>
          <w:iCs/>
          <w:noProof/>
        </w:rPr>
        <w:t>Neural Computing and Applications</w:t>
      </w:r>
      <w:r w:rsidRPr="009B721E">
        <w:rPr>
          <w:rFonts w:ascii="NewsGotT" w:hAnsi="NewsGotT"/>
          <w:noProof/>
        </w:rPr>
        <w:t xml:space="preserve">, </w:t>
      </w:r>
      <w:r w:rsidRPr="009B721E">
        <w:rPr>
          <w:rFonts w:ascii="NewsGotT" w:hAnsi="NewsGotT"/>
          <w:i/>
          <w:iCs/>
          <w:noProof/>
        </w:rPr>
        <w:t>32</w:t>
      </w:r>
      <w:r w:rsidRPr="009B721E">
        <w:rPr>
          <w:rFonts w:ascii="NewsGotT" w:hAnsi="NewsGotT"/>
          <w:noProof/>
        </w:rPr>
        <w:t>(24), 18069–18083. https://doi.org/10.1007/s00521-019-04051-w</w:t>
      </w:r>
    </w:p>
    <w:p w14:paraId="460ED5DA"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Wang, H. R., Woo, Y. S., &amp; Bahk, W.-M. (2013). Atypical antipsychotics in the treatment of delirium. </w:t>
      </w:r>
      <w:r w:rsidRPr="009B721E">
        <w:rPr>
          <w:rFonts w:ascii="NewsGotT" w:hAnsi="NewsGotT"/>
          <w:i/>
          <w:iCs/>
          <w:noProof/>
        </w:rPr>
        <w:t>Psychiatry and Clinical Neurosciences</w:t>
      </w:r>
      <w:r w:rsidRPr="009B721E">
        <w:rPr>
          <w:rFonts w:ascii="NewsGotT" w:hAnsi="NewsGotT"/>
          <w:noProof/>
        </w:rPr>
        <w:t xml:space="preserve">, </w:t>
      </w:r>
      <w:r w:rsidRPr="009B721E">
        <w:rPr>
          <w:rFonts w:ascii="NewsGotT" w:hAnsi="NewsGotT"/>
          <w:i/>
          <w:iCs/>
          <w:noProof/>
        </w:rPr>
        <w:t>67</w:t>
      </w:r>
      <w:r w:rsidRPr="009B721E">
        <w:rPr>
          <w:rFonts w:ascii="NewsGotT" w:hAnsi="NewsGotT"/>
          <w:noProof/>
        </w:rPr>
        <w:t>(5), 323–331. https://doi.org/10.1111/pcn.12066</w:t>
      </w:r>
    </w:p>
    <w:p w14:paraId="422EF2D9"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Wassenaar, A., Van Den Boogaard, M., Schoonhoven, L., Donders, R., &amp; Pickkers, P. (2017). Delirium prediction in the intensive care unit: Head to head comparison of two delirium prediction models. </w:t>
      </w:r>
      <w:r w:rsidRPr="009B721E">
        <w:rPr>
          <w:rFonts w:ascii="NewsGotT" w:hAnsi="NewsGotT"/>
          <w:i/>
          <w:iCs/>
          <w:noProof/>
        </w:rPr>
        <w:t>Intensive Care Medicine Experimental</w:t>
      </w:r>
      <w:r w:rsidRPr="009B721E">
        <w:rPr>
          <w:rFonts w:ascii="NewsGotT" w:hAnsi="NewsGotT"/>
          <w:noProof/>
        </w:rPr>
        <w:t xml:space="preserve">, </w:t>
      </w:r>
      <w:r w:rsidRPr="009B721E">
        <w:rPr>
          <w:rFonts w:ascii="NewsGotT" w:hAnsi="NewsGotT"/>
          <w:i/>
          <w:iCs/>
          <w:noProof/>
        </w:rPr>
        <w:t>5</w:t>
      </w:r>
      <w:r w:rsidRPr="009B721E">
        <w:rPr>
          <w:rFonts w:ascii="NewsGotT" w:hAnsi="NewsGotT"/>
          <w:noProof/>
        </w:rPr>
        <w:t>(2), 1–9. Retrieved from http://www.embase.com/search/results?subaction=viewrecord&amp;from=export&amp;id=L619043579%0</w:t>
      </w:r>
      <w:r w:rsidRPr="009B721E">
        <w:rPr>
          <w:rFonts w:ascii="NewsGotT" w:hAnsi="NewsGotT"/>
          <w:noProof/>
        </w:rPr>
        <w:lastRenderedPageBreak/>
        <w:t>Ahttp://dx.doi.org/10.1186/s40635-017-0151-4%0Ahttp://sfx.library.uu.nl/utrecht?sid=EMBASE&amp;issn=2197425X&amp;id=doi:10.1186%2Fs40635-017-0151-4&amp;atitle=Delirium+prediction+in+</w:t>
      </w:r>
    </w:p>
    <w:p w14:paraId="1E2742D4"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9B721E">
        <w:rPr>
          <w:rFonts w:ascii="NewsGotT" w:hAnsi="NewsGotT"/>
          <w:i/>
          <w:iCs/>
          <w:noProof/>
        </w:rPr>
        <w:t>Intensive Care Medicine</w:t>
      </w:r>
      <w:r w:rsidRPr="009B721E">
        <w:rPr>
          <w:rFonts w:ascii="NewsGotT" w:hAnsi="NewsGotT"/>
          <w:noProof/>
        </w:rPr>
        <w:t xml:space="preserve">, </w:t>
      </w:r>
      <w:r w:rsidRPr="009B721E">
        <w:rPr>
          <w:rFonts w:ascii="NewsGotT" w:hAnsi="NewsGotT"/>
          <w:i/>
          <w:iCs/>
          <w:noProof/>
        </w:rPr>
        <w:t>41</w:t>
      </w:r>
      <w:r w:rsidRPr="009B721E">
        <w:rPr>
          <w:rFonts w:ascii="NewsGotT" w:hAnsi="NewsGotT"/>
          <w:noProof/>
        </w:rPr>
        <w:t>(6), 1048–1056. https://doi.org/10.1007/s00134-015-3777-2</w:t>
      </w:r>
    </w:p>
    <w:p w14:paraId="633B8A3E"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WHO, &amp; EMRO. (2005). </w:t>
      </w:r>
      <w:r w:rsidRPr="009B721E">
        <w:rPr>
          <w:rFonts w:ascii="NewsGotT" w:hAnsi="NewsGotT"/>
          <w:i/>
          <w:iCs/>
          <w:noProof/>
        </w:rPr>
        <w:t>Clinical guidelines for the management od hypertension</w:t>
      </w:r>
      <w:r w:rsidRPr="009B721E">
        <w:rPr>
          <w:rFonts w:ascii="NewsGotT" w:hAnsi="NewsGotT"/>
          <w:noProof/>
        </w:rPr>
        <w:t>. Retrieved from https://apps.who.int/iris/handle/10665/119738</w:t>
      </w:r>
    </w:p>
    <w:p w14:paraId="7E335472"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Wilson, J. E., Mart, M. F., Cunningham, C., Shehabi, Y., Girard, T. D., MacLullich, A. M. J., … Ely, E. W. (2020). Delirium. </w:t>
      </w:r>
      <w:r w:rsidRPr="009B721E">
        <w:rPr>
          <w:rFonts w:ascii="NewsGotT" w:hAnsi="NewsGotT"/>
          <w:i/>
          <w:iCs/>
          <w:noProof/>
        </w:rPr>
        <w:t>Nature Reviews Disease Primers</w:t>
      </w:r>
      <w:r w:rsidRPr="009B721E">
        <w:rPr>
          <w:rFonts w:ascii="NewsGotT" w:hAnsi="NewsGotT"/>
          <w:noProof/>
        </w:rPr>
        <w:t xml:space="preserve">, </w:t>
      </w:r>
      <w:r w:rsidRPr="009B721E">
        <w:rPr>
          <w:rFonts w:ascii="NewsGotT" w:hAnsi="NewsGotT"/>
          <w:i/>
          <w:iCs/>
          <w:noProof/>
        </w:rPr>
        <w:t>6</w:t>
      </w:r>
      <w:r w:rsidRPr="009B721E">
        <w:rPr>
          <w:rFonts w:ascii="NewsGotT" w:hAnsi="NewsGotT"/>
          <w:noProof/>
        </w:rPr>
        <w:t>(1), 90. https://doi.org/10.1038/s41572-020-00223-4</w:t>
      </w:r>
    </w:p>
    <w:p w14:paraId="123B972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Wilson, K., Broadhurst, C., Diver, M., Jackson, M., &amp; Mottram, P. (2005). Plasma insulin growth factor - 1 and incident delirium in older people. </w:t>
      </w:r>
      <w:r w:rsidRPr="009B721E">
        <w:rPr>
          <w:rFonts w:ascii="NewsGotT" w:hAnsi="NewsGotT"/>
          <w:i/>
          <w:iCs/>
          <w:noProof/>
        </w:rPr>
        <w:t>International Journal of Geriatric Psychiatry</w:t>
      </w:r>
      <w:r w:rsidRPr="009B721E">
        <w:rPr>
          <w:rFonts w:ascii="NewsGotT" w:hAnsi="NewsGotT"/>
          <w:noProof/>
        </w:rPr>
        <w:t xml:space="preserve">, </w:t>
      </w:r>
      <w:r w:rsidRPr="009B721E">
        <w:rPr>
          <w:rFonts w:ascii="NewsGotT" w:hAnsi="NewsGotT"/>
          <w:i/>
          <w:iCs/>
          <w:noProof/>
        </w:rPr>
        <w:t>20</w:t>
      </w:r>
      <w:r w:rsidRPr="009B721E">
        <w:rPr>
          <w:rFonts w:ascii="NewsGotT" w:hAnsi="NewsGotT"/>
          <w:noProof/>
        </w:rPr>
        <w:t>(2), 154–159. https://doi.org/10.1002/gps.1265</w:t>
      </w:r>
    </w:p>
    <w:p w14:paraId="1322387E"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Wirth, R., &amp; Hipp, J. (2000). CRISP-DM</w:t>
      </w:r>
      <w:r w:rsidRPr="009B721E">
        <w:rPr>
          <w:noProof/>
        </w:rPr>
        <w:t> </w:t>
      </w:r>
      <w:r w:rsidRPr="009B721E">
        <w:rPr>
          <w:rFonts w:ascii="NewsGotT" w:hAnsi="NewsGotT"/>
          <w:noProof/>
        </w:rPr>
        <w:t xml:space="preserve">: Towards a Standard Process Model for Data Mining. </w:t>
      </w:r>
      <w:r w:rsidRPr="009B721E">
        <w:rPr>
          <w:rFonts w:ascii="NewsGotT" w:hAnsi="NewsGotT"/>
          <w:i/>
          <w:iCs/>
          <w:noProof/>
        </w:rPr>
        <w:t>Proceedings of the Fourth International Conference on the Practical Application of Knowledge Discovery and Data Mining</w:t>
      </w:r>
      <w:r w:rsidRPr="009B721E">
        <w:rPr>
          <w:rFonts w:ascii="NewsGotT" w:hAnsi="NewsGotT"/>
          <w:noProof/>
        </w:rPr>
        <w:t>, (24959), 29–39.</w:t>
      </w:r>
    </w:p>
    <w:p w14:paraId="22DDE948"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9B721E">
        <w:rPr>
          <w:rFonts w:ascii="NewsGotT" w:hAnsi="NewsGotT"/>
          <w:i/>
          <w:iCs/>
          <w:noProof/>
        </w:rPr>
        <w:t>JAMA - Journal of the American Medical Association</w:t>
      </w:r>
      <w:r w:rsidRPr="009B721E">
        <w:rPr>
          <w:rFonts w:ascii="NewsGotT" w:hAnsi="NewsGotT"/>
          <w:noProof/>
        </w:rPr>
        <w:t xml:space="preserve">, </w:t>
      </w:r>
      <w:r w:rsidRPr="009B721E">
        <w:rPr>
          <w:rFonts w:ascii="NewsGotT" w:hAnsi="NewsGotT"/>
          <w:i/>
          <w:iCs/>
          <w:noProof/>
        </w:rPr>
        <w:t>304</w:t>
      </w:r>
      <w:r w:rsidRPr="009B721E">
        <w:rPr>
          <w:rFonts w:ascii="NewsGotT" w:hAnsi="NewsGotT"/>
          <w:noProof/>
        </w:rPr>
        <w:t>(4), 443–451. https://doi.org/10.1001/jama.2010.1013</w:t>
      </w:r>
    </w:p>
    <w:p w14:paraId="364B28C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9B721E">
        <w:rPr>
          <w:rFonts w:ascii="NewsGotT" w:hAnsi="NewsGotT"/>
          <w:i/>
          <w:iCs/>
          <w:noProof/>
        </w:rPr>
        <w:t>JAMA Network Open</w:t>
      </w:r>
      <w:r w:rsidRPr="009B721E">
        <w:rPr>
          <w:rFonts w:ascii="NewsGotT" w:hAnsi="NewsGotT"/>
          <w:noProof/>
        </w:rPr>
        <w:t xml:space="preserve">, </w:t>
      </w:r>
      <w:r w:rsidRPr="009B721E">
        <w:rPr>
          <w:rFonts w:ascii="NewsGotT" w:hAnsi="NewsGotT"/>
          <w:i/>
          <w:iCs/>
          <w:noProof/>
        </w:rPr>
        <w:t>1</w:t>
      </w:r>
      <w:r w:rsidRPr="009B721E">
        <w:rPr>
          <w:rFonts w:ascii="NewsGotT" w:hAnsi="NewsGotT"/>
          <w:noProof/>
        </w:rPr>
        <w:t>(4), e181018. https://doi.org/10.1001/jamanetworkopen.2018.1018</w:t>
      </w:r>
    </w:p>
    <w:p w14:paraId="7C6827EA"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Wong, C. L., Holroyd-Leduc, J., Simel, D. L., &amp; Straus, S. E. (2010). Does this patient have delirium?: value of bedside instruments. </w:t>
      </w:r>
      <w:r w:rsidRPr="009B721E">
        <w:rPr>
          <w:rFonts w:ascii="NewsGotT" w:hAnsi="NewsGotT"/>
          <w:i/>
          <w:iCs/>
          <w:noProof/>
        </w:rPr>
        <w:t>Jama</w:t>
      </w:r>
      <w:r w:rsidRPr="009B721E">
        <w:rPr>
          <w:rFonts w:ascii="NewsGotT" w:hAnsi="NewsGotT"/>
          <w:noProof/>
        </w:rPr>
        <w:t xml:space="preserve">, </w:t>
      </w:r>
      <w:r w:rsidRPr="009B721E">
        <w:rPr>
          <w:rFonts w:ascii="NewsGotT" w:hAnsi="NewsGotT"/>
          <w:i/>
          <w:iCs/>
          <w:noProof/>
        </w:rPr>
        <w:t>304</w:t>
      </w:r>
      <w:r w:rsidRPr="009B721E">
        <w:rPr>
          <w:rFonts w:ascii="NewsGotT" w:hAnsi="NewsGotT"/>
          <w:noProof/>
        </w:rPr>
        <w:t>(7), 779–786.</w:t>
      </w:r>
    </w:p>
    <w:p w14:paraId="42D0431B"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Xia, H., Wang, C., Yan, L., Dong, X., &amp; Wang, Y. (2019). Machine Learning Based Medicine Distribution System. In </w:t>
      </w:r>
      <w:r w:rsidRPr="009B721E">
        <w:rPr>
          <w:rFonts w:ascii="NewsGotT" w:hAnsi="NewsGotT"/>
          <w:i/>
          <w:iCs/>
          <w:noProof/>
        </w:rPr>
        <w:t>Proceedings of the 2019 10th IEEE International Conference on Intelligent Data Acquisition and Advanced Computing Systems: Technology and Applications, IDAACS 2019</w:t>
      </w:r>
      <w:r w:rsidRPr="009B721E">
        <w:rPr>
          <w:rFonts w:ascii="NewsGotT" w:hAnsi="NewsGotT"/>
          <w:noProof/>
        </w:rPr>
        <w:t xml:space="preserve"> (Vol. 2, pp. 912–915). IEEE. https://doi.org/10.1109/IDAACS.2019.8924236</w:t>
      </w:r>
    </w:p>
    <w:p w14:paraId="4AAB2977"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9B721E">
        <w:rPr>
          <w:rFonts w:ascii="NewsGotT" w:hAnsi="NewsGotT"/>
          <w:i/>
          <w:iCs/>
          <w:noProof/>
        </w:rPr>
        <w:t>JAMA Network Open</w:t>
      </w:r>
      <w:r w:rsidRPr="009B721E">
        <w:rPr>
          <w:rFonts w:ascii="NewsGotT" w:hAnsi="NewsGotT"/>
          <w:noProof/>
        </w:rPr>
        <w:t xml:space="preserve">, </w:t>
      </w:r>
      <w:r w:rsidRPr="009B721E">
        <w:rPr>
          <w:rFonts w:ascii="NewsGotT" w:hAnsi="NewsGotT"/>
          <w:i/>
          <w:iCs/>
          <w:noProof/>
        </w:rPr>
        <w:t>4</w:t>
      </w:r>
      <w:r w:rsidRPr="009B721E">
        <w:rPr>
          <w:rFonts w:ascii="NewsGotT" w:hAnsi="NewsGotT"/>
          <w:noProof/>
        </w:rPr>
        <w:t>(3), e212240. https://doi.org/10.1001/jamanetworkopen.2021.2240</w:t>
      </w:r>
    </w:p>
    <w:p w14:paraId="23629F16" w14:textId="77777777" w:rsidR="009B721E" w:rsidRPr="009B721E" w:rsidRDefault="009B721E" w:rsidP="009B721E">
      <w:pPr>
        <w:widowControl w:val="0"/>
        <w:autoSpaceDE w:val="0"/>
        <w:autoSpaceDN w:val="0"/>
        <w:adjustRightInd w:val="0"/>
        <w:ind w:left="480" w:hanging="480"/>
        <w:rPr>
          <w:rFonts w:ascii="NewsGotT" w:hAnsi="NewsGotT"/>
          <w:noProof/>
        </w:rPr>
      </w:pPr>
      <w:r w:rsidRPr="009B721E">
        <w:rPr>
          <w:rFonts w:ascii="NewsGotT" w:hAnsi="NewsGotT"/>
          <w:noProof/>
        </w:rPr>
        <w:t xml:space="preserve">Yanagihara, H., Kamo, K. I., Imori, S., &amp; Satoh, K. (2012). Bias-corrected AIC for selecting variables in multinomial logistic regression models. </w:t>
      </w:r>
      <w:r w:rsidRPr="009B721E">
        <w:rPr>
          <w:rFonts w:ascii="NewsGotT" w:hAnsi="NewsGotT"/>
          <w:i/>
          <w:iCs/>
          <w:noProof/>
        </w:rPr>
        <w:t>Linear Algebra and Its Applications</w:t>
      </w:r>
      <w:r w:rsidRPr="009B721E">
        <w:rPr>
          <w:rFonts w:ascii="NewsGotT" w:hAnsi="NewsGotT"/>
          <w:noProof/>
        </w:rPr>
        <w:t xml:space="preserve">, </w:t>
      </w:r>
      <w:r w:rsidRPr="009B721E">
        <w:rPr>
          <w:rFonts w:ascii="NewsGotT" w:hAnsi="NewsGotT"/>
          <w:i/>
          <w:iCs/>
          <w:noProof/>
        </w:rPr>
        <w:t>436</w:t>
      </w:r>
      <w:r w:rsidRPr="009B721E">
        <w:rPr>
          <w:rFonts w:ascii="NewsGotT" w:hAnsi="NewsGotT"/>
          <w:noProof/>
        </w:rPr>
        <w:t>(11), 4329–4341. https://doi.org/10.1016/j.laa.2012.01.018</w:t>
      </w:r>
    </w:p>
    <w:p w14:paraId="4439A721" w14:textId="197DD534" w:rsidR="00C75460" w:rsidRPr="001264D6" w:rsidRDefault="00C75460" w:rsidP="009B721E">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5F451" w14:textId="77777777" w:rsidR="00BF2845" w:rsidRDefault="00BF2845" w:rsidP="00E21F02">
      <w:r>
        <w:separator/>
      </w:r>
    </w:p>
  </w:endnote>
  <w:endnote w:type="continuationSeparator" w:id="0">
    <w:p w14:paraId="6734FA9B" w14:textId="77777777" w:rsidR="00BF2845" w:rsidRDefault="00BF2845"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876C74" w14:textId="77777777" w:rsidR="00BF2845" w:rsidRDefault="00BF2845" w:rsidP="00E21F02">
      <w:r>
        <w:separator/>
      </w:r>
    </w:p>
  </w:footnote>
  <w:footnote w:type="continuationSeparator" w:id="0">
    <w:p w14:paraId="2C2BA178" w14:textId="77777777" w:rsidR="00BF2845" w:rsidRDefault="00BF2845"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3A2C"/>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845"/>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63EF"/>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DFF"/>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104</Pages>
  <Words>128492</Words>
  <Characters>754250</Characters>
  <Application>Microsoft Office Word</Application>
  <DocSecurity>0</DocSecurity>
  <Lines>22183</Lines>
  <Paragraphs>9808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872934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138</cp:revision>
  <cp:lastPrinted>2021-08-06T22:21:00Z</cp:lastPrinted>
  <dcterms:created xsi:type="dcterms:W3CDTF">2021-08-06T22:21:00Z</dcterms:created>
  <dcterms:modified xsi:type="dcterms:W3CDTF">2021-08-22T09:09:00Z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