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r w:rsidRPr="001264D6">
        <w:rPr>
          <w:rFonts w:ascii="NewsGotT" w:hAnsi="NewsGotT"/>
          <w:b/>
          <w:i/>
          <w:iCs/>
          <w:color w:val="595959" w:themeColor="text1" w:themeTint="A6"/>
          <w:sz w:val="34"/>
          <w:szCs w:val="34"/>
          <w:lang w:val="pt-PT"/>
        </w:rPr>
        <w:t>machine</w:t>
      </w:r>
      <w:r w:rsidRPr="001264D6">
        <w:rPr>
          <w:rFonts w:ascii="NewsGotT" w:hAnsi="NewsGotT"/>
          <w:b/>
          <w:color w:val="595959" w:themeColor="text1" w:themeTint="A6"/>
          <w:sz w:val="34"/>
          <w:szCs w:val="34"/>
          <w:lang w:val="pt-PT"/>
        </w:rPr>
        <w:t xml:space="preserve"> </w:t>
      </w:r>
      <w:r w:rsidRPr="001264D6">
        <w:rPr>
          <w:rFonts w:ascii="NewsGotT" w:hAnsi="NewsGotT"/>
          <w:b/>
          <w:i/>
          <w:iCs/>
          <w:color w:val="595959" w:themeColor="text1" w:themeTint="A6"/>
          <w:sz w:val="34"/>
          <w:szCs w:val="34"/>
          <w:lang w:val="pt-PT"/>
        </w:rPr>
        <w:t>learning</w:t>
      </w:r>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 xml:space="preserve">José António Briote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Caso o utilizador necessite de permissão para poder fazer um uso do trabalho em condições não previstas no licenciamento indicado, deverá contactar o autor, através do RepositóriUM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 xml:space="preserve">Atribuição-NãoComercial-SemDerivações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r w:rsidRPr="001264D6">
        <w:rPr>
          <w:rFonts w:ascii="NewsGotT" w:hAnsi="NewsGotT"/>
          <w:b/>
          <w:i/>
          <w:iCs/>
          <w:sz w:val="36"/>
          <w:szCs w:val="36"/>
          <w:lang w:val="pt-PT"/>
        </w:rPr>
        <w:t>machine learning</w:t>
      </w:r>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r w:rsidR="00346959" w:rsidRPr="001264D6">
        <w:rPr>
          <w:rFonts w:ascii="NewsGotT" w:hAnsi="NewsGotT"/>
          <w:b/>
          <w:i/>
          <w:iCs/>
          <w:sz w:val="36"/>
          <w:szCs w:val="36"/>
          <w:lang w:val="pt-PT"/>
        </w:rPr>
        <w:t>machine learning</w:t>
      </w:r>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r w:rsidRPr="001264D6">
        <w:rPr>
          <w:lang w:val="pt-PT"/>
        </w:rPr>
        <w:t>Abstract</w:t>
      </w:r>
      <w:bookmarkEnd w:id="3"/>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Keywords</w:t>
      </w:r>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r w:rsidRPr="001264D6">
        <w:rPr>
          <w:rFonts w:ascii="NewsGotT" w:hAnsi="NewsGotT"/>
        </w:rPr>
        <w:t>Antidepressivos Tricíclicos</w:t>
      </w:r>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r w:rsidRPr="001264D6">
        <w:rPr>
          <w:rFonts w:ascii="NewsGotT" w:hAnsi="NewsGotT"/>
          <w:i/>
          <w:iCs/>
        </w:rPr>
        <w:t xml:space="preserve">Defense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GABA -- Ácido Gama-AminoButírico</w:t>
      </w:r>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r w:rsidRPr="001264D6">
        <w:rPr>
          <w:rFonts w:ascii="NewsGotT" w:hAnsi="NewsGotT"/>
          <w:i/>
          <w:iCs/>
          <w:lang w:val="pt-BR"/>
        </w:rPr>
        <w:t>International Classification of Diseases</w:t>
      </w:r>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ISRS -- Inibidores seletivos de recaptação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ISRSN -- Inibidores seletivos da recaptação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r w:rsidRPr="001264D6">
        <w:rPr>
          <w:rFonts w:ascii="NewsGotT" w:hAnsi="NewsGotT"/>
          <w:i/>
          <w:iCs/>
          <w:color w:val="000000" w:themeColor="text1"/>
          <w:sz w:val="23"/>
          <w:szCs w:val="23"/>
        </w:rPr>
        <w:t xml:space="preserve">PREdiction of DELIRium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r w:rsidRPr="001264D6">
        <w:rPr>
          <w:rFonts w:ascii="NewsGotT" w:hAnsi="NewsGotT"/>
          <w:i/>
          <w:iCs/>
          <w:lang w:val="pt-BR" w:eastAsia="x-none"/>
        </w:rPr>
        <w:t>Random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r w:rsidRPr="001264D6">
        <w:rPr>
          <w:rFonts w:ascii="NewsGotT" w:hAnsi="NewsGotT"/>
          <w:i/>
          <w:iCs/>
          <w:lang w:val="pt-BR" w:eastAsia="x-none"/>
        </w:rPr>
        <w:t>Receiver Operating Characteristic</w:t>
      </w:r>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r w:rsidRPr="001264D6">
        <w:rPr>
          <w:rFonts w:ascii="NewsGotT" w:hAnsi="NewsGotT"/>
          <w:i/>
          <w:iCs/>
          <w:lang w:val="pt-PT" w:eastAsia="x-none"/>
        </w:rPr>
        <w:t>Support Vector Machine</w:t>
      </w:r>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r w:rsidRPr="001264D6">
        <w:rPr>
          <w:rFonts w:ascii="NewsGotT" w:hAnsi="NewsGotT"/>
          <w:b/>
          <w:bCs/>
          <w:color w:val="C00000"/>
          <w:lang w:val="pt-PT"/>
        </w:rPr>
        <w:t>morbi-mortalidade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r w:rsidRPr="001264D6">
        <w:rPr>
          <w:rFonts w:ascii="NewsGotT" w:hAnsi="NewsGotT"/>
          <w:i/>
          <w:iCs/>
          <w:lang w:val="pt-PT"/>
        </w:rPr>
        <w:t>machine learning</w:t>
      </w:r>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(Cross Industry Standard Process for Data Mining)</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Data Mining</w:t>
      </w:r>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r w:rsidR="008B782B" w:rsidRPr="001264D6">
        <w:rPr>
          <w:rFonts w:ascii="NewsGotT" w:hAnsi="NewsGotT"/>
          <w:i/>
          <w:iCs/>
          <w:lang w:val="pt-PT"/>
        </w:rPr>
        <w:t>machine learning</w:t>
      </w:r>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r w:rsidR="00130171" w:rsidRPr="00130171">
        <w:rPr>
          <w:rFonts w:ascii="NewsGotT" w:hAnsi="NewsGotT"/>
          <w:b/>
          <w:bCs/>
          <w:lang w:val="pt-BR"/>
        </w:rPr>
        <w:t>Error! Reference source not found.</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random forest</w:t>
      </w:r>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r w:rsidRPr="001264D6">
        <w:rPr>
          <w:rFonts w:ascii="NewsGotT" w:hAnsi="NewsGotT"/>
          <w:i/>
          <w:iCs/>
          <w:lang w:val="pt-PT"/>
        </w:rPr>
        <w:t>Machine Learning</w:t>
      </w:r>
      <w:bookmarkEnd w:id="15"/>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Vellido,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r w:rsidR="00253346" w:rsidRPr="001264D6">
        <w:rPr>
          <w:rFonts w:ascii="NewsGotT" w:hAnsi="NewsGotT"/>
          <w:lang w:val="pt-PT" w:eastAsia="x-none"/>
        </w:rPr>
        <w:t>Kareemi et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r w:rsidR="00265823" w:rsidRPr="001264D6">
        <w:rPr>
          <w:rFonts w:ascii="NewsGotT" w:hAnsi="NewsGotT"/>
          <w:lang w:val="pt-PT"/>
        </w:rPr>
        <w:t>Warren McCulloch e Walter Pitts</w:t>
      </w:r>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No ano de 1950, Alan Turing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r w:rsidR="00E761D2" w:rsidRPr="001264D6">
        <w:rPr>
          <w:rFonts w:ascii="NewsGotT" w:hAnsi="NewsGotT"/>
          <w:i/>
          <w:iCs/>
          <w:lang w:val="pt-PT"/>
        </w:rPr>
        <w:t>Computing Machinery and Intelligence</w:t>
      </w:r>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“Teste de Turing”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Rosenblatt, em 1958, concebeu a primeira rede neural artificial chamada </w:t>
      </w:r>
      <w:r w:rsidR="00E573D3" w:rsidRPr="001264D6">
        <w:rPr>
          <w:rFonts w:ascii="NewsGotT" w:hAnsi="NewsGotT"/>
          <w:lang w:val="pt-PT"/>
        </w:rPr>
        <w:t>“</w:t>
      </w:r>
      <w:r w:rsidR="00E573D3" w:rsidRPr="001264D6">
        <w:rPr>
          <w:rFonts w:ascii="NewsGotT" w:hAnsi="NewsGotT"/>
          <w:i/>
          <w:iCs/>
          <w:lang w:val="pt-PT"/>
        </w:rPr>
        <w:t xml:space="preserve">The </w:t>
      </w:r>
      <w:r w:rsidRPr="001264D6">
        <w:rPr>
          <w:rFonts w:ascii="NewsGotT" w:hAnsi="NewsGotT"/>
          <w:i/>
          <w:iCs/>
          <w:lang w:val="pt-PT"/>
        </w:rPr>
        <w:t>Perceptron</w:t>
      </w:r>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Newell &amp; Rosenbloom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r w:rsidRPr="001264D6">
        <w:rPr>
          <w:rFonts w:ascii="NewsGotT" w:hAnsi="NewsGotT"/>
          <w:i/>
          <w:iCs/>
          <w:lang w:val="pt-PT"/>
        </w:rPr>
        <w:t>Deep Blue</w:t>
      </w:r>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(Defense Advanced Research Projects Agency)</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r w:rsidR="00254D0B" w:rsidRPr="001264D6">
        <w:rPr>
          <w:rFonts w:ascii="NewsGotT" w:hAnsi="NewsGotT"/>
          <w:i/>
          <w:iCs/>
          <w:lang w:val="pt-PT"/>
        </w:rPr>
        <w:t>LifeLog</w:t>
      </w:r>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“Amazon Machine Learning Platform”</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Prime Air</w:t>
      </w:r>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Amazon Go</w:t>
      </w:r>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r w:rsidRPr="001264D6">
        <w:rPr>
          <w:rFonts w:ascii="NewsGotT" w:hAnsi="NewsGotT"/>
        </w:rPr>
        <w:t xml:space="preserve">Uso de </w:t>
      </w:r>
      <w:r w:rsidRPr="001264D6">
        <w:rPr>
          <w:rFonts w:ascii="NewsGotT" w:hAnsi="NewsGotT"/>
          <w:i/>
          <w:iCs/>
        </w:rPr>
        <w:t>Machine Learning</w:t>
      </w:r>
      <w:r w:rsidRPr="001264D6">
        <w:rPr>
          <w:rFonts w:ascii="NewsGotT" w:hAnsi="NewsGotT"/>
        </w:rPr>
        <w:t xml:space="preserve">  na medicina</w:t>
      </w:r>
      <w:bookmarkEnd w:id="17"/>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r w:rsidRPr="001264D6">
        <w:rPr>
          <w:rFonts w:ascii="NewsGotT" w:hAnsi="NewsGotT"/>
          <w:i/>
          <w:iCs/>
          <w:lang w:val="pt-PT"/>
        </w:rPr>
        <w:t xml:space="preserve">random forest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r w:rsidRPr="001264D6">
        <w:rPr>
          <w:rFonts w:ascii="NewsGotT" w:hAnsi="NewsGotT"/>
          <w:i/>
          <w:iCs/>
          <w:lang w:val="pt-BR" w:eastAsia="x-none"/>
        </w:rPr>
        <w:t>Confusion Assessment Method</w:t>
      </w:r>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Delirium Observation Screening Scale</w:t>
      </w:r>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r w:rsidRPr="001264D6">
        <w:rPr>
          <w:rFonts w:ascii="NewsGotT" w:hAnsi="NewsGotT"/>
          <w:i/>
          <w:iCs/>
          <w:lang w:val="pt-BR"/>
        </w:rPr>
        <w:t>Confusion Assessment Method for the Intensive Care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r w:rsidRPr="001264D6">
        <w:rPr>
          <w:rFonts w:ascii="NewsGotT" w:hAnsi="NewsGotT"/>
          <w:i/>
          <w:iCs/>
          <w:lang w:val="pt-PT"/>
        </w:rPr>
        <w:t>Gradient Boosting Machine</w:t>
      </w:r>
      <w:r w:rsidRPr="001264D6">
        <w:rPr>
          <w:rFonts w:ascii="NewsGotT" w:hAnsi="NewsGotT"/>
          <w:lang w:val="pt-PT"/>
        </w:rPr>
        <w:t xml:space="preserve"> (GBM), </w:t>
      </w:r>
      <w:r w:rsidRPr="001264D6">
        <w:rPr>
          <w:rFonts w:ascii="NewsGotT" w:hAnsi="NewsGotT"/>
          <w:i/>
          <w:iCs/>
          <w:lang w:val="pt-PT"/>
        </w:rPr>
        <w:t>Gaussian Naïve Bayes</w:t>
      </w:r>
      <w:r w:rsidRPr="001264D6">
        <w:rPr>
          <w:rFonts w:ascii="NewsGotT" w:hAnsi="NewsGotT"/>
          <w:lang w:val="pt-PT"/>
        </w:rPr>
        <w:t xml:space="preserve"> (GNB), </w:t>
      </w:r>
      <w:r w:rsidRPr="001264D6">
        <w:rPr>
          <w:rFonts w:ascii="NewsGotT" w:hAnsi="NewsGotT"/>
          <w:i/>
          <w:iCs/>
          <w:lang w:val="pt-PT"/>
        </w:rPr>
        <w:t>Support Vector Machine</w:t>
      </w:r>
      <w:r w:rsidRPr="001264D6">
        <w:rPr>
          <w:rFonts w:ascii="NewsGotT" w:hAnsi="NewsGotT"/>
          <w:lang w:val="pt-PT"/>
        </w:rPr>
        <w:t xml:space="preserve"> (SVM), e K </w:t>
      </w:r>
      <w:r w:rsidRPr="001264D6">
        <w:rPr>
          <w:rFonts w:ascii="NewsGotT" w:hAnsi="NewsGotT"/>
          <w:i/>
          <w:iCs/>
          <w:lang w:val="pt-PT"/>
        </w:rPr>
        <w:t>Nearest Neighbor</w:t>
      </w:r>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(PREdiction of DELIRium for Intensive Care patients)</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(Acute Physiology and Chronic Health Evaluation-II)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(Early PREdiction of DELIRium for Intensive Care patients)</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Delirium prediction in the intensive care unit: comparison of two delirium prediction models</w:t>
      </w:r>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obras datam de 460-366 a.c.</w:t>
      </w:r>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"deliro-delirar</w:t>
      </w:r>
      <w:r w:rsidRPr="001264D6">
        <w:rPr>
          <w:rFonts w:ascii="NewsGotT" w:hAnsi="NewsGotT"/>
          <w:sz w:val="23"/>
          <w:szCs w:val="23"/>
          <w:lang w:val="pt-PT"/>
        </w:rPr>
        <w:t xml:space="preserve">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Aulus Cornelius Celsus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d.c</w:t>
      </w:r>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Aretaeus,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r w:rsidR="002D4A7C" w:rsidRPr="001264D6">
        <w:rPr>
          <w:rFonts w:ascii="NewsGotT" w:hAnsi="NewsGotT"/>
          <w:sz w:val="23"/>
          <w:szCs w:val="23"/>
          <w:lang w:val="pt-PT"/>
        </w:rPr>
        <w:t>Barrough,</w:t>
      </w:r>
      <w:r w:rsidRPr="001264D6">
        <w:rPr>
          <w:rFonts w:ascii="NewsGotT" w:hAnsi="NewsGotT"/>
          <w:sz w:val="23"/>
          <w:szCs w:val="23"/>
          <w:lang w:val="pt-PT"/>
        </w:rPr>
        <w:t xml:space="preserve"> </w:t>
      </w:r>
      <w:r w:rsidR="002D4A7C" w:rsidRPr="001264D6">
        <w:rPr>
          <w:rFonts w:ascii="NewsGotT" w:hAnsi="NewsGotT"/>
          <w:sz w:val="23"/>
          <w:szCs w:val="23"/>
          <w:lang w:val="pt-PT"/>
        </w:rPr>
        <w:t>entitulado</w:t>
      </w:r>
      <w:r w:rsidRPr="001264D6">
        <w:rPr>
          <w:rFonts w:ascii="NewsGotT" w:hAnsi="NewsGotT"/>
          <w:sz w:val="23"/>
          <w:szCs w:val="23"/>
          <w:lang w:val="pt-PT"/>
        </w:rPr>
        <w:t xml:space="preserve"> </w:t>
      </w:r>
      <w:r w:rsidRPr="001264D6">
        <w:rPr>
          <w:rFonts w:ascii="NewsGotT" w:hAnsi="NewsGotT"/>
          <w:i/>
          <w:iCs/>
          <w:sz w:val="23"/>
          <w:szCs w:val="23"/>
          <w:lang w:val="pt-PT"/>
        </w:rPr>
        <w:t xml:space="preserve">“The </w:t>
      </w:r>
      <w:r w:rsidR="002D4A7C" w:rsidRPr="001264D6">
        <w:rPr>
          <w:rFonts w:ascii="NewsGotT" w:hAnsi="NewsGotT"/>
          <w:i/>
          <w:iCs/>
          <w:sz w:val="23"/>
          <w:szCs w:val="23"/>
          <w:lang w:val="pt-PT"/>
        </w:rPr>
        <w:t>M</w:t>
      </w:r>
      <w:r w:rsidRPr="001264D6">
        <w:rPr>
          <w:rFonts w:ascii="NewsGotT" w:hAnsi="NewsGotT"/>
          <w:i/>
          <w:iCs/>
          <w:sz w:val="23"/>
          <w:szCs w:val="23"/>
          <w:lang w:val="pt-PT"/>
        </w:rPr>
        <w:t xml:space="preserve">ethod of </w:t>
      </w:r>
      <w:r w:rsidR="002D4A7C" w:rsidRPr="001264D6">
        <w:rPr>
          <w:rFonts w:ascii="NewsGotT" w:hAnsi="NewsGotT"/>
          <w:i/>
          <w:iCs/>
          <w:sz w:val="23"/>
          <w:szCs w:val="23"/>
          <w:lang w:val="pt-PT"/>
        </w:rPr>
        <w:t>P</w:t>
      </w:r>
      <w:r w:rsidRPr="001264D6">
        <w:rPr>
          <w:rFonts w:ascii="NewsGotT" w:hAnsi="NewsGotT"/>
          <w:i/>
          <w:iCs/>
          <w:sz w:val="23"/>
          <w:szCs w:val="23"/>
          <w:lang w:val="pt-PT"/>
        </w:rPr>
        <w:t>hysic”</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Willis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Greiner</w:t>
      </w:r>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Esta associação foi estudada por Hughlings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Engel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r w:rsidR="00CC2873" w:rsidRPr="001264D6">
        <w:rPr>
          <w:rFonts w:ascii="NewsGotT" w:hAnsi="NewsGotT"/>
          <w:i/>
          <w:iCs/>
          <w:lang w:val="pt-PT"/>
        </w:rPr>
        <w:t>American Psychiatric Association</w:t>
      </w:r>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 xml:space="preserve">(Diagnostic and Statistical Manual of Mental Disorders) </w:t>
      </w:r>
      <w:r w:rsidR="00CC2873" w:rsidRPr="001264D6">
        <w:rPr>
          <w:rFonts w:ascii="NewsGotT" w:hAnsi="NewsGotT"/>
          <w:lang w:val="pt-PT"/>
        </w:rPr>
        <w:t>na tentativa de rever a classificação de síndromes de cérebro. Lipowski,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neurocognitivas.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r w:rsidR="00605838" w:rsidRPr="001264D6">
        <w:rPr>
          <w:rFonts w:ascii="NewsGotT" w:hAnsi="NewsGotT"/>
          <w:i/>
          <w:iCs/>
          <w:lang w:val="pt-BR"/>
        </w:rPr>
        <w:t xml:space="preserve">International Classification of Diseases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por exemplo, défice de memória, desorientação, linguagem, capacidade visio-espacial,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Por outro lado, a homeostasia do SNC pode apresentar um estado debilitado devido a alterações associadas ao normal envelhecimento ou por alterações neurodegenerativas,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cannabis, fenciclidina,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algaliação,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tremens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r w:rsidRPr="001264D6">
        <w:rPr>
          <w:rFonts w:ascii="NewsGotT" w:hAnsi="NewsGotT"/>
          <w:lang w:val="pt-PT"/>
        </w:rPr>
        <w:t>Hipoativo</w:t>
      </w:r>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r w:rsidRPr="001264D6">
        <w:rPr>
          <w:rFonts w:ascii="NewsGotT" w:hAnsi="NewsGotT"/>
          <w:lang w:val="pt-PT"/>
        </w:rPr>
        <w:t>hipoativo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morbi-mortalidade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hipoativo </w:t>
      </w:r>
      <w:r w:rsidRPr="001264D6">
        <w:rPr>
          <w:rFonts w:ascii="NewsGotT" w:hAnsi="NewsGotT"/>
          <w:lang w:val="pt-PT"/>
        </w:rPr>
        <w:t>pode desenvolver-se por intoxicação de drogas hipnóticas ou sedativas, hipóxia,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o doente alterna entre períodos de hiperatividade e de hipoatividade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hipoativo</w:t>
      </w:r>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hipoativo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hipoativo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Pérez-Ros &amp; Martínez-Arnau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(Ali et al., 2021; Robinson, Raeburn, Tran, Brenner, &amp; Moss,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r w:rsidRPr="001264D6">
        <w:rPr>
          <w:lang w:val="pt-PT"/>
        </w:rPr>
        <w:t>Machine Learning</w:t>
      </w:r>
      <w:bookmarkEnd w:id="23"/>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1264D6">
        <w:rPr>
          <w:rFonts w:ascii="NewsGotT" w:hAnsi="NewsGotT"/>
          <w:i/>
          <w:iCs/>
          <w:lang w:val="pt-PT"/>
        </w:rPr>
        <w:t>overfitting</w:t>
      </w:r>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r w:rsidR="00130171" w:rsidRPr="00130171">
        <w:rPr>
          <w:rFonts w:ascii="NewsGotT" w:hAnsi="NewsGotT"/>
          <w:b/>
          <w:bCs/>
          <w:lang w:val="pt-BR"/>
        </w:rPr>
        <w:t>Error! Reference source not found.</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r w:rsidR="00130171" w:rsidRPr="00130171">
        <w:rPr>
          <w:rFonts w:ascii="NewsGotT" w:hAnsi="NewsGotT"/>
          <w:b/>
          <w:bCs/>
          <w:lang w:val="pt-BR"/>
        </w:rPr>
        <w:t>Error! Reference source not found.</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(odds),</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r w:rsidRPr="001264D6">
        <w:rPr>
          <w:rFonts w:ascii="NewsGotT" w:hAnsi="NewsGotT"/>
          <w:i/>
          <w:iCs/>
          <w:lang w:val="pt-PT"/>
        </w:rPr>
        <w:t>logit</w:t>
      </w:r>
      <w:r w:rsidRPr="001264D6">
        <w:rPr>
          <w:rFonts w:ascii="NewsGotT" w:hAnsi="NewsGotT"/>
          <w:lang w:val="pt-PT"/>
        </w:rPr>
        <w:t xml:space="preserve"> da probabilidade. E é importante na medida em que a função </w:t>
      </w:r>
      <w:r w:rsidRPr="001264D6">
        <w:rPr>
          <w:rFonts w:ascii="NewsGotT" w:hAnsi="NewsGotT"/>
          <w:i/>
          <w:iCs/>
          <w:lang w:val="pt-PT"/>
        </w:rPr>
        <w:t>logit</w:t>
      </w:r>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r w:rsidRPr="001264D6">
        <w:rPr>
          <w:rFonts w:ascii="NewsGotT" w:hAnsi="NewsGotT"/>
          <w:i/>
          <w:iCs/>
          <w:lang w:val="pt-PT"/>
        </w:rPr>
        <w:t xml:space="preserve">logit.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r w:rsidRPr="001264D6">
        <w:rPr>
          <w:rFonts w:ascii="NewsGotT" w:hAnsi="NewsGotT"/>
          <w:i/>
          <w:iCs/>
          <w:lang w:val="pt-PT"/>
        </w:rPr>
        <w:t>logit</w:t>
      </w:r>
      <w:r w:rsidRPr="001264D6">
        <w:rPr>
          <w:rFonts w:ascii="NewsGotT" w:hAnsi="NewsGotT"/>
          <w:lang w:val="pt-PT"/>
        </w:rPr>
        <w:t xml:space="preserve"> para variáveis contínuas, ausência de multicolinearidade, e ausência de </w:t>
      </w:r>
      <w:r w:rsidRPr="001264D6">
        <w:rPr>
          <w:rFonts w:ascii="NewsGotT" w:hAnsi="NewsGotT"/>
          <w:i/>
          <w:iCs/>
          <w:lang w:val="pt-PT"/>
        </w:rPr>
        <w:t>outliers</w:t>
      </w:r>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(Receiver Operating Characteristic).</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cut-off.</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Critério de Informação de Akaike</w:t>
      </w:r>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Akaike Information Criterion</w:t>
      </w:r>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Critério Bayesiano de Schwarz</w:t>
      </w:r>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Bayesian Information Criterion</w:t>
      </w:r>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(Iterative Dichotomiser),</w:t>
      </w:r>
      <w:r w:rsidRPr="001264D6">
        <w:rPr>
          <w:rFonts w:ascii="NewsGotT" w:hAnsi="NewsGotT"/>
          <w:lang w:val="pt-PT"/>
        </w:rPr>
        <w:t xml:space="preserve"> em 1979. O algoritmo ID3 foi desenvolvido por J. Ross Quinlan, que criou uma construção simples começando pela raiz e terminando nas folhas </w:t>
      </w:r>
      <w:r w:rsidRPr="001264D6">
        <w:rPr>
          <w:rFonts w:ascii="NewsGotT" w:hAnsi="NewsGotT"/>
          <w:i/>
          <w:iCs/>
          <w:lang w:val="pt-PT"/>
        </w:rPr>
        <w:t xml:space="preserve">(construção top-down)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Breiman, J. Friedman, R. Olshen,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r w:rsidRPr="001264D6">
        <w:rPr>
          <w:rFonts w:ascii="NewsGotT" w:hAnsi="NewsGotT"/>
          <w:i/>
          <w:iCs/>
          <w:u w:val="single"/>
          <w:lang w:val="pt-PT"/>
        </w:rPr>
        <w:t xml:space="preserve">Information Gain: </w:t>
      </w:r>
    </w:p>
    <w:p w14:paraId="183987DD" w14:textId="77777777" w:rsidR="00616268" w:rsidRPr="001264D6" w:rsidRDefault="00616268" w:rsidP="00616268">
      <w:pPr>
        <w:spacing w:line="360" w:lineRule="auto"/>
        <w:jc w:val="both"/>
        <w:rPr>
          <w:rFonts w:ascii="NewsGotT" w:hAnsi="NewsGotT"/>
          <w:lang w:val="pt-PT"/>
        </w:rPr>
      </w:pPr>
      <w:r w:rsidRPr="001264D6">
        <w:rPr>
          <w:rFonts w:ascii="NewsGotT" w:hAnsi="NewsGotT"/>
          <w:i/>
          <w:iCs/>
          <w:lang w:val="pt-PT"/>
        </w:rPr>
        <w:t>Information Gain</w:t>
      </w:r>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r w:rsidRPr="001264D6">
        <w:rPr>
          <w:rFonts w:ascii="NewsGotT" w:hAnsi="NewsGotT"/>
          <w:i/>
          <w:iCs/>
          <w:u w:val="single"/>
          <w:lang w:val="pt-PT"/>
        </w:rPr>
        <w:t xml:space="preserve">Gain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r w:rsidRPr="001264D6">
        <w:rPr>
          <w:rFonts w:ascii="NewsGotT" w:hAnsi="NewsGotT"/>
          <w:i/>
          <w:iCs/>
          <w:lang w:val="pt-PT"/>
        </w:rPr>
        <w:t>information gain</w:t>
      </w:r>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r w:rsidRPr="001264D6">
        <w:rPr>
          <w:rFonts w:ascii="NewsGotT" w:hAnsi="NewsGotT"/>
          <w:i/>
          <w:iCs/>
          <w:lang w:val="pt-PT"/>
        </w:rPr>
        <w:t>Gini index</w:t>
      </w:r>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r w:rsidRPr="001264D6">
        <w:rPr>
          <w:rFonts w:ascii="NewsGotT" w:hAnsi="NewsGotT"/>
          <w:i/>
          <w:iCs/>
          <w:lang w:val="pt-PT"/>
        </w:rPr>
        <w:t>Random Forest</w:t>
      </w:r>
      <w:bookmarkEnd w:id="29"/>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r w:rsidRPr="001264D6">
        <w:rPr>
          <w:rFonts w:ascii="NewsGotT" w:hAnsi="NewsGotT"/>
          <w:i/>
          <w:iCs/>
          <w:lang w:val="pt-PT"/>
        </w:rPr>
        <w:t>bagging</w:t>
      </w:r>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r w:rsidRPr="001264D6">
        <w:rPr>
          <w:rFonts w:ascii="NewsGotT" w:hAnsi="NewsGotT"/>
          <w:i/>
          <w:iCs/>
          <w:lang w:val="pt-PT"/>
        </w:rPr>
        <w:t>outliers</w:t>
      </w:r>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(Support Vector Machine) tem recebido uma atenção crescente na comunidade de ML, baseiam-se na teoria de aprendizagem estatística, desenvolvida por Vapnik em 1995 a partir de estudos iniciados por </w:t>
      </w:r>
      <w:r w:rsidR="00616268" w:rsidRPr="001264D6">
        <w:rPr>
          <w:rFonts w:ascii="NewsGotT" w:hAnsi="NewsGotT"/>
          <w:lang w:val="pt-PT"/>
        </w:rPr>
        <w:t xml:space="preserve">Vladimir N. Vapnik e Alexey Chervonenkis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r w:rsidRPr="001264D6">
        <w:rPr>
          <w:rFonts w:ascii="NewsGotT" w:hAnsi="NewsGotT"/>
          <w:i/>
          <w:iCs/>
          <w:lang w:val="pt-PT"/>
        </w:rPr>
        <w:t>kernel</w:t>
      </w:r>
      <w:r w:rsidRPr="001264D6">
        <w:rPr>
          <w:rFonts w:ascii="NewsGotT" w:hAnsi="NewsGotT"/>
          <w:lang w:val="pt-PT"/>
        </w:rPr>
        <w:t xml:space="preserve"> na não linearização das SVM torna o algoritmo eficiente, pois permite a construção simples de hiperplanos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K-Nearest Neighbor</w:t>
      </w:r>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Fix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(RNAs)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RNAs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r w:rsidRPr="001264D6">
        <w:rPr>
          <w:rFonts w:ascii="NewsGotT" w:hAnsi="NewsGotT"/>
          <w:i/>
          <w:iCs/>
          <w:lang w:val="pt-PT"/>
        </w:rPr>
        <w:t>f</w:t>
      </w:r>
      <w:r w:rsidRPr="001264D6">
        <w:rPr>
          <w:rFonts w:ascii="NewsGotT" w:hAnsi="NewsGotT"/>
          <w:i/>
          <w:iCs/>
          <w:vertAlign w:val="subscript"/>
          <w:lang w:val="pt-PT"/>
        </w:rPr>
        <w:t>a</w:t>
      </w:r>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hebbiano,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r w:rsidRPr="001264D6">
        <w:rPr>
          <w:rFonts w:ascii="NewsGotT" w:hAnsi="NewsGotT"/>
          <w:i/>
          <w:iCs/>
          <w:lang w:val="pt-PT"/>
        </w:rPr>
        <w:t>Clustering</w:t>
      </w:r>
      <w:bookmarkEnd w:id="36"/>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r w:rsidRPr="001264D6">
        <w:rPr>
          <w:rFonts w:ascii="NewsGotT" w:hAnsi="NewsGotT"/>
          <w:i/>
          <w:iCs/>
          <w:lang w:val="pt-PT"/>
        </w:rPr>
        <w:t>clustering</w:t>
      </w:r>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K-Means</w:t>
      </w:r>
      <w:bookmarkEnd w:id="37"/>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-means</w:t>
      </w:r>
      <w:r w:rsidRPr="001264D6">
        <w:rPr>
          <w:rFonts w:ascii="NewsGotT" w:hAnsi="NewsGotT"/>
          <w:lang w:val="pt-PT"/>
        </w:rPr>
        <w:t xml:space="preserve"> é organizar os dados em clusters de modo a que haja elevada semelhança intra-cluster e baixa semelhança inter-cluster.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K-means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K-means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Python para </w:t>
      </w:r>
      <w:r w:rsidRPr="001264D6">
        <w:rPr>
          <w:rFonts w:ascii="NewsGotT" w:hAnsi="NewsGotT"/>
          <w:i/>
          <w:iCs/>
          <w:lang w:val="pt-PT"/>
        </w:rPr>
        <w:t>Machine Learning</w:t>
      </w:r>
      <w:bookmarkEnd w:id="41"/>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r w:rsidRPr="001264D6">
        <w:rPr>
          <w:rFonts w:ascii="NewsGotT" w:hAnsi="NewsGotT"/>
          <w:i/>
          <w:iCs/>
          <w:lang w:val="pt-PT"/>
        </w:rPr>
        <w:t>Python</w:t>
      </w:r>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r w:rsidRPr="001264D6">
        <w:rPr>
          <w:rFonts w:ascii="NewsGotT" w:hAnsi="NewsGotT"/>
          <w:i/>
          <w:iCs/>
          <w:lang w:val="pt-PT"/>
        </w:rPr>
        <w:t>Python</w:t>
      </w:r>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i/>
          <w:iCs/>
          <w:lang w:val="pt-PT"/>
        </w:rPr>
        <w:t>Scikit-learn</w:t>
      </w:r>
      <w:r w:rsidRPr="001264D6">
        <w:rPr>
          <w:rFonts w:ascii="NewsGotT" w:hAnsi="NewsGotT"/>
          <w:lang w:val="pt-PT"/>
        </w:rPr>
        <w:t xml:space="preserve"> é uma biblioteca do </w:t>
      </w:r>
      <w:r w:rsidRPr="001264D6">
        <w:rPr>
          <w:rFonts w:ascii="NewsGotT" w:hAnsi="NewsGotT"/>
          <w:i/>
          <w:iCs/>
          <w:lang w:val="pt-PT"/>
        </w:rPr>
        <w:t>Python</w:t>
      </w:r>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r w:rsidRPr="001264D6">
        <w:rPr>
          <w:rFonts w:ascii="NewsGotT" w:hAnsi="NewsGotT"/>
          <w:i/>
          <w:iCs/>
          <w:lang w:val="pt-BR"/>
        </w:rPr>
        <w:t>train_test_split</w:t>
      </w:r>
      <w:r w:rsidRPr="001264D6">
        <w:rPr>
          <w:rFonts w:ascii="NewsGotT" w:hAnsi="NewsGotT"/>
          <w:lang w:val="pt-BR"/>
        </w:rPr>
        <w:t xml:space="preserve">  permite a separação aleatória dos dados em percentagens desejadas para treino e teste. O método </w:t>
      </w:r>
      <w:r w:rsidRPr="001264D6">
        <w:rPr>
          <w:rFonts w:ascii="NewsGotT" w:hAnsi="NewsGotT"/>
          <w:i/>
          <w:iCs/>
          <w:lang w:val="pt-BR"/>
        </w:rPr>
        <w:t>fit</w:t>
      </w:r>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PT"/>
        </w:rPr>
        <w:t>Scikit-learn</w:t>
      </w:r>
      <w:r w:rsidRPr="001264D6">
        <w:rPr>
          <w:rFonts w:ascii="NewsGotT" w:hAnsi="NewsGotT"/>
          <w:lang w:val="pt-PT"/>
        </w:rPr>
        <w:t xml:space="preserve"> também tem implementadas uma grande variedade de métricas de avaliação de performance que se encontram disponíveis através do módulo </w:t>
      </w:r>
      <w:r w:rsidRPr="001264D6">
        <w:rPr>
          <w:rFonts w:ascii="NewsGotT" w:hAnsi="NewsGotT"/>
          <w:i/>
          <w:iCs/>
          <w:lang w:val="pt-PT"/>
        </w:rPr>
        <w:t>metrics</w:t>
      </w:r>
      <w:r w:rsidRPr="001264D6">
        <w:rPr>
          <w:rFonts w:ascii="NewsGotT" w:hAnsi="NewsGotT"/>
          <w:lang w:val="pt-PT"/>
        </w:rPr>
        <w:t xml:space="preserve">. Pode-se destacar a </w:t>
      </w:r>
      <w:r w:rsidRPr="001264D6">
        <w:rPr>
          <w:rFonts w:ascii="NewsGotT" w:hAnsi="NewsGotT"/>
          <w:i/>
          <w:iCs/>
          <w:lang w:val="pt-PT"/>
        </w:rPr>
        <w:t xml:space="preserve">accuracy_score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r w:rsidRPr="001264D6">
        <w:rPr>
          <w:rFonts w:ascii="NewsGotT" w:hAnsi="NewsGotT"/>
          <w:i/>
          <w:iCs/>
          <w:lang w:val="pt-PT"/>
        </w:rPr>
        <w:t>NumPy</w:t>
      </w:r>
      <w:r w:rsidRPr="001264D6">
        <w:rPr>
          <w:rFonts w:ascii="NewsGotT" w:hAnsi="NewsGotT"/>
          <w:lang w:val="pt-PT"/>
        </w:rPr>
        <w:t xml:space="preserve">; </w:t>
      </w:r>
      <w:r w:rsidRPr="001264D6">
        <w:rPr>
          <w:rFonts w:ascii="NewsGotT" w:hAnsi="NewsGotT"/>
          <w:i/>
          <w:iCs/>
          <w:lang w:val="pt-PT"/>
        </w:rPr>
        <w:t>SciPy</w:t>
      </w:r>
      <w:r w:rsidRPr="001264D6">
        <w:rPr>
          <w:rFonts w:ascii="NewsGotT" w:hAnsi="NewsGotT"/>
          <w:lang w:val="pt-PT"/>
        </w:rPr>
        <w:t xml:space="preserve">; </w:t>
      </w:r>
      <w:r w:rsidRPr="001264D6">
        <w:rPr>
          <w:rFonts w:ascii="NewsGotT" w:hAnsi="NewsGotT"/>
          <w:i/>
          <w:iCs/>
          <w:lang w:val="pt-PT"/>
        </w:rPr>
        <w:t>Matplotlib</w:t>
      </w:r>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r w:rsidRPr="001264D6">
        <w:rPr>
          <w:rFonts w:ascii="NewsGotT" w:hAnsi="NewsGotT"/>
          <w:i/>
          <w:iCs/>
          <w:lang w:val="pt-PT"/>
        </w:rPr>
        <w:t>NumPy</w:t>
      </w:r>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Wes McKinney em 2008 quando estava na AQR Capital Management por necessidade de uma ferramenta com alto desempenho e flexível para realizar análises quantitativas sobre dados financeiros. A biblioteca </w:t>
      </w:r>
      <w:r w:rsidRPr="001264D6">
        <w:rPr>
          <w:rFonts w:ascii="NewsGotT" w:hAnsi="NewsGotT"/>
          <w:i/>
          <w:iCs/>
          <w:lang w:val="pt-PT"/>
        </w:rPr>
        <w:t>SciPy</w:t>
      </w:r>
      <w:r w:rsidRPr="001264D6">
        <w:rPr>
          <w:rFonts w:ascii="NewsGotT" w:hAnsi="NewsGotT"/>
          <w:lang w:val="pt-PT"/>
        </w:rPr>
        <w:t xml:space="preserve"> suplementa a biblioteca </w:t>
      </w:r>
      <w:r w:rsidRPr="001264D6">
        <w:rPr>
          <w:rFonts w:ascii="NewsGotT" w:hAnsi="NewsGotT"/>
          <w:i/>
          <w:iCs/>
          <w:lang w:val="pt-PT"/>
        </w:rPr>
        <w:t>NumPy</w:t>
      </w:r>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neuroimagem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diidropiridínicos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hipoativo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Nagari, em 2019, de entre os parâmetros metabólicos, a uraemia, a encefalopatia hepática e a hiponatremia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3C098C5F"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B55E1">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Tramadol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Hiponatremia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Hipercarbia</w:t>
            </w:r>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Uraémia</w:t>
            </w:r>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(hiperamonemia)</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Estados de hipoperfusão</w:t>
            </w:r>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patofisiológicas e dos neuromediadores, como os anticolinérgicos ou os antidopaminérgicos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anticonvulsivantes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3298C9D0"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B55E1">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Noradrenérgico</w:t>
            </w:r>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Dopaminérgico</w:t>
            </w:r>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Serotoninérgico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atividade dopaminérgica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hipocolinérgico-hiperdopaminérgico. A inflamação cria um estado fisiológico vulnerável, com diminuição das funções cerebrais e aumento da permeabilidade da barreira hemato-encefálica.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morbi-mortalidade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30C24CCB"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B55E1">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Confusion Assessment Method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Assessment Scale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Scale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 xml:space="preserve">Nursing Delirium Screening Checklist (NuDESC)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Detection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Digit Span Test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Single Question in Delirium (SQiD)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Symptom Interview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Cofusion Scale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Brief CAM (bCAM)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triage screen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 xml:space="preserve">Modified Richmond Agitation Sedation Scale (mRASS)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lastRenderedPageBreak/>
              <w:t xml:space="preserve">The 4As Test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Vigilance A Test</w:t>
            </w:r>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r w:rsidRPr="001264D6">
        <w:rPr>
          <w:rFonts w:ascii="NewsGotT" w:hAnsi="NewsGotT"/>
          <w:i/>
          <w:iCs/>
          <w:lang w:val="pt-PT"/>
        </w:rPr>
        <w:t>Confusion Acessment Method</w:t>
      </w:r>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Anexo I – The confusion assessment method instrument</w:t>
      </w:r>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Anexo II – The Confusion Assessment Method (CAM) Diagnostic Algorithm*</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r w:rsidRPr="001264D6">
        <w:rPr>
          <w:rFonts w:ascii="NewsGotT" w:hAnsi="NewsGotT"/>
          <w:i/>
          <w:iCs/>
          <w:lang w:val="pt-PT"/>
        </w:rPr>
        <w:t>Confusion Scale</w:t>
      </w:r>
      <w:bookmarkEnd w:id="56"/>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Confusion Scale é outra ferramenta utilizada para a detecção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r w:rsidRPr="001264D6">
        <w:rPr>
          <w:rFonts w:ascii="NewsGotT" w:hAnsi="NewsGotT"/>
          <w:b/>
          <w:bCs/>
          <w:lang w:val="pt-PT"/>
        </w:rPr>
        <w:t>Nee</w:t>
      </w:r>
      <w:r w:rsidRPr="001264D6">
        <w:rPr>
          <w:rFonts w:ascii="NewsGotT" w:hAnsi="NewsGotT"/>
          <w:lang w:val="pt-PT"/>
        </w:rPr>
        <w:t xml:space="preserve">lon,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Richmond Agitation Sedation Scale</w:t>
      </w:r>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47CD903B"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r w:rsidRPr="001264D6">
        <w:rPr>
          <w:rFonts w:ascii="NewsGotT" w:hAnsi="NewsGotT"/>
        </w:rPr>
        <w:t xml:space="preserve">Tabela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B55E1">
        <w:rPr>
          <w:rFonts w:ascii="NewsGotT" w:hAnsi="NewsGotT"/>
          <w:noProof/>
        </w:rPr>
        <w:t>4</w:t>
      </w:r>
      <w:r w:rsidRPr="001264D6">
        <w:rPr>
          <w:rFonts w:ascii="NewsGotT" w:hAnsi="NewsGotT"/>
        </w:rPr>
        <w:fldChar w:fldCharType="end"/>
      </w:r>
      <w:bookmarkEnd w:id="58"/>
      <w:r w:rsidRPr="001264D6">
        <w:rPr>
          <w:rFonts w:ascii="NewsGotT" w:hAnsi="NewsGotT"/>
        </w:rPr>
        <w:t xml:space="preserve"> - Escala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4D2BC8AB" w:rsidR="00F7356C"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O ficheiro dos dados possui informação sobre xxx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(glicose,ureia,creatinina PCR) gasometria, e também foram recolhidos os medicamentos que os </w:t>
      </w:r>
      <w:r w:rsidR="000D074D" w:rsidRPr="001264D6">
        <w:rPr>
          <w:rFonts w:ascii="NewsGotT" w:hAnsi="NewsGotT"/>
          <w:lang w:val="pt-PT" w:eastAsia="x-none"/>
        </w:rPr>
        <w:t>indivídu</w:t>
      </w:r>
      <w:r w:rsidR="000D074D">
        <w:rPr>
          <w:rFonts w:ascii="NewsGotT" w:hAnsi="NewsGotT"/>
          <w:lang w:val="pt-PT" w:eastAsia="x-none"/>
        </w:rPr>
        <w:t>o</w:t>
      </w:r>
      <w:r w:rsidR="000D074D" w:rsidRPr="001264D6">
        <w:rPr>
          <w:rFonts w:ascii="NewsGotT" w:hAnsi="NewsGotT"/>
          <w:lang w:val="pt-PT" w:eastAsia="x-none"/>
        </w:rPr>
        <w:t>s</w:t>
      </w:r>
      <w:r w:rsidRPr="001264D6">
        <w:rPr>
          <w:rFonts w:ascii="NewsGotT" w:hAnsi="NewsGotT"/>
          <w:lang w:val="pt-PT" w:eastAsia="x-none"/>
        </w:rPr>
        <w:t xml:space="preserve"> tinham prescritos. Esta lista de medicamentos foi elaborada com base nos medicamentos de Burden. </w:t>
      </w:r>
      <w:r w:rsidR="00C61CBA">
        <w:rPr>
          <w:rFonts w:ascii="NewsGotT" w:hAnsi="NewsGotT"/>
          <w:lang w:val="pt-PT" w:eastAsia="x-none"/>
        </w:rPr>
        <w:t xml:space="preserve">De seguida serão abordadas todas as variáveis presentes no conjunto de dados e será feita uma breve análise sobre cada uma assim como reunidas as informações mais relevantes. </w:t>
      </w:r>
    </w:p>
    <w:p w14:paraId="0129FB49" w14:textId="42CD8C16" w:rsidR="00C13092" w:rsidRDefault="00C13092" w:rsidP="00C13092">
      <w:pPr>
        <w:pStyle w:val="Heading2"/>
        <w:spacing w:line="360" w:lineRule="auto"/>
        <w:jc w:val="both"/>
        <w:rPr>
          <w:rFonts w:ascii="NewsGotT" w:hAnsi="NewsGotT"/>
          <w:lang w:val="pt-PT"/>
        </w:rPr>
      </w:pPr>
      <w:r>
        <w:rPr>
          <w:rFonts w:ascii="NewsGotT" w:hAnsi="NewsGotT"/>
          <w:lang w:val="pt-PT"/>
        </w:rPr>
        <w:t>Idade</w:t>
      </w:r>
    </w:p>
    <w:p w14:paraId="62840773" w14:textId="7E1EB059" w:rsidR="00C13092" w:rsidRDefault="00C13092" w:rsidP="00C13092">
      <w:pPr>
        <w:rPr>
          <w:lang w:val="pt-PT" w:eastAsia="x-none"/>
        </w:rPr>
      </w:pPr>
    </w:p>
    <w:p w14:paraId="5A1A2BF7" w14:textId="65FBC29E" w:rsidR="00C13092" w:rsidRDefault="00C13092" w:rsidP="00C13092">
      <w:pPr>
        <w:pStyle w:val="Heading2"/>
        <w:spacing w:line="360" w:lineRule="auto"/>
        <w:jc w:val="both"/>
        <w:rPr>
          <w:rFonts w:ascii="NewsGotT" w:hAnsi="NewsGotT"/>
          <w:i/>
          <w:iCs/>
          <w:lang w:val="pt-PT"/>
        </w:rPr>
      </w:pPr>
      <w:r>
        <w:rPr>
          <w:rFonts w:ascii="NewsGotT" w:hAnsi="NewsGotT"/>
          <w:lang w:val="pt-PT"/>
        </w:rPr>
        <w:t xml:space="preserve">Tempo de permanência na urgência </w:t>
      </w:r>
    </w:p>
    <w:p w14:paraId="7A6043E9" w14:textId="0666225C" w:rsidR="00C13092" w:rsidRDefault="00C13092" w:rsidP="00C13092">
      <w:pPr>
        <w:rPr>
          <w:lang w:val="pt-PT" w:eastAsia="x-none"/>
        </w:rPr>
      </w:pPr>
    </w:p>
    <w:p w14:paraId="1740D9AC" w14:textId="77777777" w:rsidR="00C13092" w:rsidRPr="00C13092" w:rsidRDefault="00C13092" w:rsidP="00C13092">
      <w:pPr>
        <w:rPr>
          <w:lang w:val="pt-PT" w:eastAsia="x-none"/>
        </w:rPr>
      </w:pPr>
    </w:p>
    <w:p w14:paraId="434DC22E" w14:textId="77777777" w:rsidR="00C13092" w:rsidRPr="00C13092" w:rsidRDefault="00C13092" w:rsidP="00C13092">
      <w:pPr>
        <w:pStyle w:val="Heading2"/>
        <w:spacing w:line="360" w:lineRule="auto"/>
        <w:jc w:val="both"/>
        <w:rPr>
          <w:rFonts w:ascii="NewsGotT" w:hAnsi="NewsGotT"/>
          <w:i/>
          <w:iCs/>
          <w:lang w:val="pt-PT"/>
        </w:rPr>
      </w:pPr>
      <w:r>
        <w:rPr>
          <w:rFonts w:ascii="NewsGotT" w:hAnsi="NewsGotT"/>
          <w:lang w:val="pt-PT"/>
        </w:rPr>
        <w:t xml:space="preserve">Análises clinicas </w:t>
      </w:r>
    </w:p>
    <w:p w14:paraId="5BE380C0" w14:textId="77777777" w:rsidR="00C13092" w:rsidRDefault="00C13092" w:rsidP="00C13092">
      <w:pPr>
        <w:pStyle w:val="Heading2"/>
        <w:numPr>
          <w:ilvl w:val="0"/>
          <w:numId w:val="0"/>
        </w:numPr>
        <w:spacing w:line="360" w:lineRule="auto"/>
        <w:ind w:left="567"/>
        <w:jc w:val="both"/>
        <w:rPr>
          <w:rFonts w:ascii="NewsGotT" w:hAnsi="NewsGotT"/>
          <w:lang w:val="pt-PT"/>
        </w:rPr>
      </w:pPr>
    </w:p>
    <w:p w14:paraId="4299C3DC" w14:textId="191F2BE4" w:rsidR="00C13092" w:rsidRDefault="00C13092" w:rsidP="00C13092">
      <w:pPr>
        <w:pStyle w:val="Heading2"/>
        <w:numPr>
          <w:ilvl w:val="0"/>
          <w:numId w:val="0"/>
        </w:numPr>
        <w:spacing w:line="360" w:lineRule="auto"/>
        <w:ind w:left="567"/>
        <w:jc w:val="both"/>
        <w:rPr>
          <w:rFonts w:ascii="NewsGotT" w:hAnsi="NewsGotT"/>
          <w:i/>
          <w:iCs/>
          <w:lang w:val="pt-PT"/>
        </w:rPr>
      </w:pPr>
      <w:r>
        <w:rPr>
          <w:rFonts w:ascii="NewsGotT" w:hAnsi="NewsGotT"/>
          <w:lang w:val="pt-PT"/>
        </w:rPr>
        <w:lastRenderedPageBreak/>
        <w:t xml:space="preserve"> </w:t>
      </w:r>
    </w:p>
    <w:p w14:paraId="7DAA1664" w14:textId="77777777" w:rsidR="00C13092" w:rsidRPr="001264D6" w:rsidRDefault="00C13092" w:rsidP="001074D0">
      <w:pPr>
        <w:spacing w:line="360" w:lineRule="auto"/>
        <w:ind w:firstLine="567"/>
        <w:jc w:val="both"/>
        <w:rPr>
          <w:rFonts w:ascii="NewsGotT" w:hAnsi="NewsGotT"/>
          <w:lang w:val="pt-PT" w:eastAsia="x-none"/>
        </w:rPr>
      </w:pP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deliriogénic</w:t>
      </w:r>
      <w:r w:rsidR="00F85907">
        <w:rPr>
          <w:rFonts w:ascii="NewsGotT" w:hAnsi="NewsGotT"/>
          <w:lang w:val="pt-PT" w:eastAsia="x-none"/>
        </w:rPr>
        <w:t>o</w:t>
      </w:r>
      <w:r w:rsidRPr="00822603">
        <w:rPr>
          <w:rFonts w:ascii="NewsGotT" w:hAnsi="NewsGotT"/>
          <w:lang w:val="pt-PT" w:eastAsia="x-none"/>
        </w:rPr>
        <w:t>s,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17CA132B"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3"/>
      <w:r w:rsidRPr="00C51DBC">
        <w:rPr>
          <w:lang w:val="pt-BR"/>
        </w:rPr>
        <w:t xml:space="preserve"> - Lista de medicamentos potenciadores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Tramadol</w:t>
            </w:r>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lastRenderedPageBreak/>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Alprazolam</w:t>
            </w:r>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Lorazepam</w:t>
            </w:r>
          </w:p>
          <w:p w14:paraId="3446ABAD"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Mexazolam</w:t>
            </w:r>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Típicos (Bloqueiam os recetores dopaminérgicos D2) e Atípicos (Bloqueiam os recetores dopaminérgicos D2 e os recetores serotoninérgicos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Haloperidol</w:t>
            </w:r>
          </w:p>
          <w:p w14:paraId="2E9FA30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Quetiapina</w:t>
            </w:r>
          </w:p>
          <w:p w14:paraId="3D3E48D7"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Risperidona</w:t>
            </w:r>
          </w:p>
          <w:p w14:paraId="197D3F4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Paliperidona</w:t>
            </w:r>
          </w:p>
          <w:p w14:paraId="5F678688" w14:textId="74F0E16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Iloperidona</w:t>
            </w:r>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seletivos de recaptação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Citalopram</w:t>
            </w:r>
          </w:p>
          <w:p w14:paraId="7574F75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Escitalopram</w:t>
            </w:r>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Fluvoxamina</w:t>
            </w:r>
          </w:p>
          <w:p w14:paraId="412F76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Paroxetina</w:t>
            </w:r>
          </w:p>
          <w:p w14:paraId="4189E577" w14:textId="54DDA46E"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Sertralina</w:t>
            </w:r>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seletivos da recaptação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Venlafaxina</w:t>
            </w:r>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Trazodona</w:t>
            </w:r>
          </w:p>
          <w:p w14:paraId="28A373A6" w14:textId="5C62D86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Amitriptilina</w:t>
            </w:r>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Antiácidos e anti-ulcerosos</w:t>
            </w:r>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Ranitidina</w:t>
            </w:r>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r w:rsidRPr="001264D6">
              <w:rPr>
                <w:rFonts w:ascii="NewsGotT" w:hAnsi="NewsGotT"/>
                <w:lang w:val="pt-PT" w:eastAsia="x-none"/>
              </w:rPr>
              <w:t>Antivitaminicos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Varfarina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Antiagregantes plaquetários</w:t>
            </w:r>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Dipiridamol</w:t>
            </w:r>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Antidislipidémicos</w:t>
            </w:r>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Rosuvastatina</w:t>
            </w:r>
          </w:p>
          <w:p w14:paraId="63839ED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Atorvastatina</w:t>
            </w:r>
          </w:p>
          <w:p w14:paraId="4B70C09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Pravastatina</w:t>
            </w:r>
          </w:p>
          <w:p w14:paraId="3F996D0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Sinvastatina</w:t>
            </w:r>
          </w:p>
          <w:p w14:paraId="7BF9396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Fluvastatina</w:t>
            </w:r>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Anti-espasmódicos</w:t>
            </w:r>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Anti-espasmódico musculotrópico</w:t>
            </w:r>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Alverina</w:t>
            </w:r>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Anti-hipertensores</w:t>
            </w:r>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Nifedipina</w:t>
            </w:r>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(IECAs)</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Captopril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Clonidina</w:t>
            </w:r>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Furosemida</w:t>
            </w:r>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Hidroxizina</w:t>
            </w:r>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Desloratadina</w:t>
            </w:r>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Tri-hexifenidilo</w:t>
            </w:r>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Digitálicos</w:t>
            </w:r>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Hidrocortisona</w:t>
            </w:r>
          </w:p>
          <w:p w14:paraId="73636663"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Prednisolona</w:t>
            </w:r>
          </w:p>
          <w:p w14:paraId="475BD24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Prednisona</w:t>
            </w:r>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Cloreto de tróspio</w:t>
            </w:r>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r w:rsidRPr="001264D6">
        <w:rPr>
          <w:rFonts w:ascii="NewsGotT" w:hAnsi="NewsGotT"/>
          <w:lang w:val="pt-PT" w:eastAsia="x-none"/>
        </w:rPr>
        <w:t>mi</w:t>
      </w:r>
      <w:r w:rsidR="001B12F1" w:rsidRPr="001264D6">
        <w:rPr>
          <w:rFonts w:ascii="NewsGotT" w:hAnsi="NewsGotT"/>
          <w:lang w:val="pt-PT" w:eastAsia="x-none"/>
        </w:rPr>
        <w:t>u</w:t>
      </w:r>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supraespinal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este de forma análoga ao miu</w:t>
      </w:r>
      <w:r w:rsidRPr="001264D6">
        <w:rPr>
          <w:rFonts w:ascii="NewsGotT" w:hAnsi="NewsGotT"/>
          <w:lang w:val="pt-PT" w:eastAsia="x-none"/>
        </w:rPr>
        <w:t xml:space="preserve"> também medeia a analgesia supraespinal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kappa</w:t>
      </w:r>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r w:rsidRPr="001264D6">
        <w:rPr>
          <w:rFonts w:ascii="NewsGotT" w:hAnsi="NewsGotT"/>
          <w:lang w:val="pt-PT" w:eastAsia="x-none"/>
        </w:rPr>
        <w:lastRenderedPageBreak/>
        <w:t>supraespinal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(hidromorfona, oximorfona, oxicodona) e os compostos sintéticos (meperidina, levorfanol, fentanilo, metadona). Os agonistas-antagonistas mistos (nalbufina, pentazocina) têm atividade agonista nuns recetores e antagonista noutros; por outro lado também existem os agonistas parciais (butorfanol, buprenorfina). O tapentadol e o tramadol,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noradrenérgico e/ou serotoninérgico.</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r w:rsidR="00672BC4" w:rsidRPr="001264D6">
        <w:rPr>
          <w:rFonts w:ascii="NewsGotT" w:hAnsi="NewsGotT"/>
          <w:i/>
          <w:iCs/>
          <w:lang w:val="pt-PT" w:eastAsia="x-none"/>
        </w:rPr>
        <w:t>delirum</w:t>
      </w:r>
      <w:r w:rsidR="00672BC4" w:rsidRPr="001264D6">
        <w:rPr>
          <w:rFonts w:ascii="NewsGotT" w:hAnsi="NewsGotT"/>
          <w:lang w:val="pt-PT" w:eastAsia="x-none"/>
        </w:rPr>
        <w:t xml:space="preserve">, em resultado das propriedades farmacocinéticas e farmacodinâmicas específicas. Por exemplo, o tramadol têm metabolitos com elevadas propriedades anticolininérgicas.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tramadol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enquanto que o uso de morfina, fentanil, oxicodona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6307E2F6"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lastRenderedPageBreak/>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Opiáceos: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Tramadol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r w:rsidRPr="001264D6">
              <w:rPr>
                <w:rFonts w:ascii="NewsGotT" w:hAnsi="NewsGotT"/>
                <w:lang w:val="pt-PT" w:eastAsia="x-none"/>
              </w:rPr>
              <w:t>Paxilfar</w:t>
            </w:r>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r w:rsidRPr="001264D6">
              <w:rPr>
                <w:rFonts w:ascii="NewsGotT" w:hAnsi="NewsGotT"/>
                <w:i/>
                <w:iCs/>
                <w:lang w:val="pt-PT" w:eastAsia="x-none"/>
              </w:rPr>
              <w:t>rash</w:t>
            </w:r>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 xml:space="preserve">É importante realçar que o consumo de psicofármacos tem vindo a aumentar não só em Portugal como </w:t>
      </w:r>
      <w:r w:rsidR="006B291A" w:rsidRPr="001264D6">
        <w:rPr>
          <w:rFonts w:ascii="NewsGotT" w:hAnsi="NewsGotT"/>
          <w:lang w:val="pt-PT"/>
        </w:rPr>
        <w:lastRenderedPageBreak/>
        <w:t>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gamma-aminobutírico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-aminobutírico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alostericamente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 xml:space="preserve">são sonolência e incoordenação </w:t>
      </w:r>
      <w:r w:rsidR="003169B7" w:rsidRPr="001264D6">
        <w:rPr>
          <w:rFonts w:ascii="NewsGotT" w:hAnsi="NewsGotT"/>
          <w:lang w:val="pt-PT" w:eastAsia="x-none"/>
        </w:rPr>
        <w:lastRenderedPageBreak/>
        <w:t>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alprazolam, lorazepam diazepam e mexazolam.</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especialmente o alprazolam</w:t>
      </w:r>
      <w:r w:rsidR="006410FC" w:rsidRPr="001264D6">
        <w:rPr>
          <w:rFonts w:ascii="NewsGotT" w:hAnsi="NewsGotT"/>
          <w:lang w:val="pt-PT" w:eastAsia="x-none"/>
        </w:rPr>
        <w:t xml:space="preserve"> e o </w:t>
      </w:r>
      <w:r w:rsidR="002E2E2D" w:rsidRPr="001264D6">
        <w:rPr>
          <w:rFonts w:ascii="NewsGotT" w:hAnsi="NewsGotT"/>
          <w:lang w:val="pt-PT" w:eastAsia="x-none"/>
        </w:rPr>
        <w:t>lorazepam</w:t>
      </w:r>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r w:rsidR="006410FC" w:rsidRPr="001264D6">
        <w:rPr>
          <w:rFonts w:ascii="NewsGotT" w:hAnsi="NewsGotT"/>
          <w:lang w:val="pt-PT" w:eastAsia="x-none"/>
        </w:rPr>
        <w:t>alprazolam, lorazepam,</w:t>
      </w:r>
      <w:r w:rsidR="00FE3764" w:rsidRPr="001264D6">
        <w:rPr>
          <w:rFonts w:ascii="NewsGotT" w:hAnsi="NewsGotT"/>
          <w:lang w:val="pt-PT" w:eastAsia="x-none"/>
        </w:rPr>
        <w:t xml:space="preserve"> mexazolam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81B113C"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Benzodiazepinas</w:t>
      </w:r>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Alprazolam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(Xanax)</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Lorazepam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(Lorenin)</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Amnésia anterógrada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(Valium)</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lastRenderedPageBreak/>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lastRenderedPageBreak/>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hipersalivação</w:t>
            </w:r>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lastRenderedPageBreak/>
              <w:t>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lastRenderedPageBreak/>
              <w:t xml:space="preserve">Mexazolam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(Sedoxil)</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Esta patologia está associada a episódios de grande duração, altas taxas de cronicidade, recaídas e a elevada morbi-mortalidade,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distímica</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50 marcou uma das revoluções terapêuticas na área da saúde mental. De um modo geral, os antidepressivos interferem com a recaptação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recaptação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recaptação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r w:rsidR="001539E9" w:rsidRPr="001264D6">
        <w:rPr>
          <w:rFonts w:ascii="NewsGotT" w:hAnsi="NewsGotT"/>
          <w:lang w:val="pt-PT"/>
        </w:rPr>
        <w:t>I</w:t>
      </w:r>
      <w:r w:rsidR="00555B05" w:rsidRPr="001264D6">
        <w:rPr>
          <w:rFonts w:ascii="NewsGotT" w:hAnsi="NewsGotT"/>
          <w:lang w:val="pt-PT"/>
        </w:rPr>
        <w:t>MAOs)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w:t>
      </w:r>
      <w:r w:rsidRPr="001264D6">
        <w:rPr>
          <w:rFonts w:ascii="NewsGotT" w:hAnsi="NewsGotT"/>
          <w:lang w:val="pt-PT"/>
        </w:rPr>
        <w:lastRenderedPageBreak/>
        <w:t>de recaptação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recaptação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histaminérgicos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amitriptilina e a trazodona</w:t>
      </w:r>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2F26808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r w:rsidRPr="001264D6">
              <w:rPr>
                <w:rFonts w:ascii="NewsGotT" w:hAnsi="NewsGotT"/>
                <w:lang w:val="pt-PT"/>
              </w:rPr>
              <w:t xml:space="preserve">Amitriptilina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r w:rsidRPr="001264D6">
              <w:rPr>
                <w:rFonts w:ascii="NewsGotT" w:hAnsi="NewsGotT"/>
                <w:lang w:val="pt-PT"/>
              </w:rPr>
              <w:t xml:space="preserve">Trazodona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lastRenderedPageBreak/>
              <w:t>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mioclonia</w:t>
            </w:r>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parestesia</w:t>
            </w:r>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lastRenderedPageBreak/>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Inibidores seletivos de recaptação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recaptação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seratonérgica</w:t>
      </w:r>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antidepressores potenciam seletivamente a atividade da serotonina [5-hidroxitriptamina (5-HT)], através da inibição da bomba de recaptação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paroxetina, fluvoxamina, sertralina, escitalopram e citalopram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recaptação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r w:rsidR="005A240E" w:rsidRPr="001264D6">
        <w:rPr>
          <w:rFonts w:ascii="NewsGotT" w:hAnsi="NewsGotT"/>
          <w:i/>
          <w:iCs/>
          <w:lang w:val="pt-PT"/>
        </w:rPr>
        <w:t>rash</w:t>
      </w:r>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urticária, angioedema, anafilaxia, artralgia, mialgia e fotossensibilidade, xerostomia, ansiedade, cefaleia, insónia, tremor, tonturas, astenia, alucinações, sonolência, hiponatremia,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7113A7CF"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r w:rsidRPr="001264D6">
              <w:rPr>
                <w:rFonts w:ascii="NewsGotT" w:hAnsi="NewsGotT"/>
                <w:lang w:val="pt-PT"/>
              </w:rPr>
              <w:t xml:space="preserve">Citalopram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lastRenderedPageBreak/>
              <w:t>(Citalopram  Aurovitas)</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(Citalopram  Azevedos)</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lastRenderedPageBreak/>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w:t>
            </w:r>
            <w:r w:rsidRPr="001264D6">
              <w:rPr>
                <w:rFonts w:ascii="NewsGotT" w:hAnsi="NewsGotT"/>
                <w:color w:val="000000"/>
                <w:shd w:val="clear" w:color="auto" w:fill="FFFFFF"/>
                <w:lang w:val="pt-BR"/>
              </w:rPr>
              <w:lastRenderedPageBreak/>
              <w:t>ou sem agorafobia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lastRenderedPageBreak/>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w:t>
            </w:r>
            <w:r w:rsidRPr="001264D6">
              <w:rPr>
                <w:rFonts w:ascii="NewsGotT" w:hAnsi="NewsGotT"/>
                <w:lang w:val="pt-PT"/>
              </w:rPr>
              <w:lastRenderedPageBreak/>
              <w:t>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r w:rsidRPr="001264D6">
              <w:rPr>
                <w:rFonts w:ascii="NewsGotT" w:hAnsi="NewsGotT"/>
                <w:lang w:val="pt-PT"/>
              </w:rPr>
              <w:lastRenderedPageBreak/>
              <w:t xml:space="preserve">Escitalopram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(Cipralex)</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r w:rsidRPr="001264D6">
              <w:rPr>
                <w:rFonts w:ascii="NewsGotT" w:hAnsi="NewsGotT"/>
              </w:rPr>
              <w:t>Fluoxetina</w:t>
            </w:r>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(Digassim)</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disgeusia</w:t>
            </w:r>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r w:rsidRPr="001264D6">
              <w:rPr>
                <w:rFonts w:ascii="NewsGotT" w:hAnsi="NewsGotT"/>
              </w:rPr>
              <w:t>Fluvoxamina</w:t>
            </w:r>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(Dumyrox)</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r w:rsidRPr="001264D6">
              <w:rPr>
                <w:rFonts w:ascii="NewsGotT" w:hAnsi="NewsGotT"/>
                <w:lang w:val="pt-PT"/>
              </w:rPr>
              <w:lastRenderedPageBreak/>
              <w:t>Paroxetina</w:t>
            </w:r>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(Dropax)</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sinosal</w:t>
            </w:r>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r w:rsidRPr="001264D6">
              <w:rPr>
                <w:rFonts w:ascii="NewsGotT" w:hAnsi="NewsGotT"/>
                <w:lang w:val="pt-PT"/>
              </w:rPr>
              <w:t>Sertralina</w:t>
            </w:r>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r w:rsidRPr="001264D6">
              <w:rPr>
                <w:rFonts w:ascii="NewsGotT" w:hAnsi="NewsGotT"/>
              </w:rPr>
              <w:t>Ainim</w:t>
            </w:r>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Inibidores seletivos de recaptação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venlafaxina em seres humanos está relacionado com a potenciação da atividade neurotransmissora no SNC. </w:t>
      </w:r>
      <w:r w:rsidR="00414E88" w:rsidRPr="001264D6">
        <w:rPr>
          <w:rFonts w:ascii="NewsGotT" w:hAnsi="NewsGotT"/>
          <w:lang w:val="pt-PT"/>
        </w:rPr>
        <w:t>E</w:t>
      </w:r>
      <w:r w:rsidRPr="001264D6">
        <w:rPr>
          <w:rFonts w:ascii="NewsGotT" w:hAnsi="NewsGotT"/>
          <w:lang w:val="pt-PT"/>
        </w:rPr>
        <w:t xml:space="preserve">studos pré-clínicos demonstraram que a </w:t>
      </w:r>
      <w:r w:rsidRPr="001264D6">
        <w:rPr>
          <w:rFonts w:ascii="NewsGotT" w:hAnsi="NewsGotT"/>
          <w:lang w:val="pt-PT"/>
        </w:rPr>
        <w:lastRenderedPageBreak/>
        <w:t>venlafaxina e o seu metabolito principal, a O-desmetilvenlafaxina (ODV), são inibidores da recaptação</w:t>
      </w:r>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venlafaxina é também um inibidor fraco da recaptação da dopamina. A venlafaxina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venlafaxina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hipertensão, xerostomia, astenia, irritabilidade, convulsões; aumento das transaminases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Ehrlich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metileno, um derivado da fenotiazina</w:t>
      </w:r>
      <w:r w:rsidR="00211B8C" w:rsidRPr="001264D6">
        <w:rPr>
          <w:rFonts w:ascii="NewsGotT" w:hAnsi="NewsGotT"/>
          <w:lang w:val="pt-PT"/>
        </w:rPr>
        <w:t>, apresentava</w:t>
      </w:r>
      <w:r w:rsidR="00211B8C" w:rsidRPr="001264D6">
        <w:rPr>
          <w:rFonts w:ascii="NewsGotT" w:hAnsi="NewsGotT"/>
          <w:lang w:val="pt-PT"/>
        </w:rPr>
        <w:t xml:space="preserve"> efeitos anti-maláricos. Mais tarde, </w:t>
      </w:r>
      <w:r w:rsidR="00211B8C" w:rsidRPr="001264D6">
        <w:rPr>
          <w:rFonts w:ascii="NewsGotT" w:hAnsi="NewsGotT"/>
          <w:lang w:val="pt-PT"/>
        </w:rPr>
        <w:t>e</w:t>
      </w:r>
      <w:r w:rsidR="00211B8C" w:rsidRPr="001264D6">
        <w:rPr>
          <w:rFonts w:ascii="NewsGotT" w:hAnsi="NewsGotT"/>
          <w:lang w:val="pt-PT"/>
        </w:rPr>
        <w:t xml:space="preserve">m 1951, Laborit e Huguenard administraram fenotiazina alifática, </w:t>
      </w:r>
      <w:r w:rsidR="007F4978" w:rsidRPr="001264D6">
        <w:rPr>
          <w:rFonts w:ascii="NewsGotT" w:hAnsi="NewsGotT"/>
          <w:lang w:val="pt-PT"/>
        </w:rPr>
        <w:t xml:space="preserve">a </w:t>
      </w:r>
      <w:r w:rsidR="00211B8C" w:rsidRPr="001264D6">
        <w:rPr>
          <w:rFonts w:ascii="NewsGotT" w:hAnsi="NewsGotT"/>
          <w:lang w:val="pt-PT"/>
        </w:rPr>
        <w:t xml:space="preserve">clorpromazina, aos pacientes pelos seus potenciais efeitos anestésicos durante a cirurgia. Pouco tempo depois, Hamon e Delay alargaram a utilização deste tratamento em doentes psiquiátricos e descobriram serendipitadamente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clorpromazina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haloperidol, abriram caminho a uma espiral de conhecimento e inovação que se materializou numa nova conceção de saúde mental. </w:t>
      </w:r>
      <w:r w:rsidR="00A00AC5" w:rsidRPr="001264D6">
        <w:rPr>
          <w:rFonts w:ascii="NewsGotT" w:hAnsi="NewsGotT"/>
          <w:lang w:val="pt-PT"/>
        </w:rPr>
        <w:t xml:space="preserve">A hipótese da </w:t>
      </w:r>
      <w:r w:rsidR="00A00AC5" w:rsidRPr="001264D6">
        <w:rPr>
          <w:rFonts w:ascii="NewsGotT" w:hAnsi="NewsGotT"/>
          <w:lang w:val="pt-PT"/>
        </w:rPr>
        <w:lastRenderedPageBreak/>
        <w:t>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fenotiazina, e passando a ser utilizados derivados de tioxantenos e butirofenonas</w:t>
      </w:r>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clozapina, risperidona, olanzapina</w:t>
      </w:r>
      <w:r w:rsidR="002A6BBD" w:rsidRPr="001264D6">
        <w:rPr>
          <w:rFonts w:ascii="NewsGotT" w:hAnsi="NewsGotT"/>
          <w:lang w:val="pt-PT"/>
        </w:rPr>
        <w:t>,</w:t>
      </w:r>
      <w:r w:rsidR="00642A5D" w:rsidRPr="001264D6">
        <w:rPr>
          <w:rFonts w:ascii="NewsGotT" w:hAnsi="NewsGotT"/>
          <w:lang w:val="pt-PT"/>
        </w:rPr>
        <w:t xml:space="preserve"> a </w:t>
      </w:r>
      <w:r w:rsidR="004E02CC" w:rsidRPr="001264D6">
        <w:rPr>
          <w:rFonts w:ascii="NewsGotT" w:hAnsi="NewsGotT"/>
          <w:lang w:val="pt-PT"/>
        </w:rPr>
        <w:t>quetiapina</w:t>
      </w:r>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o aripiprazol</w:t>
      </w:r>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O mecanismo de ação exato é ainda desconhecido, mas pensa-se que este se deva ao antagonismo dos recetores dopaminérgicos, mais propriamente ao recetor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neurotransmissor associado à génese da psicose e de certos serotonérgicos, nomeadamente o 5-HT2A, recetor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Neste subgrupo incluem-se a risperidona, olanzapina, sertindol e clozapina</w:t>
      </w:r>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6CC1E55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lastRenderedPageBreak/>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lastRenderedPageBreak/>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r w:rsidRPr="001264D6">
              <w:rPr>
                <w:rFonts w:ascii="NewsGotT" w:hAnsi="NewsGotT"/>
                <w:lang w:val="pt-PT"/>
              </w:rPr>
              <w:t xml:space="preserve">Haloperidol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(Haldol)</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Tratamento da esquizofrenia e da perturbação esquizoafetiva</w:t>
            </w:r>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r w:rsidRPr="001264D6">
              <w:rPr>
                <w:rFonts w:ascii="NewsGotT" w:hAnsi="NewsGotT"/>
                <w:i/>
                <w:iCs/>
                <w:lang w:val="pt-PT"/>
              </w:rPr>
              <w:t>Gilles de la Tourette</w:t>
            </w:r>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iminuição da líbido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ipercinesia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d</w:t>
            </w:r>
            <w:r w:rsidRPr="001264D6">
              <w:rPr>
                <w:rFonts w:ascii="NewsGotT" w:hAnsi="NewsGotT"/>
                <w:lang w:val="pt-BR"/>
              </w:rPr>
              <w:t>iscinesia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b</w:t>
            </w:r>
            <w:r w:rsidRPr="001264D6">
              <w:rPr>
                <w:rFonts w:ascii="NewsGotT" w:hAnsi="NewsGotT"/>
                <w:lang w:val="pt-BR"/>
              </w:rPr>
              <w:t>radicinesia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d</w:t>
            </w:r>
            <w:r w:rsidRPr="001264D6">
              <w:rPr>
                <w:rFonts w:ascii="NewsGotT" w:hAnsi="NewsGotT"/>
                <w:lang w:val="pt-BR"/>
              </w:rPr>
              <w:t>iscinesia</w:t>
            </w:r>
            <w:r w:rsidRPr="001264D6">
              <w:rPr>
                <w:rFonts w:ascii="NewsGotT" w:hAnsi="NewsGotT"/>
                <w:lang w:val="pt-BR"/>
              </w:rPr>
              <w:t>; d</w:t>
            </w:r>
            <w:r w:rsidRPr="001264D6">
              <w:rPr>
                <w:rFonts w:ascii="NewsGotT" w:hAnsi="NewsGotT"/>
                <w:lang w:val="pt-BR"/>
              </w:rPr>
              <w:t>istonia</w:t>
            </w:r>
            <w:r w:rsidRPr="001264D6">
              <w:rPr>
                <w:rFonts w:ascii="NewsGotT" w:hAnsi="NewsGotT"/>
                <w:lang w:val="pt-BR"/>
              </w:rPr>
              <w:t>;  h</w:t>
            </w:r>
            <w:r w:rsidRPr="001264D6">
              <w:rPr>
                <w:rFonts w:ascii="NewsGotT" w:hAnsi="NewsGotT"/>
                <w:lang w:val="pt-BR"/>
              </w:rPr>
              <w:t>ipocinesia</w:t>
            </w:r>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r w:rsidRPr="001264D6">
              <w:rPr>
                <w:rFonts w:ascii="NewsGotT" w:hAnsi="NewsGotT"/>
                <w:lang w:val="pt-PT"/>
              </w:rPr>
              <w:t xml:space="preserve">Quetiapina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(Seroquel)</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r w:rsidRPr="001264D6">
              <w:rPr>
                <w:rFonts w:ascii="NewsGotT" w:hAnsi="NewsGotT"/>
                <w:lang w:val="pt-PT"/>
              </w:rPr>
              <w:t xml:space="preserve">Risperidona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(Risperdal)</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r w:rsidR="006274CC" w:rsidRPr="001264D6">
              <w:rPr>
                <w:rFonts w:ascii="NewsGotT" w:hAnsi="NewsGotT"/>
                <w:lang w:val="pt-BR"/>
              </w:rPr>
              <w:t>hiperprolactinemia</w:t>
            </w:r>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r w:rsidRPr="001264D6">
              <w:rPr>
                <w:rFonts w:ascii="NewsGotT" w:hAnsi="NewsGotT"/>
                <w:i/>
                <w:iCs/>
                <w:lang w:val="pt-BR"/>
              </w:rPr>
              <w:t>rash;</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com acetilcolinesterase,</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haloperidol mostraram </w:t>
      </w:r>
      <w:r w:rsidR="00AC6045" w:rsidRPr="001264D6">
        <w:rPr>
          <w:rFonts w:ascii="NewsGotT" w:hAnsi="NewsGotT"/>
          <w:lang w:val="pt-PT"/>
        </w:rPr>
        <w:t xml:space="preserve">que </w:t>
      </w:r>
      <w:r w:rsidRPr="001264D6">
        <w:rPr>
          <w:rFonts w:ascii="NewsGotT" w:hAnsi="NewsGotT"/>
          <w:lang w:val="pt-PT"/>
        </w:rPr>
        <w:t>a eficácia dos antipsicóticos atípicos era semelhante à do haloperidol</w:t>
      </w:r>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Antiácidos e anti-ulcerosos</w:t>
      </w:r>
      <w:bookmarkEnd w:id="76"/>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Ranitidina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síndrome de Zollinger-Ellison</w:t>
      </w:r>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Mendelson. </w:t>
      </w:r>
      <w:r w:rsidR="00F70B2A" w:rsidRPr="001264D6">
        <w:rPr>
          <w:rFonts w:ascii="NewsGotT" w:hAnsi="NewsGotT"/>
          <w:lang w:val="pt-PT" w:eastAsia="x-none"/>
        </w:rPr>
        <w:t xml:space="preserve">A </w:t>
      </w:r>
      <w:r w:rsidR="00C9124C" w:rsidRPr="001264D6">
        <w:rPr>
          <w:rFonts w:ascii="NewsGotT" w:hAnsi="NewsGotT"/>
          <w:lang w:val="pt-PT" w:eastAsia="x-none"/>
        </w:rPr>
        <w:t>r</w:t>
      </w:r>
      <w:r w:rsidR="00F70B2A" w:rsidRPr="001264D6">
        <w:rPr>
          <w:rFonts w:ascii="NewsGotT" w:hAnsi="NewsGotT"/>
          <w:lang w:val="pt-PT" w:eastAsia="x-none"/>
        </w:rPr>
        <w:t xml:space="preserve">anitidina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 xml:space="preserve">tanto </w:t>
      </w:r>
      <w:r w:rsidR="00093AD4" w:rsidRPr="001264D6">
        <w:rPr>
          <w:rFonts w:ascii="NewsGotT" w:hAnsi="NewsGotT"/>
          <w:lang w:val="pt-PT" w:eastAsia="x-none"/>
        </w:rPr>
        <w:lastRenderedPageBreak/>
        <w:t>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ranitidina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cimetidina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confusão mental reversível, depressão e alucinações, predominantemente em indivíduos gravemente doentes, em doentes idosos e em doentes nefropáticos</w:t>
      </w:r>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fibrin</w:t>
      </w:r>
      <w:r w:rsidRPr="001264D6">
        <w:rPr>
          <w:rFonts w:ascii="NewsGotT" w:hAnsi="NewsGotT"/>
          <w:lang w:val="pt-BR" w:eastAsia="x-none"/>
        </w:rPr>
        <w:t>ól</w:t>
      </w:r>
      <w:r w:rsidRPr="001264D6">
        <w:rPr>
          <w:rFonts w:ascii="NewsGotT" w:hAnsi="NewsGotT"/>
          <w:lang w:val="pt-BR" w:eastAsia="x-none"/>
        </w:rPr>
        <w:t xml:space="preserve">ise,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plaque</w:t>
      </w:r>
      <w:r w:rsidR="00087F92" w:rsidRPr="001264D6">
        <w:rPr>
          <w:rFonts w:ascii="NewsGotT" w:hAnsi="NewsGotT"/>
          <w:lang w:val="pt-BR" w:eastAsia="x-none"/>
        </w:rPr>
        <w:t>tár</w:t>
      </w:r>
      <w:r w:rsidRPr="001264D6">
        <w:rPr>
          <w:rFonts w:ascii="NewsGotT" w:hAnsi="NewsGotT"/>
          <w:lang w:val="pt-BR" w:eastAsia="x-none"/>
        </w:rPr>
        <w:t>ia,</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indiretos como os derivados cumarínicos</w:t>
      </w:r>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r w:rsidRPr="001264D6">
        <w:rPr>
          <w:rFonts w:ascii="NewsGotT" w:hAnsi="NewsGotT"/>
          <w:b/>
          <w:bCs/>
          <w:lang w:val="pt-PT"/>
        </w:rPr>
        <w:t>Antivitamínicos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O potencial da varfarina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cumarina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(acenocumarol e varfarina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lastRenderedPageBreak/>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varfarina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auricular ou submetidos a plastias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varfarina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r w:rsidRPr="001D66CD">
        <w:rPr>
          <w:rFonts w:ascii="NewsGotT" w:hAnsi="NewsGotT"/>
          <w:b/>
          <w:bCs/>
          <w:lang w:val="pt-PT"/>
        </w:rPr>
        <w:t>Antiagregantes plaquetários</w:t>
      </w:r>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Os antiagregantes plaquetários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O dipiridamol é um vasodilatador que interfere com a função 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denosina monofosfato cíclico</w:t>
      </w:r>
      <w:r w:rsidR="00BB4EA2" w:rsidRPr="001264D6">
        <w:rPr>
          <w:rFonts w:ascii="NewsGotT" w:hAnsi="NewsGotT"/>
          <w:lang w:val="pt-BR" w:eastAsia="x-none"/>
        </w:rPr>
        <w:t xml:space="preserve"> (</w:t>
      </w:r>
      <w:r w:rsidR="00BB4EA2" w:rsidRPr="001264D6">
        <w:rPr>
          <w:rFonts w:ascii="NewsGotT" w:hAnsi="NewsGotT"/>
          <w:lang w:val="pt-BR" w:eastAsia="x-none"/>
        </w:rPr>
        <w:t>AMPc</w:t>
      </w:r>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fosfodiesterase</w:t>
      </w:r>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Não tem qualquer benefício por si mesmo mas, associado à varfarina, usa-se na profilaxia da doença tromboembólica em doentes com próteses valvulares e associado ao ácido acetilsalicílico na prevenção secundária de AVC isquémico e de acidentes isquémicos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antiagregante plaquetário,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r w:rsidRPr="001264D6">
        <w:rPr>
          <w:rFonts w:ascii="NewsGotT" w:hAnsi="NewsGotT"/>
          <w:lang w:val="pt-PT"/>
        </w:rPr>
        <w:t>A</w:t>
      </w:r>
      <w:r w:rsidRPr="001264D6">
        <w:rPr>
          <w:rFonts w:ascii="NewsGotT" w:hAnsi="NewsGotT"/>
          <w:lang w:val="pt-PT" w:eastAsia="x-none"/>
        </w:rPr>
        <w:t>ntidislipidémicos</w:t>
      </w:r>
      <w:bookmarkEnd w:id="78"/>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lastRenderedPageBreak/>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r w:rsidR="001367C8" w:rsidRPr="001264D6">
        <w:rPr>
          <w:rFonts w:ascii="NewsGotT" w:hAnsi="NewsGotT"/>
          <w:lang w:val="pt-BR" w:eastAsia="x-none"/>
        </w:rPr>
        <w:t>hipercolesterolemia</w:t>
      </w:r>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(low-density lipoprotein)</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r w:rsidR="00C071D4" w:rsidRPr="001264D6">
        <w:rPr>
          <w:rFonts w:ascii="NewsGotT" w:hAnsi="NewsGotT"/>
          <w:lang w:val="pt-BR" w:eastAsia="x-none"/>
        </w:rPr>
        <w:t>hipertrigliceridemia</w:t>
      </w:r>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r w:rsidR="00AA0139" w:rsidRPr="001264D6">
        <w:rPr>
          <w:rFonts w:ascii="NewsGotT" w:hAnsi="NewsGotT"/>
          <w:lang w:val="pt-BR" w:eastAsia="x-none"/>
        </w:rPr>
        <w:t>hipolipidemia</w:t>
      </w:r>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(high-density lipoprotein)</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estatinas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As estatinas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r w:rsidR="0088043D" w:rsidRPr="0088043D">
        <w:rPr>
          <w:rFonts w:ascii="NewsGotT" w:hAnsi="NewsGotT"/>
          <w:i/>
          <w:iCs/>
          <w:lang w:val="pt-PT" w:eastAsia="x-none"/>
        </w:rPr>
        <w:t>Penicillium citrinum</w:t>
      </w:r>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estatinas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HMG-CoA</w:t>
      </w:r>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redutase. A primeira estatina</w:t>
      </w:r>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r w:rsidR="0088043D" w:rsidRPr="0088043D">
        <w:rPr>
          <w:rFonts w:ascii="NewsGotT" w:hAnsi="NewsGotT"/>
          <w:i/>
          <w:iCs/>
          <w:lang w:val="pt-PT" w:eastAsia="x-none"/>
        </w:rPr>
        <w:t>compactina</w:t>
      </w:r>
      <w:r w:rsidR="0088043D" w:rsidRPr="0088043D">
        <w:rPr>
          <w:rFonts w:ascii="NewsGotT" w:hAnsi="NewsGotT"/>
          <w:lang w:val="pt-PT" w:eastAsia="x-none"/>
        </w:rPr>
        <w:t xml:space="preserve">, renomeada </w:t>
      </w:r>
      <w:r w:rsidR="0088043D" w:rsidRPr="0088043D">
        <w:rPr>
          <w:rFonts w:ascii="NewsGotT" w:hAnsi="NewsGotT"/>
          <w:i/>
          <w:iCs/>
          <w:lang w:val="pt-PT" w:eastAsia="x-none"/>
        </w:rPr>
        <w:t>mevastatina</w:t>
      </w:r>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estatina aprovada para uso em humanos foi a </w:t>
      </w:r>
      <w:r w:rsidR="0088043D" w:rsidRPr="0088043D">
        <w:rPr>
          <w:rFonts w:ascii="NewsGotT" w:hAnsi="NewsGotT"/>
          <w:lang w:val="pt-PT" w:eastAsia="x-none"/>
        </w:rPr>
        <w:t>lovastatina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mevinolina),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r w:rsidR="0088043D" w:rsidRPr="0088043D">
        <w:rPr>
          <w:rFonts w:ascii="NewsGotT" w:hAnsi="NewsGotT"/>
          <w:i/>
          <w:iCs/>
          <w:lang w:val="pt-PT" w:eastAsia="x-none"/>
        </w:rPr>
        <w:t>Aspergillus</w:t>
      </w:r>
      <w:r w:rsidR="0088043D" w:rsidRPr="0088043D">
        <w:rPr>
          <w:rFonts w:ascii="NewsGotT" w:hAnsi="NewsGotT"/>
          <w:i/>
          <w:iCs/>
          <w:lang w:val="pt-PT" w:eastAsia="x-none"/>
        </w:rPr>
        <w:t xml:space="preserve"> </w:t>
      </w:r>
      <w:r w:rsidR="0088043D" w:rsidRPr="0088043D">
        <w:rPr>
          <w:rFonts w:ascii="NewsGotT" w:hAnsi="NewsGotT"/>
          <w:i/>
          <w:iCs/>
          <w:lang w:val="pt-PT" w:eastAsia="x-none"/>
        </w:rPr>
        <w:t>terreus.</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seis estatinas, sendo que a</w:t>
      </w:r>
      <w:r w:rsidR="0088043D" w:rsidRPr="0088043D">
        <w:rPr>
          <w:rFonts w:ascii="NewsGotT" w:hAnsi="NewsGotT"/>
          <w:lang w:val="pt-PT" w:eastAsia="x-none"/>
        </w:rPr>
        <w:t xml:space="preserve"> pravastatina</w:t>
      </w:r>
      <w:r w:rsidR="00DD5C58">
        <w:rPr>
          <w:rFonts w:ascii="NewsGotT" w:hAnsi="NewsGotT"/>
          <w:lang w:val="pt-PT" w:eastAsia="x-none"/>
        </w:rPr>
        <w:t xml:space="preserve"> </w:t>
      </w:r>
      <w:r w:rsidR="0088043D" w:rsidRPr="0088043D">
        <w:rPr>
          <w:rFonts w:ascii="NewsGotT" w:hAnsi="NewsGotT"/>
          <w:lang w:val="pt-PT" w:eastAsia="x-none"/>
        </w:rPr>
        <w:t xml:space="preserve">e a sinvastatina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m um anel hexaidronaftaleno</w:t>
      </w:r>
      <w:r w:rsidR="00986D22">
        <w:rPr>
          <w:rFonts w:ascii="NewsGotT" w:hAnsi="NewsGotT"/>
          <w:lang w:val="pt-PT" w:eastAsia="x-none"/>
        </w:rPr>
        <w:t xml:space="preserve">. </w:t>
      </w:r>
      <w:r w:rsidR="00986D22" w:rsidRPr="00986D22">
        <w:rPr>
          <w:rFonts w:ascii="NewsGotT" w:hAnsi="NewsGotT"/>
          <w:lang w:val="pt-PT" w:eastAsia="x-none"/>
        </w:rPr>
        <w:t>A f</w:t>
      </w:r>
      <w:r w:rsidR="00986D22">
        <w:rPr>
          <w:rFonts w:ascii="NewsGotT" w:hAnsi="NewsGotT"/>
          <w:lang w:val="pt-PT" w:eastAsia="x-none"/>
        </w:rPr>
        <w:t>l</w:t>
      </w:r>
      <w:r w:rsidR="00986D22" w:rsidRPr="00986D22">
        <w:rPr>
          <w:rFonts w:ascii="NewsGotT" w:hAnsi="NewsGotT"/>
          <w:lang w:val="pt-PT" w:eastAsia="x-none"/>
        </w:rPr>
        <w:t>uvastatina, a atorvastatina, rosuvastatina</w:t>
      </w:r>
      <w:r w:rsidR="00986D22">
        <w:rPr>
          <w:rFonts w:ascii="NewsGotT" w:hAnsi="NewsGotT"/>
          <w:lang w:val="pt-PT" w:eastAsia="x-none"/>
        </w:rPr>
        <w:t xml:space="preserve"> </w:t>
      </w:r>
      <w:r w:rsidR="00986D22" w:rsidRPr="00986D22">
        <w:rPr>
          <w:rFonts w:ascii="NewsGotT" w:hAnsi="NewsGotT"/>
          <w:lang w:val="pt-PT" w:eastAsia="x-none"/>
        </w:rPr>
        <w:t xml:space="preserve">e a pitavastatina </w:t>
      </w:r>
      <w:r w:rsidR="00986D22">
        <w:rPr>
          <w:rFonts w:ascii="NewsGotT" w:hAnsi="NewsGotT"/>
          <w:lang w:val="pt-PT" w:eastAsia="x-none"/>
        </w:rPr>
        <w:t>são</w:t>
      </w:r>
      <w:r w:rsidR="00986D22" w:rsidRPr="00986D22">
        <w:rPr>
          <w:rFonts w:ascii="NewsGotT" w:hAnsi="NewsGotT"/>
          <w:lang w:val="pt-PT" w:eastAsia="x-none"/>
        </w:rPr>
        <w:t xml:space="preserve"> compostos </w:t>
      </w:r>
      <w:r w:rsidR="00986D22" w:rsidRPr="00986D22">
        <w:rPr>
          <w:rFonts w:ascii="NewsGotT" w:hAnsi="NewsGotT"/>
          <w:lang w:val="pt-PT" w:eastAsia="x-none"/>
        </w:rPr>
        <w:lastRenderedPageBreak/>
        <w:t>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cido heptanoico,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HMG-CoA.</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estatinas prende-se com a redução dos níveis de LDL, devida a uma porção semelhante ao ácido mevalónico, que inibe competitivamente a HMG-CoA redutase.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HMG-CoA em mevalonato, as estatinas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estatinas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dislipidemias e em particular da </w:t>
      </w:r>
      <w:r w:rsidR="003578A6" w:rsidRPr="001264D6">
        <w:rPr>
          <w:rFonts w:ascii="NewsGotT" w:hAnsi="NewsGotT"/>
          <w:lang w:val="pt-BR" w:eastAsia="x-none"/>
        </w:rPr>
        <w:t>hipercolesterolemia</w:t>
      </w:r>
      <w:r w:rsidR="003578A6">
        <w:rPr>
          <w:rFonts w:ascii="NewsGotT" w:hAnsi="NewsGotT"/>
          <w:lang w:val="pt-BR" w:eastAsia="x-none"/>
        </w:rPr>
        <w:t xml:space="preserve">, assumiu uma importância renovada pela introdução na prática clinica dos inibidores da redutase </w:t>
      </w:r>
      <w:r w:rsidR="003578A6" w:rsidRPr="00130171">
        <w:rPr>
          <w:rFonts w:ascii="NewsGotT" w:hAnsi="NewsGotT"/>
          <w:lang w:val="pt-BR" w:eastAsia="x-none"/>
        </w:rPr>
        <w:t>da HMG-CoA</w:t>
      </w:r>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estatinas revelaram uma elevação dos níveis </w:t>
      </w:r>
      <w:r w:rsidRPr="0058396A">
        <w:rPr>
          <w:rFonts w:ascii="NewsGotT" w:hAnsi="NewsGotT"/>
          <w:lang w:val="pt-PT" w:eastAsia="x-none"/>
        </w:rPr>
        <w:t>de transaminases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estatinas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estatinas,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C8D3CA3" w:rsidR="0058396A" w:rsidRPr="0058396A" w:rsidRDefault="0058396A" w:rsidP="0058396A">
      <w:pPr>
        <w:pStyle w:val="Caption"/>
        <w:keepNext/>
        <w:rPr>
          <w:lang w:val="pt-BR"/>
        </w:rPr>
      </w:pPr>
      <w:bookmarkStart w:id="79" w:name="_Ref80090758"/>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Atorvastatina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r w:rsidRPr="004A64AD">
              <w:rPr>
                <w:rFonts w:ascii="NewsGotT" w:hAnsi="NewsGotT"/>
                <w:lang w:val="pt-PT" w:eastAsia="x-none"/>
              </w:rPr>
              <w:t>N</w:t>
            </w:r>
            <w:r w:rsidRPr="004A64AD">
              <w:rPr>
                <w:rFonts w:ascii="NewsGotT" w:hAnsi="NewsGotT"/>
                <w:lang w:val="pt-PT" w:eastAsia="x-none"/>
              </w:rPr>
              <w:t>asofaringite</w:t>
            </w:r>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dor faringolarínge</w:t>
            </w:r>
            <w:r>
              <w:rPr>
                <w:rFonts w:ascii="NewsGotT" w:hAnsi="NewsGotT"/>
                <w:lang w:val="pt-PT" w:eastAsia="x-none"/>
              </w:rPr>
              <w:t>;</w:t>
            </w:r>
            <w:r w:rsidRPr="004A64AD">
              <w:rPr>
                <w:rFonts w:ascii="NewsGotT" w:hAnsi="NewsGotT"/>
                <w:lang w:val="pt-PT" w:eastAsia="x-none"/>
              </w:rPr>
              <w:t xml:space="preserve"> epistaxis</w:t>
            </w:r>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creatina quinase</w:t>
            </w:r>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 xml:space="preserve">Fluvastatina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ipercolesterolemia primária ou dislipidemia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lastRenderedPageBreak/>
              <w:t>prevenção</w:t>
            </w:r>
            <w:r w:rsidRPr="004A64AD">
              <w:rPr>
                <w:rFonts w:ascii="NewsGotT" w:hAnsi="NewsGotT"/>
                <w:lang w:val="pt-BR" w:eastAsia="x-none"/>
              </w:rPr>
              <w:t xml:space="preserve"> secundária na doença cardíaca coronária</w:t>
            </w:r>
          </w:p>
        </w:tc>
        <w:tc>
          <w:tcPr>
            <w:tcW w:w="3672" w:type="dxa"/>
          </w:tcPr>
          <w:p w14:paraId="3E4319D0" w14:textId="6907C667"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lastRenderedPageBreak/>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reatina fosfoquinase</w:t>
            </w:r>
            <w:r>
              <w:rPr>
                <w:rFonts w:ascii="NewsGotT" w:hAnsi="NewsGotT"/>
                <w:lang w:val="pt-BR" w:eastAsia="x-none"/>
              </w:rPr>
              <w:t xml:space="preserve"> </w:t>
            </w:r>
            <w:r>
              <w:rPr>
                <w:rFonts w:ascii="NewsGotT" w:hAnsi="NewsGotT"/>
                <w:lang w:val="pt-BR" w:eastAsia="x-none"/>
              </w:rPr>
              <w:lastRenderedPageBreak/>
              <w:t>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lastRenderedPageBreak/>
              <w:t xml:space="preserve">Pravastatina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edução da hiperlipidemia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Rosuvastatina</w:t>
            </w:r>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r w:rsidRPr="00E42A55">
              <w:rPr>
                <w:rFonts w:ascii="NewsGotT" w:hAnsi="NewsGotT"/>
                <w:i/>
                <w:iCs/>
                <w:lang w:val="pt-PT" w:eastAsia="x-none"/>
              </w:rPr>
              <w:t>mellitus</w:t>
            </w:r>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Sinvastatina</w:t>
            </w:r>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 xml:space="preserve">um grupo de substâncias que previnem ou interrompem a </w:t>
      </w:r>
      <w:r w:rsidR="009E017B" w:rsidRPr="009C063B">
        <w:rPr>
          <w:rFonts w:ascii="NewsGotT" w:hAnsi="NewsGotT"/>
          <w:lang w:val="pt-BR" w:eastAsia="x-none"/>
        </w:rPr>
        <w:lastRenderedPageBreak/>
        <w:t>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anticolinérgicos/antimuscarínicos</w:t>
      </w:r>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Nesta classe de fármacos, destaca-se o b</w:t>
      </w:r>
      <w:r w:rsidRPr="00667291">
        <w:rPr>
          <w:rFonts w:ascii="NewsGotT" w:hAnsi="NewsGotT"/>
          <w:lang w:val="pt-BR" w:eastAsia="x-none"/>
        </w:rPr>
        <w:t xml:space="preserve">utilbrometo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um alcalóide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bloqueando os recetores muscarínicos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N-butil-hioscina</w:t>
      </w:r>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parede visceral, assim como da atividade antimuscarínica.</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r w:rsidR="00DF114D" w:rsidRPr="00DF114D">
        <w:rPr>
          <w:rFonts w:ascii="NewsGotT" w:hAnsi="NewsGotT"/>
          <w:lang w:val="pt-BR" w:eastAsia="x-none"/>
        </w:rPr>
        <w:t>neuroinflamatória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DF6FEB1" w:rsidR="001427E6" w:rsidRDefault="001427E6" w:rsidP="001427E6">
      <w:pPr>
        <w:pStyle w:val="Caption"/>
        <w:keepNext/>
      </w:pPr>
      <w:bookmarkStart w:id="80" w:name="_Ref80204249"/>
      <w:r>
        <w:t xml:space="preserve">Tabela </w:t>
      </w:r>
      <w:r>
        <w:fldChar w:fldCharType="begin"/>
      </w:r>
      <w:r>
        <w:instrText xml:space="preserve"> SEQ Tabela \* ARABIC </w:instrText>
      </w:r>
      <w:r>
        <w:fldChar w:fldCharType="separate"/>
      </w:r>
      <w:r w:rsidR="001B55E1">
        <w:rPr>
          <w:noProof/>
        </w:rPr>
        <w:t>12</w:t>
      </w:r>
      <w:r>
        <w:fldChar w:fldCharType="end"/>
      </w:r>
      <w:bookmarkEnd w:id="80"/>
      <w:r>
        <w:t xml:space="preserve"> - Antiespamódicos</w:t>
      </w:r>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disidrose;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Alverina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r w:rsidRPr="001A7E44">
        <w:rPr>
          <w:rFonts w:ascii="NewsGotT" w:hAnsi="NewsGotT"/>
          <w:lang w:val="pt-PT" w:eastAsia="x-none"/>
        </w:rPr>
        <w:t>Anti</w:t>
      </w:r>
      <w:r w:rsidRPr="001A7E44">
        <w:rPr>
          <w:rFonts w:ascii="NewsGotT" w:hAnsi="NewsGotT"/>
          <w:lang w:val="pt-PT" w:eastAsia="x-none"/>
        </w:rPr>
        <w:t xml:space="preserve">-hipertensores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suficiente, pelo que o recurso aos anti-hipertensores é frequentemente necessário.</w:t>
      </w:r>
      <w:r w:rsidR="008F4F3B">
        <w:rPr>
          <w:rFonts w:ascii="NewsGotT" w:hAnsi="NewsGotT"/>
          <w:lang w:val="pt-BR" w:eastAsia="x-none"/>
        </w:rPr>
        <w:t xml:space="preserve"> Os anti-hipertensores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A nifedipina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A nifedipina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vasospasmo. O resultado final traduz-se por um aumento do fluxo sanguíneo pós-estenótico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nifedipina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(IECAs)</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lastRenderedPageBreak/>
        <w:t xml:space="preserve">O captopril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do captopril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vasopressora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Os IECA</w:t>
      </w:r>
      <w:r>
        <w:rPr>
          <w:rFonts w:ascii="NewsGotT" w:hAnsi="NewsGotT"/>
          <w:lang w:val="pt-PT" w:eastAsia="x-none"/>
        </w:rPr>
        <w:t>s</w:t>
      </w:r>
      <w:r w:rsidRPr="00FA02BB">
        <w:rPr>
          <w:rFonts w:ascii="NewsGotT" w:hAnsi="NewsGotT"/>
          <w:lang w:val="pt-PT" w:eastAsia="x-none"/>
        </w:rPr>
        <w:t xml:space="preserve"> são anti-hipertensores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IECAs podem originar insónias, confusão, depressão, disguesia,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Os diuréticos da ansa inibem a reabsorção de sódio no ramo ascendente da ansa de Henle</w:t>
      </w:r>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ramo ascendente da ansa de Henle</w:t>
      </w:r>
      <w:r>
        <w:rPr>
          <w:rFonts w:ascii="NewsGotT" w:hAnsi="NewsGotT"/>
          <w:lang w:val="pt-BR" w:eastAsia="x-none"/>
        </w:rPr>
        <w:t>. C</w:t>
      </w:r>
      <w:r w:rsidRPr="00214C67">
        <w:rPr>
          <w:rFonts w:ascii="NewsGotT" w:hAnsi="NewsGotT"/>
          <w:lang w:val="pt-BR" w:eastAsia="x-none"/>
        </w:rPr>
        <w:t>onsequentemente, a eficácia da ação salurética</w:t>
      </w:r>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aniónico. A ação diurética resulta da</w:t>
      </w:r>
      <w:r>
        <w:rPr>
          <w:rFonts w:ascii="NewsGotT" w:hAnsi="NewsGotT"/>
          <w:lang w:val="pt-BR" w:eastAsia="x-none"/>
        </w:rPr>
        <w:t xml:space="preserve"> </w:t>
      </w:r>
      <w:r w:rsidRPr="00214C67">
        <w:rPr>
          <w:rFonts w:ascii="NewsGotT" w:hAnsi="NewsGotT"/>
          <w:lang w:val="pt-BR" w:eastAsia="x-none"/>
        </w:rPr>
        <w:t>inibição da reabsorção de cloreto de sódio neste segmento da ansa de Henle.</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hemoconcentração,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xml:space="preserve">, desidratação, aumento </w:t>
      </w:r>
      <w:r>
        <w:rPr>
          <w:rFonts w:ascii="NewsGotT" w:hAnsi="NewsGotT"/>
          <w:lang w:val="pt-BR" w:eastAsia="x-none"/>
        </w:rPr>
        <w:lastRenderedPageBreak/>
        <w:t>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parestesias, cefaleias, </w:t>
      </w:r>
      <w:r w:rsidRPr="00214C67">
        <w:rPr>
          <w:rFonts w:ascii="NewsGotT" w:hAnsi="NewsGotT"/>
          <w:lang w:val="pt-BR" w:eastAsia="x-none"/>
        </w:rPr>
        <w:t>perda auditiva (ototoxicidade</w:t>
      </w:r>
      <w:r>
        <w:rPr>
          <w:rFonts w:ascii="NewsGotT" w:hAnsi="NewsGotT"/>
          <w:lang w:val="pt-BR" w:eastAsia="x-none"/>
        </w:rPr>
        <w:t>), vómitos, pruridos,</w:t>
      </w:r>
      <w:r w:rsidRPr="00214C67">
        <w:rPr>
          <w:rFonts w:ascii="NewsGotT" w:hAnsi="NewsGotT"/>
          <w:lang w:val="pt-BR" w:eastAsia="x-none"/>
        </w:rPr>
        <w:t xml:space="preserve"> </w:t>
      </w:r>
      <w:r w:rsidRPr="00214C67">
        <w:rPr>
          <w:rFonts w:ascii="NewsGotT" w:hAnsi="NewsGotT"/>
          <w:i/>
          <w:iCs/>
          <w:lang w:val="pt-BR" w:eastAsia="x-none"/>
        </w:rPr>
        <w:t>rash</w:t>
      </w:r>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efetora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r w:rsidRPr="00A45C14">
        <w:rPr>
          <w:rFonts w:ascii="NewsGotT" w:hAnsi="NewsGotT"/>
          <w:lang w:val="pt-PT" w:eastAsia="x-none"/>
        </w:rPr>
        <w:t xml:space="preserve">anti-hipertensor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clonidina. Este fármaco, foi inicialmente desenvolvido como um </w:t>
      </w:r>
      <w:r w:rsidR="00A63A2C">
        <w:rPr>
          <w:rFonts w:ascii="NewsGotT" w:hAnsi="NewsGotT"/>
          <w:lang w:val="pt-PT" w:eastAsia="x-none"/>
        </w:rPr>
        <w:t xml:space="preserve">descongestionante 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adrenorecetores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na prevenção da hipertensão ocular no pós-operatório e na redução da pressão ocular em situações refractárias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 xml:space="preserve">o </w:t>
      </w:r>
      <w:r w:rsidR="00910E1A">
        <w:rPr>
          <w:rFonts w:ascii="NewsGotT" w:hAnsi="NewsGotT"/>
          <w:lang w:val="pt-BR" w:eastAsia="x-none"/>
        </w:rPr>
        <w:lastRenderedPageBreak/>
        <w:t>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vasodepressora</w:t>
      </w:r>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r w:rsidR="00CE4FF4" w:rsidRPr="00CE4FF4">
        <w:rPr>
          <w:rFonts w:ascii="NewsGotT" w:hAnsi="NewsGotT"/>
          <w:i/>
          <w:iCs/>
          <w:lang w:val="pt-BR" w:eastAsia="x-none"/>
        </w:rPr>
        <w:t>histos</w:t>
      </w:r>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r w:rsidR="00A17525" w:rsidRPr="00A17525">
        <w:rPr>
          <w:rFonts w:ascii="NewsGotT" w:hAnsi="NewsGotT"/>
          <w:lang w:val="pt-BR" w:eastAsia="x-none"/>
        </w:rPr>
        <w:t>timoxietildietilamina</w:t>
      </w:r>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 xml:space="preserve">m grande avanço no desenvolvimento de anti-histamínicos com a introdução de anti-histamínicos H1 de segunda geração, que são minimamente ou não sedativos devido à sua penetração limitada da barreira hemato-encefálica.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765DCC75"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hidro</w:t>
      </w:r>
      <w:r w:rsidR="000826B6">
        <w:rPr>
          <w:rFonts w:ascii="NewsGotT" w:hAnsi="NewsGotT"/>
          <w:lang w:val="pt-BR" w:eastAsia="x-none"/>
        </w:rPr>
        <w:t>xizina,</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w:t>
      </w:r>
      <w:r w:rsidR="00850F29">
        <w:rPr>
          <w:rFonts w:ascii="NewsGotT" w:hAnsi="NewsGotT"/>
          <w:lang w:val="pt-BR" w:eastAsia="x-none"/>
        </w:rPr>
        <w:lastRenderedPageBreak/>
        <w:t xml:space="preserve">desorientação, alucinações, sedação, insónias, tremores e náuseas </w:t>
      </w:r>
      <w:r w:rsidR="00850F29">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rFonts w:ascii="NewsGotT" w:hAnsi="NewsGotT"/>
          <w:lang w:val="pt-BR" w:eastAsia="x-none"/>
        </w:rPr>
        <w:fldChar w:fldCharType="separate"/>
      </w:r>
      <w:r w:rsidR="007F17E6" w:rsidRPr="007F17E6">
        <w:rPr>
          <w:rFonts w:ascii="NewsGotT" w:hAnsi="NewsGotT"/>
          <w:noProof/>
          <w:lang w:val="pt-BR" w:eastAsia="x-none"/>
        </w:rPr>
        <w:t>(INFARMED, 2020f)</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r w:rsidR="00B41FF3">
        <w:rPr>
          <w:rFonts w:ascii="NewsGotT" w:hAnsi="NewsGotT"/>
          <w:lang w:val="pt-PT" w:eastAsia="x-none"/>
        </w:rPr>
        <w:t>d</w:t>
      </w:r>
      <w:r w:rsidR="00B41FF3" w:rsidRPr="001264D6">
        <w:rPr>
          <w:rFonts w:ascii="NewsGotT" w:hAnsi="NewsGotT"/>
          <w:lang w:val="pt-PT" w:eastAsia="x-none"/>
        </w:rPr>
        <w:t>esloratadina</w:t>
      </w:r>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r w:rsidRPr="00F224F7">
        <w:rPr>
          <w:rFonts w:ascii="NewsGotT" w:hAnsi="NewsGotT"/>
          <w:lang w:val="pt-BR" w:eastAsia="x-none"/>
        </w:rPr>
        <w:t>Antiparkinsónicos</w:t>
      </w:r>
    </w:p>
    <w:p w14:paraId="10AEEF82" w14:textId="77777777" w:rsidR="00D966AF" w:rsidRPr="00D966AF" w:rsidRDefault="00D966AF" w:rsidP="00D966AF">
      <w:pPr>
        <w:rPr>
          <w:lang w:val="pt-BR" w:eastAsia="x-none"/>
        </w:rPr>
      </w:pPr>
    </w:p>
    <w:p w14:paraId="7A463214" w14:textId="24E9DCCB" w:rsidR="00CE42E3" w:rsidRDefault="00D966AF" w:rsidP="0003390F">
      <w:pPr>
        <w:spacing w:line="360" w:lineRule="auto"/>
        <w:ind w:firstLine="709"/>
        <w:jc w:val="both"/>
        <w:rPr>
          <w:rFonts w:ascii="NewsGotT" w:hAnsi="NewsGotT"/>
          <w:lang w:val="pt-PT" w:eastAsia="x-none"/>
        </w:rPr>
      </w:pPr>
      <w:r>
        <w:rPr>
          <w:rFonts w:ascii="NewsGotT" w:hAnsi="NewsGotT"/>
          <w:lang w:val="pt-PT" w:eastAsia="x-none"/>
        </w:rPr>
        <w:t>A doença de Parkinson</w:t>
      </w:r>
      <w:r w:rsidR="000B7736">
        <w:rPr>
          <w:rFonts w:ascii="NewsGotT" w:hAnsi="NewsGotT"/>
          <w:lang w:val="pt-PT" w:eastAsia="x-none"/>
        </w:rPr>
        <w:t xml:space="preserve"> é a segunda doença degenerativa</w:t>
      </w:r>
      <w:r w:rsidR="00DD60BA">
        <w:rPr>
          <w:rFonts w:ascii="NewsGotT" w:hAnsi="NewsGotT"/>
          <w:lang w:val="pt-PT" w:eastAsia="x-none"/>
        </w:rPr>
        <w:t xml:space="preserve"> do SNC </w:t>
      </w:r>
      <w:r w:rsidR="000B7736">
        <w:rPr>
          <w:rFonts w:ascii="NewsGotT" w:hAnsi="NewsGotT"/>
          <w:lang w:val="pt-PT" w:eastAsia="x-none"/>
        </w:rPr>
        <w:t>mais prevalente nas sociedades</w:t>
      </w:r>
      <w:r w:rsidR="008A751D">
        <w:rPr>
          <w:rFonts w:ascii="NewsGotT" w:hAnsi="NewsGotT"/>
          <w:lang w:val="pt-PT" w:eastAsia="x-none"/>
        </w:rPr>
        <w:t xml:space="preserve"> </w:t>
      </w:r>
      <w:r w:rsidR="008A751D">
        <w:rPr>
          <w:rFonts w:ascii="NewsGotT" w:hAnsi="NewsGotT"/>
          <w:lang w:val="pt-PT" w:eastAsia="x-none"/>
        </w:rPr>
        <w:fldChar w:fldCharType="begin" w:fldLock="1"/>
      </w:r>
      <w:r w:rsidR="00531003">
        <w:rPr>
          <w:rFonts w:ascii="NewsGotT" w:hAnsi="NewsGotT"/>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rFonts w:ascii="NewsGotT" w:hAnsi="NewsGotT"/>
          <w:lang w:val="pt-PT" w:eastAsia="x-none"/>
        </w:rPr>
        <w:fldChar w:fldCharType="separate"/>
      </w:r>
      <w:r w:rsidR="008A751D" w:rsidRPr="008A751D">
        <w:rPr>
          <w:rFonts w:ascii="NewsGotT" w:hAnsi="NewsGotT"/>
          <w:noProof/>
          <w:lang w:val="pt-PT" w:eastAsia="x-none"/>
        </w:rPr>
        <w:t>(Cacabelos, 2017)</w:t>
      </w:r>
      <w:r w:rsidR="008A751D">
        <w:rPr>
          <w:rFonts w:ascii="NewsGotT" w:hAnsi="NewsGotT"/>
          <w:lang w:val="pt-PT" w:eastAsia="x-none"/>
        </w:rPr>
        <w:fldChar w:fldCharType="end"/>
      </w:r>
      <w:r w:rsidR="000B7736">
        <w:rPr>
          <w:rFonts w:ascii="NewsGotT" w:hAnsi="NewsGotT"/>
          <w:lang w:val="pt-PT" w:eastAsia="x-none"/>
        </w:rPr>
        <w:t>. É</w:t>
      </w:r>
      <w:r>
        <w:rPr>
          <w:rFonts w:ascii="NewsGotT" w:hAnsi="NewsGotT"/>
          <w:lang w:val="pt-PT" w:eastAsia="x-none"/>
        </w:rPr>
        <w:t xml:space="preserve">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Segundo a história, os fármacos antiparkinsónicos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No caso especifico do t</w:t>
      </w:r>
      <w:r w:rsidR="002E1445" w:rsidRPr="002E1445">
        <w:rPr>
          <w:rFonts w:ascii="NewsGotT" w:hAnsi="NewsGotT"/>
          <w:lang w:val="pt-PT" w:eastAsia="x-none"/>
        </w:rPr>
        <w:t>ri-hexifenidilo</w:t>
      </w:r>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da bradicinésia associados à Doença de Parkinson, e também, dos efeitos</w:t>
      </w:r>
      <w:r w:rsidR="00CA76E7">
        <w:rPr>
          <w:rFonts w:ascii="NewsGotT" w:hAnsi="NewsGotT"/>
          <w:lang w:val="pt-PT" w:eastAsia="x-none"/>
        </w:rPr>
        <w:t xml:space="preserve"> extrapiramidais causados por 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2810D8D3" w14:textId="3C69C64F" w:rsidR="00A311B8" w:rsidRDefault="00A311B8" w:rsidP="00A311B8">
      <w:pPr>
        <w:pStyle w:val="Heading3"/>
        <w:spacing w:line="360" w:lineRule="auto"/>
        <w:jc w:val="both"/>
        <w:rPr>
          <w:rFonts w:ascii="NewsGotT" w:hAnsi="NewsGotT"/>
          <w:lang w:val="pt-BR" w:eastAsia="x-none"/>
        </w:rPr>
      </w:pPr>
      <w:r w:rsidRPr="00F224F7">
        <w:rPr>
          <w:rFonts w:ascii="NewsGotT" w:hAnsi="NewsGotT"/>
          <w:lang w:val="pt-BR" w:eastAsia="x-none"/>
        </w:rPr>
        <w:t>Anti</w:t>
      </w:r>
      <w:r>
        <w:rPr>
          <w:rFonts w:ascii="NewsGotT" w:hAnsi="NewsGotT"/>
          <w:lang w:val="pt-BR" w:eastAsia="x-none"/>
        </w:rPr>
        <w:t xml:space="preserve">tússicos </w:t>
      </w:r>
    </w:p>
    <w:p w14:paraId="4DCC5EB7" w14:textId="6A45C41D" w:rsidR="00A311B8" w:rsidRDefault="00A311B8" w:rsidP="00A311B8">
      <w:pPr>
        <w:rPr>
          <w:lang w:val="pt-BR" w:eastAsia="x-none"/>
        </w:rPr>
      </w:pPr>
    </w:p>
    <w:p w14:paraId="22CDEB89" w14:textId="14B52170" w:rsidR="00F01AC8" w:rsidRDefault="00A311B8" w:rsidP="00A311B8">
      <w:pPr>
        <w:spacing w:line="360" w:lineRule="auto"/>
        <w:ind w:firstLine="709"/>
        <w:jc w:val="both"/>
        <w:rPr>
          <w:rFonts w:ascii="NewsGotT" w:hAnsi="NewsGotT"/>
          <w:lang w:val="pt-PT" w:eastAsia="x-none"/>
        </w:rPr>
      </w:pPr>
      <w:r>
        <w:rPr>
          <w:rFonts w:ascii="NewsGotT" w:hAnsi="NewsGotT"/>
          <w:lang w:val="pt-PT" w:eastAsia="x-none"/>
        </w:rPr>
        <w:t xml:space="preserve">A tosse caracteriza-se por um movimento voluntário ou reflexo ativado pela reação a uma irritação da laringe, traqueia ou brônquios. </w:t>
      </w:r>
      <w:r w:rsidR="007C2728">
        <w:rPr>
          <w:rFonts w:ascii="NewsGotT" w:hAnsi="NewsGotT"/>
          <w:lang w:val="pt-PT" w:eastAsia="x-none"/>
        </w:rPr>
        <w:t>É considerado um mecanismo protetor que visa a remoção de partículas estranhas inaladas e de secreções das vias respiratórias superiores</w:t>
      </w:r>
      <w:r w:rsidR="00531003">
        <w:rPr>
          <w:rFonts w:ascii="NewsGotT" w:hAnsi="NewsGotT"/>
          <w:lang w:val="pt-PT" w:eastAsia="x-none"/>
        </w:rPr>
        <w:t xml:space="preserve"> </w:t>
      </w:r>
      <w:r w:rsidR="00531003">
        <w:rPr>
          <w:rFonts w:ascii="NewsGotT" w:hAnsi="NewsGotT"/>
          <w:lang w:val="pt-PT" w:eastAsia="x-none"/>
        </w:rPr>
        <w:fldChar w:fldCharType="begin" w:fldLock="1"/>
      </w:r>
      <w:r w:rsidR="005C5D28">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rFonts w:ascii="NewsGotT" w:hAnsi="NewsGotT"/>
          <w:lang w:val="pt-PT" w:eastAsia="x-none"/>
        </w:rPr>
        <w:fldChar w:fldCharType="separate"/>
      </w:r>
      <w:r w:rsidR="00531003" w:rsidRPr="00531003">
        <w:rPr>
          <w:rFonts w:ascii="NewsGotT" w:hAnsi="NewsGotT"/>
          <w:noProof/>
          <w:lang w:val="pt-PT" w:eastAsia="x-none"/>
        </w:rPr>
        <w:t>(INFARMED &amp; Ministério da Saúde, 2012)</w:t>
      </w:r>
      <w:r w:rsidR="00531003">
        <w:rPr>
          <w:rFonts w:ascii="NewsGotT" w:hAnsi="NewsGotT"/>
          <w:lang w:val="pt-PT" w:eastAsia="x-none"/>
        </w:rPr>
        <w:fldChar w:fldCharType="end"/>
      </w:r>
      <w:r w:rsidR="007C2728">
        <w:rPr>
          <w:rFonts w:ascii="NewsGotT" w:hAnsi="NewsGotT"/>
          <w:lang w:val="pt-PT" w:eastAsia="x-none"/>
        </w:rPr>
        <w:t>. No entanto, também pode ser um sintoma de doença</w:t>
      </w:r>
      <w:r w:rsidR="00531003">
        <w:rPr>
          <w:rFonts w:ascii="NewsGotT" w:hAnsi="NewsGotT"/>
          <w:lang w:val="pt-PT" w:eastAsia="x-none"/>
        </w:rPr>
        <w:t xml:space="preserve"> das vias respiratórias</w:t>
      </w:r>
      <w:r w:rsidR="007C2728">
        <w:rPr>
          <w:rFonts w:ascii="NewsGotT" w:hAnsi="NewsGotT"/>
          <w:lang w:val="pt-PT" w:eastAsia="x-none"/>
        </w:rPr>
        <w:t xml:space="preserve">, e é neste ponto que os fármacos se tornam essenciais para a melhoria da qualidade de vida dos indivíduos. </w:t>
      </w:r>
      <w:r w:rsidR="003A48B0">
        <w:rPr>
          <w:rFonts w:ascii="NewsGotT" w:hAnsi="NewsGotT"/>
          <w:lang w:val="pt-PT" w:eastAsia="x-none"/>
        </w:rPr>
        <w:t>Para o tratamento deste sintoma são comumente utilizados os</w:t>
      </w:r>
      <w:r w:rsidR="00531003" w:rsidRPr="00531003">
        <w:rPr>
          <w:rFonts w:ascii="NewsGotT" w:hAnsi="NewsGotT"/>
          <w:lang w:val="pt-PT" w:eastAsia="x-none"/>
        </w:rPr>
        <w:t xml:space="preserve"> antitússicos de ação central não estupefacientes</w:t>
      </w:r>
      <w:r w:rsidR="003A48B0">
        <w:rPr>
          <w:rFonts w:ascii="NewsGotT" w:hAnsi="NewsGotT"/>
          <w:lang w:val="pt-PT" w:eastAsia="x-none"/>
        </w:rPr>
        <w:t xml:space="preserve">, estes que </w:t>
      </w:r>
      <w:r w:rsidR="00531003" w:rsidRPr="00531003">
        <w:rPr>
          <w:rFonts w:ascii="NewsGotT" w:hAnsi="NewsGotT"/>
          <w:lang w:val="pt-PT" w:eastAsia="x-none"/>
        </w:rPr>
        <w:t>aliam um efeito antitússico a uma menor possibilidade de provocarem reações adversas</w:t>
      </w:r>
      <w:r w:rsidR="003A48B0">
        <w:rPr>
          <w:rFonts w:ascii="NewsGotT" w:hAnsi="NewsGotT"/>
          <w:lang w:val="pt-PT" w:eastAsia="x-none"/>
        </w:rPr>
        <w:t xml:space="preserve">. </w:t>
      </w:r>
    </w:p>
    <w:p w14:paraId="5B7A19DA" w14:textId="02470487" w:rsidR="00896157" w:rsidRDefault="00F01AC8" w:rsidP="00896157">
      <w:pPr>
        <w:spacing w:line="360" w:lineRule="auto"/>
        <w:ind w:firstLine="709"/>
        <w:jc w:val="both"/>
        <w:rPr>
          <w:rFonts w:ascii="NewsGotT" w:hAnsi="NewsGotT"/>
          <w:lang w:val="pt-PT" w:eastAsia="x-none"/>
        </w:rPr>
      </w:pPr>
      <w:r>
        <w:rPr>
          <w:rFonts w:ascii="NewsGotT" w:hAnsi="NewsGotT"/>
          <w:lang w:val="pt-PT" w:eastAsia="x-none"/>
        </w:rPr>
        <w:lastRenderedPageBreak/>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rFonts w:ascii="NewsGotT" w:hAnsi="NewsGotT"/>
          <w:lang w:val="pt-PT" w:eastAsia="x-none"/>
        </w:rPr>
        <w:t>este processo deve-se à</w:t>
      </w:r>
      <w:r>
        <w:rPr>
          <w:rFonts w:ascii="NewsGotT" w:hAnsi="NewsGotT"/>
          <w:lang w:val="pt-PT" w:eastAsia="x-none"/>
        </w:rPr>
        <w:t xml:space="preserve"> </w:t>
      </w:r>
      <w:r w:rsidRPr="0003390F">
        <w:rPr>
          <w:rFonts w:ascii="NewsGotT" w:hAnsi="NewsGotT"/>
          <w:lang w:val="pt-PT" w:eastAsia="x-none"/>
        </w:rPr>
        <w:t>enzima hepática CYP2D6</w:t>
      </w:r>
      <w:r>
        <w:rPr>
          <w:rFonts w:ascii="NewsGotT" w:hAnsi="NewsGotT"/>
          <w:lang w:val="pt-PT" w:eastAsia="x-none"/>
        </w:rPr>
        <w:t xml:space="preserve"> </w:t>
      </w:r>
      <w:r w:rsidR="00896157">
        <w:rPr>
          <w:rFonts w:ascii="NewsGotT" w:hAnsi="NewsGotT"/>
          <w:lang w:val="pt-PT" w:eastAsia="x-none"/>
        </w:rPr>
        <w:t xml:space="preserve">que </w:t>
      </w:r>
      <w:r w:rsidRPr="00F01AC8">
        <w:rPr>
          <w:rFonts w:ascii="NewsGotT" w:hAnsi="NewsGotT"/>
          <w:lang w:val="pt-PT" w:eastAsia="x-none"/>
        </w:rPr>
        <w:t>converte a codeína em morfina</w:t>
      </w:r>
      <w:r w:rsidR="005C5D28">
        <w:rPr>
          <w:rFonts w:ascii="NewsGotT" w:hAnsi="NewsGotT"/>
          <w:lang w:val="pt-PT" w:eastAsia="x-none"/>
        </w:rPr>
        <w:t xml:space="preserve"> </w:t>
      </w:r>
      <w:r w:rsidR="005C5D28">
        <w:rPr>
          <w:rFonts w:ascii="NewsGotT" w:hAnsi="NewsGotT"/>
          <w:lang w:val="pt-PT" w:eastAsia="x-none"/>
        </w:rPr>
        <w:fldChar w:fldCharType="begin" w:fldLock="1"/>
      </w:r>
      <w:r w:rsidR="005C5D28">
        <w:rPr>
          <w:rFonts w:ascii="NewsGotT" w:hAnsi="NewsGotT"/>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(Diseases, 2012)</w:t>
      </w:r>
      <w:r w:rsidR="005C5D28">
        <w:rPr>
          <w:rFonts w:ascii="NewsGotT" w:hAnsi="NewsGotT"/>
          <w:lang w:val="pt-PT" w:eastAsia="x-none"/>
        </w:rPr>
        <w:fldChar w:fldCharType="end"/>
      </w:r>
      <w:r w:rsidR="00896157">
        <w:rPr>
          <w:rFonts w:ascii="NewsGotT" w:hAnsi="NewsGotT"/>
          <w:lang w:val="pt-PT" w:eastAsia="x-none"/>
        </w:rPr>
        <w:t>. Porém, esta enzima exibe um polimorfismo genético</w:t>
      </w:r>
      <w:r w:rsidR="00D134D6">
        <w:rPr>
          <w:rFonts w:ascii="NewsGotT" w:hAnsi="NewsGotT"/>
          <w:lang w:val="pt-PT" w:eastAsia="x-none"/>
        </w:rPr>
        <w:t>,</w:t>
      </w:r>
      <w:r w:rsidR="00896157">
        <w:rPr>
          <w:rFonts w:ascii="NewsGotT" w:hAnsi="NewsGotT"/>
          <w:lang w:val="pt-PT" w:eastAsia="x-none"/>
        </w:rPr>
        <w:t xml:space="preserve"> e</w:t>
      </w:r>
      <w:r w:rsidR="00D134D6">
        <w:rPr>
          <w:rFonts w:ascii="NewsGotT" w:hAnsi="NewsGotT"/>
          <w:lang w:val="pt-PT" w:eastAsia="x-none"/>
        </w:rPr>
        <w:t xml:space="preserve"> c</w:t>
      </w:r>
      <w:r w:rsidR="0003390F">
        <w:rPr>
          <w:rFonts w:ascii="NewsGotT" w:hAnsi="NewsGotT"/>
          <w:lang w:val="pt-PT" w:eastAsia="x-none"/>
        </w:rPr>
        <w:t xml:space="preserve">aso o doente tenha uma deficiência ou ausência desta enzima, não será obtido efeito terapêutico. </w:t>
      </w:r>
      <w:r w:rsidR="002F629E">
        <w:rPr>
          <w:rFonts w:ascii="NewsGotT" w:hAnsi="NewsGotT"/>
          <w:lang w:val="pt-PT" w:eastAsia="x-none"/>
        </w:rPr>
        <w:t>Por outro lado, se o paciente metabolizar rapidamente aquela enzima, existe o risco acrescido de desenvolver efeitos secundários de toxicidade opióide. Os sintomas gera</w:t>
      </w:r>
      <w:r w:rsidR="0062262F">
        <w:rPr>
          <w:rFonts w:ascii="NewsGotT" w:hAnsi="NewsGotT"/>
          <w:lang w:val="pt-PT" w:eastAsia="x-none"/>
        </w:rPr>
        <w:t>i</w:t>
      </w:r>
      <w:r w:rsidR="002F629E">
        <w:rPr>
          <w:rFonts w:ascii="NewsGotT" w:hAnsi="NewsGotT"/>
          <w:lang w:val="pt-PT" w:eastAsia="x-none"/>
        </w:rPr>
        <w:t>s de toxicidade</w:t>
      </w:r>
      <w:r w:rsidR="00896157">
        <w:rPr>
          <w:rFonts w:ascii="NewsGotT" w:hAnsi="NewsGotT"/>
          <w:lang w:val="pt-PT" w:eastAsia="x-none"/>
        </w:rPr>
        <w:t xml:space="preserve"> relacionados com o excesso metabólico da enzima </w:t>
      </w:r>
      <w:r w:rsidR="00896157" w:rsidRPr="0003390F">
        <w:rPr>
          <w:rFonts w:ascii="NewsGotT" w:hAnsi="NewsGotT"/>
          <w:lang w:val="pt-PT" w:eastAsia="x-none"/>
        </w:rPr>
        <w:t>CYP2D6</w:t>
      </w:r>
      <w:r w:rsidR="002F629E">
        <w:rPr>
          <w:rFonts w:ascii="NewsGotT" w:hAnsi="NewsGotT"/>
          <w:lang w:val="pt-PT" w:eastAsia="x-none"/>
        </w:rPr>
        <w:t xml:space="preserve"> </w:t>
      </w:r>
      <w:r w:rsidR="002F629E" w:rsidRPr="002F629E">
        <w:rPr>
          <w:rFonts w:ascii="NewsGotT" w:hAnsi="NewsGotT"/>
          <w:lang w:val="pt-PT" w:eastAsia="x-none"/>
        </w:rPr>
        <w:t>incluem confusão, sonolência, respiração</w:t>
      </w:r>
      <w:r w:rsidR="002F629E">
        <w:rPr>
          <w:rFonts w:ascii="NewsGotT" w:hAnsi="NewsGotT"/>
          <w:lang w:val="pt-PT" w:eastAsia="x-none"/>
        </w:rPr>
        <w:t xml:space="preserve"> </w:t>
      </w:r>
      <w:r w:rsidR="002F629E" w:rsidRPr="002F629E">
        <w:rPr>
          <w:rFonts w:ascii="NewsGotT" w:hAnsi="NewsGotT"/>
          <w:lang w:val="pt-PT" w:eastAsia="x-none"/>
        </w:rPr>
        <w:t>superficial, contração das pupilas, náuseas, vómitos, obstipação e falta de apetite</w:t>
      </w:r>
      <w:r w:rsidR="005C5D28">
        <w:rPr>
          <w:rFonts w:ascii="NewsGotT" w:hAnsi="NewsGotT"/>
          <w:lang w:val="pt-PT" w:eastAsia="x-none"/>
        </w:rPr>
        <w:t xml:space="preserve"> </w:t>
      </w:r>
      <w:r w:rsidR="005C5D28">
        <w:rPr>
          <w:rFonts w:ascii="NewsGotT" w:hAnsi="NewsGotT"/>
          <w:lang w:val="pt-PT" w:eastAsia="x-none"/>
        </w:rPr>
        <w:fldChar w:fldCharType="begin" w:fldLock="1"/>
      </w:r>
      <w:r w:rsidR="003309A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rFonts w:ascii="NewsGotT" w:hAnsi="NewsGotT"/>
          <w:lang w:val="pt-PT" w:eastAsia="x-none"/>
        </w:rPr>
        <w:fldChar w:fldCharType="separate"/>
      </w:r>
      <w:r w:rsidR="003309A0" w:rsidRPr="003309A0">
        <w:rPr>
          <w:rFonts w:ascii="NewsGotT" w:hAnsi="NewsGotT"/>
          <w:noProof/>
          <w:lang w:val="pt-PT" w:eastAsia="x-none"/>
        </w:rPr>
        <w:t>(INFARMED, 2017)</w:t>
      </w:r>
      <w:r w:rsidR="005C5D28">
        <w:rPr>
          <w:rFonts w:ascii="NewsGotT" w:hAnsi="NewsGotT"/>
          <w:lang w:val="pt-PT" w:eastAsia="x-none"/>
        </w:rPr>
        <w:fldChar w:fldCharType="end"/>
      </w:r>
      <w:r w:rsidR="0062262F">
        <w:rPr>
          <w:rFonts w:ascii="NewsGotT" w:hAnsi="NewsGotT"/>
          <w:lang w:val="pt-PT" w:eastAsia="x-none"/>
        </w:rPr>
        <w:t>.</w:t>
      </w:r>
    </w:p>
    <w:p w14:paraId="06CFE660" w14:textId="687C719F" w:rsidR="00A311B8" w:rsidRDefault="00836F2F" w:rsidP="00901AE6">
      <w:pPr>
        <w:spacing w:line="360" w:lineRule="auto"/>
        <w:ind w:firstLine="709"/>
        <w:jc w:val="both"/>
        <w:rPr>
          <w:rFonts w:ascii="NewsGotT" w:hAnsi="NewsGotT"/>
          <w:lang w:val="pt-PT" w:eastAsia="x-none"/>
        </w:rPr>
      </w:pPr>
      <w:r>
        <w:rPr>
          <w:rFonts w:ascii="NewsGotT" w:hAnsi="NewsGotT"/>
          <w:lang w:val="pt-PT" w:eastAsia="x-none"/>
        </w:rPr>
        <w:t xml:space="preserve">Quando se avaliam os </w:t>
      </w:r>
      <w:r w:rsidR="0062262F">
        <w:rPr>
          <w:rFonts w:ascii="NewsGotT" w:hAnsi="NewsGotT"/>
          <w:lang w:val="pt-PT" w:eastAsia="x-none"/>
        </w:rPr>
        <w:t>efeitos indesejáveis da codeína</w:t>
      </w:r>
      <w:r>
        <w:rPr>
          <w:rFonts w:ascii="NewsGotT" w:hAnsi="NewsGotT"/>
          <w:lang w:val="pt-PT" w:eastAsia="x-none"/>
        </w:rPr>
        <w:t xml:space="preserve"> na população geral</w:t>
      </w:r>
      <w:r w:rsidR="0062262F">
        <w:rPr>
          <w:rFonts w:ascii="NewsGotT" w:hAnsi="NewsGotT"/>
          <w:lang w:val="pt-PT" w:eastAsia="x-none"/>
        </w:rPr>
        <w:t xml:space="preserve"> é referido que em doses terapêuticas </w:t>
      </w:r>
      <w:r>
        <w:rPr>
          <w:rFonts w:ascii="NewsGotT" w:hAnsi="NewsGotT"/>
          <w:lang w:val="pt-PT" w:eastAsia="x-none"/>
        </w:rPr>
        <w:t xml:space="preserve">estes </w:t>
      </w:r>
      <w:r w:rsidR="0062262F">
        <w:rPr>
          <w:rFonts w:ascii="NewsGotT" w:hAnsi="NewsGotT"/>
          <w:lang w:val="pt-PT" w:eastAsia="x-none"/>
        </w:rPr>
        <w:t>ocorrem muito raramente.</w:t>
      </w:r>
      <w:r>
        <w:rPr>
          <w:rFonts w:ascii="NewsGotT" w:hAnsi="NewsGotT"/>
          <w:lang w:val="pt-PT" w:eastAsia="x-none"/>
        </w:rPr>
        <w:t xml:space="preserve"> Mas, da</w:t>
      </w:r>
      <w:r w:rsidR="0062262F" w:rsidRPr="0062262F">
        <w:rPr>
          <w:rFonts w:ascii="NewsGotT" w:hAnsi="NewsGotT"/>
          <w:lang w:val="pt-PT" w:eastAsia="x-none"/>
        </w:rPr>
        <w:t>s reações adversas características da classe dos opiáceos</w:t>
      </w:r>
      <w:r w:rsidR="00A36A56">
        <w:rPr>
          <w:rFonts w:ascii="NewsGotT" w:hAnsi="NewsGotT"/>
          <w:lang w:val="pt-PT" w:eastAsia="x-none"/>
        </w:rPr>
        <w:t>,</w:t>
      </w:r>
      <w:r w:rsidR="0062262F" w:rsidRPr="0062262F">
        <w:rPr>
          <w:rFonts w:ascii="NewsGotT" w:hAnsi="NewsGotT"/>
          <w:lang w:val="pt-PT" w:eastAsia="x-none"/>
        </w:rPr>
        <w:t xml:space="preserve"> </w:t>
      </w:r>
      <w:r>
        <w:rPr>
          <w:rFonts w:ascii="NewsGotT" w:hAnsi="NewsGotT"/>
          <w:lang w:val="pt-PT" w:eastAsia="x-none"/>
        </w:rPr>
        <w:t>podem destacar-se</w:t>
      </w:r>
      <w:r>
        <w:rPr>
          <w:rFonts w:ascii="NewsGotT" w:hAnsi="NewsGotT"/>
          <w:lang w:val="pt-PT" w:eastAsia="x-none"/>
        </w:rPr>
        <w:t xml:space="preserve"> </w:t>
      </w:r>
      <w:r w:rsidRPr="0062262F">
        <w:rPr>
          <w:rFonts w:ascii="NewsGotT" w:hAnsi="NewsGotT"/>
          <w:lang w:val="pt-PT" w:eastAsia="x-none"/>
        </w:rPr>
        <w:t>as</w:t>
      </w:r>
      <w:r>
        <w:rPr>
          <w:rFonts w:ascii="NewsGotT" w:hAnsi="NewsGotT"/>
          <w:lang w:val="pt-PT" w:eastAsia="x-none"/>
        </w:rPr>
        <w:t xml:space="preserve"> </w:t>
      </w:r>
      <w:r w:rsidRPr="0062262F">
        <w:rPr>
          <w:rFonts w:ascii="NewsGotT" w:hAnsi="NewsGotT"/>
          <w:lang w:val="pt-PT" w:eastAsia="x-none"/>
        </w:rPr>
        <w:t>tonturas</w:t>
      </w:r>
      <w:r>
        <w:rPr>
          <w:rFonts w:ascii="NewsGotT" w:hAnsi="NewsGotT"/>
          <w:lang w:val="pt-PT" w:eastAsia="x-none"/>
        </w:rPr>
        <w:t>,</w:t>
      </w:r>
      <w:r w:rsidR="0062262F" w:rsidRPr="0062262F">
        <w:rPr>
          <w:rFonts w:ascii="NewsGotT" w:hAnsi="NewsGotT"/>
          <w:lang w:val="pt-PT" w:eastAsia="x-none"/>
        </w:rPr>
        <w:t xml:space="preserve"> sedação, náuseas e vómitos e sudação. Além destas</w:t>
      </w:r>
      <w:r>
        <w:rPr>
          <w:rFonts w:ascii="NewsGotT" w:hAnsi="NewsGotT"/>
          <w:lang w:val="pt-PT" w:eastAsia="x-none"/>
        </w:rPr>
        <w:t xml:space="preserve">, também são descritos casos de </w:t>
      </w:r>
      <w:r w:rsidR="0062262F" w:rsidRPr="0062262F">
        <w:rPr>
          <w:rFonts w:ascii="NewsGotT" w:hAnsi="NewsGotT"/>
          <w:lang w:val="pt-PT" w:eastAsia="x-none"/>
        </w:rPr>
        <w:t>euforia, disforia, estados confusionais, insónia, agitação, medo, alucinações,</w:t>
      </w:r>
      <w:r w:rsidR="0062262F">
        <w:rPr>
          <w:rFonts w:ascii="NewsGotT" w:hAnsi="NewsGotT"/>
          <w:lang w:val="pt-PT" w:eastAsia="x-none"/>
        </w:rPr>
        <w:t xml:space="preserve"> </w:t>
      </w:r>
      <w:r w:rsidR="0062262F" w:rsidRPr="0062262F">
        <w:rPr>
          <w:rFonts w:ascii="NewsGotT" w:hAnsi="NewsGotT"/>
          <w:lang w:val="pt-PT" w:eastAsia="x-none"/>
        </w:rPr>
        <w:t>sonolência, alteração do humor, cefaleias, alterações da visão</w:t>
      </w:r>
      <w:r w:rsidR="00542F9D">
        <w:rPr>
          <w:rFonts w:ascii="NewsGotT" w:hAnsi="NewsGotT"/>
          <w:lang w:val="pt-PT" w:eastAsia="x-none"/>
        </w:rPr>
        <w:t xml:space="preserve"> </w:t>
      </w:r>
      <w:r w:rsidR="00542F9D">
        <w:rPr>
          <w:rFonts w:ascii="NewsGotT" w:hAnsi="NewsGotT"/>
          <w:lang w:val="pt-PT" w:eastAsia="x-none"/>
        </w:rPr>
        <w:fldChar w:fldCharType="begin" w:fldLock="1"/>
      </w:r>
      <w:r w:rsidR="003309A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rFonts w:ascii="NewsGotT" w:hAnsi="NewsGotT"/>
          <w:lang w:val="pt-PT" w:eastAsia="x-none"/>
        </w:rPr>
        <w:fldChar w:fldCharType="separate"/>
      </w:r>
      <w:r w:rsidR="003309A0" w:rsidRPr="003309A0">
        <w:rPr>
          <w:rFonts w:ascii="NewsGotT" w:hAnsi="NewsGotT"/>
          <w:noProof/>
          <w:lang w:val="pt-PT" w:eastAsia="x-none"/>
        </w:rPr>
        <w:t>(INFARMED, 2017)</w:t>
      </w:r>
      <w:r w:rsidR="00542F9D">
        <w:rPr>
          <w:rFonts w:ascii="NewsGotT" w:hAnsi="NewsGotT"/>
          <w:lang w:val="pt-PT" w:eastAsia="x-none"/>
        </w:rPr>
        <w:fldChar w:fldCharType="end"/>
      </w:r>
      <w:r w:rsidR="00901AE6">
        <w:rPr>
          <w:rFonts w:ascii="NewsGotT" w:hAnsi="NewsGotT"/>
          <w:lang w:val="pt-PT" w:eastAsia="x-none"/>
        </w:rPr>
        <w:t xml:space="preserve">. </w:t>
      </w:r>
    </w:p>
    <w:p w14:paraId="277A5A59" w14:textId="523A6E96" w:rsidR="0003390F" w:rsidRPr="00292126" w:rsidRDefault="00767180" w:rsidP="0003390F">
      <w:pPr>
        <w:pStyle w:val="Heading3"/>
        <w:spacing w:line="360" w:lineRule="auto"/>
        <w:jc w:val="both"/>
        <w:rPr>
          <w:rFonts w:ascii="NewsGotT" w:hAnsi="NewsGotT"/>
          <w:lang w:val="pt-BR" w:eastAsia="x-none"/>
        </w:rPr>
      </w:pPr>
      <w:r>
        <w:rPr>
          <w:rFonts w:ascii="NewsGotT" w:hAnsi="NewsGotT"/>
          <w:lang w:val="pt-BR" w:eastAsia="x-none"/>
        </w:rPr>
        <w:t xml:space="preserve">Digitálicos </w:t>
      </w:r>
    </w:p>
    <w:p w14:paraId="7710E137" w14:textId="0D54E428" w:rsidR="00292126" w:rsidRDefault="00292126" w:rsidP="00E25253">
      <w:pPr>
        <w:spacing w:line="360" w:lineRule="auto"/>
        <w:jc w:val="both"/>
        <w:rPr>
          <w:rFonts w:ascii="NewsGotT" w:hAnsi="NewsGotT"/>
          <w:lang w:val="pt-BR" w:eastAsia="x-none"/>
        </w:rPr>
      </w:pPr>
    </w:p>
    <w:p w14:paraId="01D9DE46" w14:textId="77777777" w:rsidR="00B51259" w:rsidRDefault="00E25253" w:rsidP="00B51259">
      <w:pPr>
        <w:spacing w:line="360" w:lineRule="auto"/>
        <w:ind w:firstLine="709"/>
        <w:jc w:val="both"/>
        <w:rPr>
          <w:rFonts w:ascii="NewsGotT" w:hAnsi="NewsGotT"/>
          <w:lang w:val="pt-PT" w:eastAsia="x-none"/>
        </w:rPr>
      </w:pPr>
      <w:r w:rsidRPr="00E25253">
        <w:rPr>
          <w:rFonts w:ascii="NewsGotT" w:hAnsi="NewsGotT"/>
          <w:lang w:val="pt-BR" w:eastAsia="x-none"/>
        </w:rPr>
        <w:t xml:space="preserve">A </w:t>
      </w:r>
      <w:r>
        <w:rPr>
          <w:rFonts w:ascii="NewsGotT" w:hAnsi="NewsGotT"/>
          <w:lang w:val="pt-BR" w:eastAsia="x-none"/>
        </w:rPr>
        <w:t>insuficiência cardíaca</w:t>
      </w:r>
      <w:r w:rsidRPr="00E25253">
        <w:rPr>
          <w:rFonts w:ascii="NewsGotT" w:hAnsi="NewsGotT"/>
          <w:lang w:val="pt-BR" w:eastAsia="x-none"/>
        </w:rPr>
        <w:t xml:space="preserve"> </w:t>
      </w:r>
      <w:r>
        <w:rPr>
          <w:rFonts w:ascii="NewsGotT" w:hAnsi="NewsGotT"/>
          <w:lang w:val="pt-BR" w:eastAsia="x-none"/>
        </w:rPr>
        <w:t xml:space="preserve">é </w:t>
      </w:r>
      <w:r w:rsidRPr="00E25253">
        <w:rPr>
          <w:rFonts w:ascii="NewsGotT" w:hAnsi="NewsGotT"/>
          <w:lang w:val="pt-BR" w:eastAsia="x-none"/>
        </w:rPr>
        <w:t xml:space="preserve">uma síndrome causada por uma anomalia da função cardíaca, </w:t>
      </w:r>
      <w:r>
        <w:rPr>
          <w:rFonts w:ascii="NewsGotT" w:hAnsi="NewsGotT"/>
          <w:lang w:val="pt-BR" w:eastAsia="x-none"/>
        </w:rPr>
        <w:t>causando</w:t>
      </w:r>
      <w:r w:rsidRPr="00E25253">
        <w:rPr>
          <w:rFonts w:ascii="NewsGotT" w:hAnsi="NewsGotT"/>
          <w:lang w:val="pt-BR" w:eastAsia="x-none"/>
        </w:rPr>
        <w:t xml:space="preserve"> um débito sanguíneo inadequado às necessidades metabólicas do organismo </w:t>
      </w:r>
      <w:r>
        <w:rPr>
          <w:rFonts w:ascii="NewsGotT" w:hAnsi="NewsGotT"/>
          <w:lang w:val="pt-BR" w:eastAsia="x-none"/>
        </w:rPr>
        <w:t xml:space="preserve">quer </w:t>
      </w:r>
      <w:r w:rsidRPr="00E25253">
        <w:rPr>
          <w:rFonts w:ascii="NewsGotT" w:hAnsi="NewsGotT"/>
          <w:lang w:val="pt-BR" w:eastAsia="x-none"/>
        </w:rPr>
        <w:t xml:space="preserve">em repouso </w:t>
      </w:r>
      <w:r w:rsidR="003D0CC4">
        <w:rPr>
          <w:rFonts w:ascii="NewsGotT" w:hAnsi="NewsGotT"/>
          <w:lang w:val="pt-BR" w:eastAsia="x-none"/>
        </w:rPr>
        <w:t>quer</w:t>
      </w:r>
      <w:r>
        <w:rPr>
          <w:rFonts w:ascii="NewsGotT" w:hAnsi="NewsGotT"/>
          <w:lang w:val="pt-BR" w:eastAsia="x-none"/>
        </w:rPr>
        <w:t xml:space="preserve"> em</w:t>
      </w:r>
      <w:r w:rsidRPr="00E25253">
        <w:rPr>
          <w:rFonts w:ascii="NewsGotT" w:hAnsi="NewsGotT"/>
          <w:lang w:val="pt-BR" w:eastAsia="x-none"/>
        </w:rPr>
        <w:t xml:space="preserve"> </w:t>
      </w:r>
      <w:r>
        <w:rPr>
          <w:rFonts w:ascii="NewsGotT" w:hAnsi="NewsGotT"/>
          <w:lang w:val="pt-BR" w:eastAsia="x-none"/>
        </w:rPr>
        <w:t xml:space="preserve">esforço. A prevalência desta doença aumenta não só com o avanço da idade, como também pela ocorrência de hipertensão arterial e de enfarte do miocárdio em pessoas a partir dos 65 anos </w:t>
      </w:r>
      <w:r>
        <w:rPr>
          <w:rFonts w:ascii="NewsGotT" w:hAnsi="NewsGotT"/>
          <w:lang w:val="pt-BR" w:eastAsia="x-none"/>
        </w:rPr>
        <w:fldChar w:fldCharType="begin" w:fldLock="1"/>
      </w:r>
      <w:r w:rsidR="00B51259">
        <w:rPr>
          <w:rFonts w:ascii="NewsGotT" w:hAnsi="NewsGotT"/>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rFonts w:ascii="NewsGotT" w:hAnsi="NewsGotT"/>
          <w:lang w:val="pt-BR" w:eastAsia="x-none"/>
        </w:rPr>
        <w:instrText>, medium</w:instrText>
      </w:r>
      <w:r w:rsidR="00B51259">
        <w:rPr>
          <w:rFonts w:ascii="Cambria Math" w:hAnsi="Cambria Math" w:cs="Cambria Math"/>
          <w:lang w:val="pt-BR" w:eastAsia="x-none"/>
        </w:rPr>
        <w:instrText>‐</w:instrText>
      </w:r>
      <w:r w:rsidR="00B51259">
        <w:rPr>
          <w:rFonts w:ascii="NewsGotT" w:hAnsi="NewsGotT"/>
          <w:lang w:val="pt-BR" w:eastAsia="x-none"/>
        </w:rPr>
        <w:instrText xml:space="preserve"> and long</w:instrText>
      </w:r>
      <w:r w:rsidR="00B51259">
        <w:rPr>
          <w:rFonts w:ascii="Cambria Math" w:hAnsi="Cambria Math" w:cs="Cambria Math"/>
          <w:lang w:val="pt-BR" w:eastAsia="x-none"/>
        </w:rPr>
        <w:instrText>‐</w:instrText>
      </w:r>
      <w:r w:rsidR="00B51259">
        <w:rPr>
          <w:rFonts w:ascii="NewsGotT" w:hAnsi="NewsGotT"/>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rFonts w:ascii="NewsGotT" w:hAnsi="NewsGotT"/>
          <w:lang w:val="pt-BR" w:eastAsia="x-none"/>
        </w:rPr>
        <w:fldChar w:fldCharType="separate"/>
      </w:r>
      <w:r w:rsidRPr="00E25253">
        <w:rPr>
          <w:rFonts w:ascii="NewsGotT" w:hAnsi="NewsGotT"/>
          <w:noProof/>
          <w:lang w:val="pt-BR" w:eastAsia="x-none"/>
        </w:rPr>
        <w:t>(Fonseca et al., 2017)</w:t>
      </w:r>
      <w:r>
        <w:rPr>
          <w:rFonts w:ascii="NewsGotT" w:hAnsi="NewsGotT"/>
          <w:lang w:val="pt-BR" w:eastAsia="x-none"/>
        </w:rPr>
        <w:fldChar w:fldCharType="end"/>
      </w:r>
      <w:r>
        <w:rPr>
          <w:rFonts w:ascii="NewsGotT" w:hAnsi="NewsGotT"/>
          <w:lang w:val="pt-BR" w:eastAsia="x-none"/>
        </w:rPr>
        <w:t xml:space="preserve">. De modo a melhorar a qualidade de vida dos indivíduos com esta patologia, </w:t>
      </w:r>
      <w:r w:rsidR="00AE05E9">
        <w:rPr>
          <w:rFonts w:ascii="NewsGotT" w:hAnsi="NewsGotT"/>
          <w:lang w:val="pt-BR" w:eastAsia="x-none"/>
        </w:rPr>
        <w:t xml:space="preserve">ao longo dos anos </w:t>
      </w:r>
      <w:r>
        <w:rPr>
          <w:rFonts w:ascii="NewsGotT" w:hAnsi="NewsGotT"/>
          <w:lang w:val="pt-BR" w:eastAsia="x-none"/>
        </w:rPr>
        <w:t>foram estudados diversos fármacos para o tratamento desta doença</w:t>
      </w:r>
      <w:r w:rsidR="00AE05E9">
        <w:rPr>
          <w:rFonts w:ascii="NewsGotT" w:hAnsi="NewsGotT"/>
          <w:lang w:val="pt-BR" w:eastAsia="x-none"/>
        </w:rPr>
        <w:t xml:space="preserve">, alguns deles já referidos anteriormente e que não pertencem a esta classe. </w:t>
      </w:r>
      <w:r w:rsidR="00537E30">
        <w:rPr>
          <w:rFonts w:ascii="NewsGotT" w:hAnsi="NewsGotT"/>
          <w:lang w:val="pt-BR" w:eastAsia="x-none"/>
        </w:rPr>
        <w:t xml:space="preserve">Dentro desta classe de medicamentos, </w:t>
      </w:r>
      <w:r w:rsidR="003D0CC4">
        <w:rPr>
          <w:rFonts w:ascii="NewsGotT" w:hAnsi="NewsGotT"/>
          <w:lang w:val="pt-BR" w:eastAsia="x-none"/>
        </w:rPr>
        <w:t xml:space="preserve">frisa-se a digoxina. </w:t>
      </w:r>
      <w:r w:rsidR="003D0CC4">
        <w:rPr>
          <w:rFonts w:ascii="NewsGotT" w:hAnsi="NewsGotT"/>
          <w:lang w:val="pt-PT" w:eastAsia="x-none"/>
        </w:rPr>
        <w:t>Este medicamento</w:t>
      </w:r>
      <w:r w:rsidR="003D0CC4" w:rsidRPr="00767180">
        <w:rPr>
          <w:rFonts w:ascii="NewsGotT" w:hAnsi="NewsGotT"/>
          <w:lang w:val="pt-PT" w:eastAsia="x-none"/>
        </w:rPr>
        <w:t xml:space="preserve"> é usad</w:t>
      </w:r>
      <w:r w:rsidR="003D0CC4">
        <w:rPr>
          <w:rFonts w:ascii="NewsGotT" w:hAnsi="NewsGotT"/>
          <w:lang w:val="pt-PT" w:eastAsia="x-none"/>
        </w:rPr>
        <w:t>o</w:t>
      </w:r>
      <w:r w:rsidR="003D0CC4" w:rsidRPr="00767180">
        <w:rPr>
          <w:rFonts w:ascii="NewsGotT" w:hAnsi="NewsGotT"/>
          <w:lang w:val="pt-PT" w:eastAsia="x-none"/>
        </w:rPr>
        <w:t xml:space="preserve"> para o tratamento da a insuficiência cardíaca crónica e para o tratamento de algumas arritmias supraventriculares, particularmente flutter e fibrilhação auricular crónicos</w:t>
      </w:r>
      <w:r w:rsidR="00B51259">
        <w:rPr>
          <w:rFonts w:ascii="NewsGotT" w:hAnsi="NewsGotT"/>
          <w:lang w:val="pt-PT" w:eastAsia="x-none"/>
        </w:rPr>
        <w:t xml:space="preserve"> </w:t>
      </w:r>
      <w:r w:rsidR="00B51259">
        <w:rPr>
          <w:rFonts w:ascii="NewsGotT" w:hAnsi="NewsGotT"/>
          <w:lang w:val="pt-PT" w:eastAsia="x-none"/>
        </w:rPr>
        <w:fldChar w:fldCharType="begin" w:fldLock="1"/>
      </w:r>
      <w:r w:rsidR="00B51259">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rFonts w:ascii="NewsGotT" w:hAnsi="NewsGotT"/>
          <w:lang w:val="pt-PT" w:eastAsia="x-none"/>
        </w:rPr>
        <w:fldChar w:fldCharType="separate"/>
      </w:r>
      <w:r w:rsidR="00B51259" w:rsidRPr="00B51259">
        <w:rPr>
          <w:rFonts w:ascii="NewsGotT" w:hAnsi="NewsGotT"/>
          <w:noProof/>
          <w:lang w:val="pt-PT" w:eastAsia="x-none"/>
        </w:rPr>
        <w:t>(INFARMED, 2011)</w:t>
      </w:r>
      <w:r w:rsidR="00B51259">
        <w:rPr>
          <w:rFonts w:ascii="NewsGotT" w:hAnsi="NewsGotT"/>
          <w:lang w:val="pt-PT" w:eastAsia="x-none"/>
        </w:rPr>
        <w:fldChar w:fldCharType="end"/>
      </w:r>
      <w:r w:rsidR="003D0CC4" w:rsidRPr="00767180">
        <w:rPr>
          <w:rFonts w:ascii="NewsGotT" w:hAnsi="NewsGotT"/>
          <w:lang w:val="pt-PT" w:eastAsia="x-none"/>
        </w:rPr>
        <w:t xml:space="preserve">. </w:t>
      </w:r>
    </w:p>
    <w:p w14:paraId="2AA94E04" w14:textId="1A9CF2C5" w:rsidR="00B51259" w:rsidRDefault="00767180" w:rsidP="00B51259">
      <w:pPr>
        <w:spacing w:line="360" w:lineRule="auto"/>
        <w:ind w:firstLine="709"/>
        <w:jc w:val="both"/>
        <w:rPr>
          <w:rFonts w:ascii="NewsGotT" w:hAnsi="NewsGotT"/>
          <w:lang w:val="pt-PT" w:eastAsia="x-none"/>
        </w:rPr>
      </w:pPr>
      <w:r w:rsidRPr="00767180">
        <w:rPr>
          <w:rFonts w:ascii="NewsGotT" w:hAnsi="NewsGotT"/>
          <w:lang w:val="pt-BR" w:eastAsia="x-none"/>
        </w:rPr>
        <w:t>A digoxina</w:t>
      </w:r>
      <w:r w:rsidR="00B51259">
        <w:rPr>
          <w:rFonts w:ascii="NewsGotT" w:hAnsi="NewsGotT"/>
          <w:lang w:val="pt-BR" w:eastAsia="x-none"/>
        </w:rPr>
        <w:t xml:space="preserve"> tem dois mecanismos de ação principais que são utilizados seletivamente, um deles é o efeito inotrópico positivo em que</w:t>
      </w:r>
      <w:r w:rsidRPr="00767180">
        <w:rPr>
          <w:rFonts w:ascii="NewsGotT" w:hAnsi="NewsGotT"/>
          <w:lang w:val="pt-BR" w:eastAsia="x-none"/>
        </w:rPr>
        <w:t xml:space="preserve"> aumenta a contratilidade do miocárdio por ação direta</w:t>
      </w:r>
      <w:r>
        <w:rPr>
          <w:rFonts w:ascii="NewsGotT" w:hAnsi="NewsGotT"/>
          <w:lang w:val="pt-BR" w:eastAsia="x-none"/>
        </w:rPr>
        <w:t xml:space="preserve">. </w:t>
      </w:r>
      <w:r w:rsidR="00B51259">
        <w:rPr>
          <w:rFonts w:ascii="NewsGotT" w:hAnsi="NewsGotT"/>
          <w:lang w:val="pt-BR" w:eastAsia="x-none"/>
        </w:rPr>
        <w:t xml:space="preserve">Este efeito faz com que a força de contração do coração seja aumentada através da </w:t>
      </w:r>
      <w:r w:rsidRPr="00767180">
        <w:rPr>
          <w:rFonts w:ascii="NewsGotT" w:hAnsi="NewsGotT"/>
          <w:lang w:val="pt-BR" w:eastAsia="x-none"/>
        </w:rPr>
        <w:t>inibição específica da adenosina</w:t>
      </w:r>
      <w:r>
        <w:rPr>
          <w:rFonts w:ascii="NewsGotT" w:hAnsi="NewsGotT"/>
          <w:lang w:val="pt-BR" w:eastAsia="x-none"/>
        </w:rPr>
        <w:t xml:space="preserve"> </w:t>
      </w:r>
      <w:r w:rsidRPr="00767180">
        <w:rPr>
          <w:rFonts w:ascii="NewsGotT" w:hAnsi="NewsGotT"/>
          <w:lang w:val="pt-BR" w:eastAsia="x-none"/>
        </w:rPr>
        <w:lastRenderedPageBreak/>
        <w:t>trifosfatase alterando assim a atividade d</w:t>
      </w:r>
      <w:r w:rsidR="00B51259">
        <w:rPr>
          <w:rFonts w:ascii="NewsGotT" w:hAnsi="NewsGotT"/>
          <w:lang w:val="pt-BR" w:eastAsia="x-none"/>
        </w:rPr>
        <w:t>as</w:t>
      </w:r>
      <w:r w:rsidRPr="00767180">
        <w:rPr>
          <w:rFonts w:ascii="NewsGotT" w:hAnsi="NewsGotT"/>
          <w:lang w:val="pt-BR" w:eastAsia="x-none"/>
        </w:rPr>
        <w:t xml:space="preserve"> troca</w:t>
      </w:r>
      <w:r w:rsidR="00B51259">
        <w:rPr>
          <w:rFonts w:ascii="NewsGotT" w:hAnsi="NewsGotT"/>
          <w:lang w:val="pt-BR" w:eastAsia="x-none"/>
        </w:rPr>
        <w:t>s</w:t>
      </w:r>
      <w:r w:rsidRPr="00767180">
        <w:rPr>
          <w:rFonts w:ascii="NewsGotT" w:hAnsi="NewsGotT"/>
          <w:lang w:val="pt-BR" w:eastAsia="x-none"/>
        </w:rPr>
        <w:t xml:space="preserve"> sódio-potássio</w:t>
      </w:r>
      <w:r w:rsidR="003D0CC4">
        <w:rPr>
          <w:rFonts w:ascii="NewsGotT" w:hAnsi="NewsGotT"/>
          <w:lang w:val="pt-BR" w:eastAsia="x-none"/>
        </w:rPr>
        <w:t>. E</w:t>
      </w:r>
      <w:r w:rsidRPr="00767180">
        <w:rPr>
          <w:rFonts w:ascii="NewsGotT" w:hAnsi="NewsGotT"/>
          <w:lang w:val="pt-BR" w:eastAsia="x-none"/>
        </w:rPr>
        <w:t>sta</w:t>
      </w:r>
      <w:r>
        <w:rPr>
          <w:rFonts w:ascii="NewsGotT" w:hAnsi="NewsGotT"/>
          <w:lang w:val="pt-BR" w:eastAsia="x-none"/>
        </w:rPr>
        <w:t xml:space="preserve"> </w:t>
      </w:r>
      <w:r w:rsidRPr="00767180">
        <w:rPr>
          <w:rFonts w:ascii="NewsGotT" w:hAnsi="NewsGotT"/>
          <w:lang w:val="pt-BR" w:eastAsia="x-none"/>
        </w:rPr>
        <w:t>alteração iónica distribuída pela membrana, resulta num aumento do influxo do ião</w:t>
      </w:r>
      <w:r>
        <w:rPr>
          <w:rFonts w:ascii="NewsGotT" w:hAnsi="NewsGotT"/>
          <w:lang w:val="pt-BR" w:eastAsia="x-none"/>
        </w:rPr>
        <w:t xml:space="preserve"> </w:t>
      </w:r>
      <w:r w:rsidRPr="00767180">
        <w:rPr>
          <w:rFonts w:ascii="NewsGotT" w:hAnsi="NewsGotT"/>
          <w:lang w:val="pt-BR" w:eastAsia="x-none"/>
        </w:rPr>
        <w:t>cálcio</w:t>
      </w:r>
      <w:r w:rsidR="00B51259">
        <w:rPr>
          <w:rFonts w:ascii="NewsGotT" w:hAnsi="NewsGotT"/>
          <w:lang w:val="pt-BR" w:eastAsia="x-none"/>
        </w:rPr>
        <w:t xml:space="preserve"> no coração</w:t>
      </w:r>
      <w:r w:rsidRPr="00767180">
        <w:rPr>
          <w:rFonts w:ascii="NewsGotT" w:hAnsi="NewsGotT"/>
          <w:lang w:val="pt-BR" w:eastAsia="x-none"/>
        </w:rPr>
        <w:t xml:space="preserve"> causando um aumento da </w:t>
      </w:r>
      <w:r w:rsidR="00B51259">
        <w:rPr>
          <w:rFonts w:ascii="NewsGotT" w:hAnsi="NewsGotT"/>
          <w:lang w:val="pt-BR" w:eastAsia="x-none"/>
        </w:rPr>
        <w:t xml:space="preserve">contractilidade </w:t>
      </w:r>
      <w:r w:rsidR="00B51259">
        <w:rPr>
          <w:rFonts w:ascii="NewsGotT" w:hAnsi="NewsGotT"/>
          <w:lang w:val="pt-BR" w:eastAsia="x-none"/>
        </w:rPr>
        <w:fldChar w:fldCharType="begin" w:fldLock="1"/>
      </w:r>
      <w:r w:rsidR="00954F5A">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rFonts w:ascii="NewsGotT" w:hAnsi="NewsGotT"/>
          <w:lang w:val="pt-BR" w:eastAsia="x-none"/>
        </w:rPr>
        <w:fldChar w:fldCharType="separate"/>
      </w:r>
      <w:r w:rsidR="00B51259" w:rsidRPr="00B51259">
        <w:rPr>
          <w:rFonts w:ascii="NewsGotT" w:hAnsi="NewsGotT"/>
          <w:noProof/>
          <w:lang w:val="pt-BR" w:eastAsia="x-none"/>
        </w:rPr>
        <w:t>(Brunton et al., 2011; INFARMED, 2011)</w:t>
      </w:r>
      <w:r w:rsidR="00B51259">
        <w:rPr>
          <w:rFonts w:ascii="NewsGotT" w:hAnsi="NewsGotT"/>
          <w:lang w:val="pt-BR" w:eastAsia="x-none"/>
        </w:rPr>
        <w:fldChar w:fldCharType="end"/>
      </w:r>
      <w:r w:rsidRPr="00767180">
        <w:rPr>
          <w:rFonts w:ascii="NewsGotT" w:hAnsi="NewsGotT"/>
          <w:lang w:val="pt-BR" w:eastAsia="x-none"/>
        </w:rPr>
        <w:t>.</w:t>
      </w:r>
      <w:r w:rsidR="003D0CC4">
        <w:rPr>
          <w:rFonts w:ascii="NewsGotT" w:hAnsi="NewsGotT"/>
          <w:lang w:val="pt-PT" w:eastAsia="x-none"/>
        </w:rPr>
        <w:t xml:space="preserve"> </w:t>
      </w:r>
      <w:r w:rsidR="00B51259">
        <w:rPr>
          <w:rFonts w:ascii="NewsGotT" w:hAnsi="NewsGotT"/>
          <w:lang w:val="pt-PT" w:eastAsia="x-none"/>
        </w:rPr>
        <w:t xml:space="preserve">Por outro lado, a digoxina </w:t>
      </w:r>
      <w:r w:rsidR="00B51259" w:rsidRPr="00B51259">
        <w:rPr>
          <w:rFonts w:ascii="NewsGotT" w:hAnsi="NewsGotT"/>
          <w:lang w:val="pt-PT" w:eastAsia="x-none"/>
        </w:rPr>
        <w:t>exerce o mesmo efeito fundamental de inibição do mecanismo de troca</w:t>
      </w:r>
      <w:r w:rsidR="00B51259">
        <w:rPr>
          <w:rFonts w:ascii="NewsGotT" w:hAnsi="NewsGotT"/>
          <w:lang w:val="pt-PT" w:eastAsia="x-none"/>
        </w:rPr>
        <w:t xml:space="preserve"> </w:t>
      </w:r>
      <w:r w:rsidR="00B51259" w:rsidRPr="00767180">
        <w:rPr>
          <w:rFonts w:ascii="NewsGotT" w:hAnsi="NewsGotT"/>
          <w:lang w:val="pt-BR" w:eastAsia="x-none"/>
        </w:rPr>
        <w:t>sódio-potássio</w:t>
      </w:r>
      <w:r w:rsidR="00B51259" w:rsidRPr="00B51259">
        <w:rPr>
          <w:rFonts w:ascii="NewsGotT" w:hAnsi="NewsGotT"/>
          <w:lang w:val="pt-PT" w:eastAsia="x-none"/>
        </w:rPr>
        <w:t xml:space="preserve"> </w:t>
      </w:r>
      <w:r w:rsidR="00B51259" w:rsidRPr="00B51259">
        <w:rPr>
          <w:rFonts w:ascii="NewsGotT" w:hAnsi="NewsGotT"/>
          <w:lang w:val="pt-PT" w:eastAsia="x-none"/>
        </w:rPr>
        <w:t>nas células do sistema nervoso autónomo, estimulando-as a exercer atividade</w:t>
      </w:r>
      <w:r w:rsidR="00B51259">
        <w:rPr>
          <w:rFonts w:ascii="NewsGotT" w:hAnsi="NewsGotT"/>
          <w:lang w:val="pt-PT" w:eastAsia="x-none"/>
        </w:rPr>
        <w:t xml:space="preserve"> </w:t>
      </w:r>
      <w:r w:rsidR="00B51259" w:rsidRPr="00B51259">
        <w:rPr>
          <w:rFonts w:ascii="NewsGotT" w:hAnsi="NewsGotT"/>
          <w:lang w:val="pt-PT" w:eastAsia="x-none"/>
        </w:rPr>
        <w:t>cardíaca indireta.</w:t>
      </w:r>
      <w:r w:rsidR="00B51259">
        <w:rPr>
          <w:rFonts w:ascii="NewsGotT" w:hAnsi="NewsGotT"/>
          <w:lang w:val="pt-PT" w:eastAsia="x-none"/>
        </w:rPr>
        <w:t xml:space="preserve"> Este mecanismo retarda a condução elétrica no nódulo atrioventricular diminuindo assim a frequência cardíaca</w:t>
      </w:r>
      <w:r w:rsidR="00954F5A">
        <w:rPr>
          <w:rFonts w:ascii="NewsGotT" w:hAnsi="NewsGotT"/>
          <w:lang w:val="pt-PT" w:eastAsia="x-none"/>
        </w:rPr>
        <w:t xml:space="preserve"> </w:t>
      </w:r>
      <w:r w:rsidR="00954F5A">
        <w:rPr>
          <w:rFonts w:ascii="NewsGotT" w:hAnsi="NewsGotT"/>
          <w:lang w:val="pt-PT" w:eastAsia="x-none"/>
        </w:rPr>
        <w:fldChar w:fldCharType="begin" w:fldLock="1"/>
      </w:r>
      <w:r w:rsidR="0096092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rFonts w:ascii="NewsGotT" w:hAnsi="NewsGotT"/>
          <w:lang w:val="pt-PT" w:eastAsia="x-none"/>
        </w:rPr>
        <w:fldChar w:fldCharType="separate"/>
      </w:r>
      <w:r w:rsidR="00954F5A" w:rsidRPr="00954F5A">
        <w:rPr>
          <w:rFonts w:ascii="NewsGotT" w:hAnsi="NewsGotT"/>
          <w:noProof/>
          <w:lang w:val="pt-PT" w:eastAsia="x-none"/>
        </w:rPr>
        <w:t>(INFARMED, 2011)</w:t>
      </w:r>
      <w:r w:rsidR="00954F5A">
        <w:rPr>
          <w:rFonts w:ascii="NewsGotT" w:hAnsi="NewsGotT"/>
          <w:lang w:val="pt-PT" w:eastAsia="x-none"/>
        </w:rPr>
        <w:fldChar w:fldCharType="end"/>
      </w:r>
      <w:r w:rsidR="00B51259">
        <w:rPr>
          <w:rFonts w:ascii="NewsGotT" w:hAnsi="NewsGotT"/>
          <w:lang w:val="pt-PT" w:eastAsia="x-none"/>
        </w:rPr>
        <w:t xml:space="preserve">. </w:t>
      </w:r>
    </w:p>
    <w:p w14:paraId="33CC6257" w14:textId="0D82369E" w:rsidR="00292126" w:rsidRPr="00954F5A" w:rsidRDefault="00954F5A" w:rsidP="00954F5A">
      <w:pPr>
        <w:spacing w:line="360" w:lineRule="auto"/>
        <w:ind w:firstLine="709"/>
        <w:jc w:val="both"/>
        <w:rPr>
          <w:rFonts w:ascii="NewsGotT" w:hAnsi="NewsGotT"/>
          <w:lang w:val="pt-PT" w:eastAsia="x-none"/>
        </w:rPr>
      </w:pPr>
      <w:r>
        <w:rPr>
          <w:rFonts w:ascii="NewsGotT" w:hAnsi="NewsGotT"/>
          <w:lang w:val="pt-PT" w:eastAsia="x-none"/>
        </w:rPr>
        <w:t>Este medicamento apresenta algumas</w:t>
      </w:r>
      <w:r w:rsidR="00292126" w:rsidRPr="00767180">
        <w:rPr>
          <w:rFonts w:ascii="NewsGotT" w:hAnsi="NewsGotT"/>
          <w:lang w:val="pt-PT" w:eastAsia="x-none"/>
        </w:rPr>
        <w:t xml:space="preserve"> </w:t>
      </w:r>
      <w:r w:rsidR="00292126" w:rsidRPr="00767180">
        <w:rPr>
          <w:rFonts w:ascii="NewsGotT" w:hAnsi="NewsGotT"/>
          <w:lang w:val="pt-PT" w:eastAsia="x-none"/>
        </w:rPr>
        <w:t>reações</w:t>
      </w:r>
      <w:r w:rsidR="00292126" w:rsidRPr="00767180">
        <w:rPr>
          <w:rFonts w:ascii="NewsGotT" w:hAnsi="NewsGotT"/>
          <w:lang w:val="pt-PT" w:eastAsia="x-none"/>
        </w:rPr>
        <w:t xml:space="preserve"> adversas </w:t>
      </w:r>
      <w:r w:rsidR="003B75EC">
        <w:rPr>
          <w:rFonts w:ascii="NewsGotT" w:hAnsi="NewsGotT"/>
          <w:lang w:val="pt-PT" w:eastAsia="x-none"/>
        </w:rPr>
        <w:t xml:space="preserve">ocorridas devido </w:t>
      </w:r>
      <w:r w:rsidR="003D1043">
        <w:rPr>
          <w:rFonts w:ascii="NewsGotT" w:hAnsi="NewsGotT"/>
          <w:lang w:val="pt-PT" w:eastAsia="x-none"/>
        </w:rPr>
        <w:t>ao uso da</w:t>
      </w:r>
      <w:r w:rsidR="00292126" w:rsidRPr="00767180">
        <w:rPr>
          <w:rFonts w:ascii="NewsGotT" w:hAnsi="NewsGotT"/>
          <w:lang w:val="pt-PT" w:eastAsia="x-none"/>
        </w:rPr>
        <w:t xml:space="preserve"> </w:t>
      </w:r>
      <w:r>
        <w:rPr>
          <w:rFonts w:ascii="NewsGotT" w:hAnsi="NewsGotT"/>
          <w:lang w:val="pt-PT" w:eastAsia="x-none"/>
        </w:rPr>
        <w:t>substância</w:t>
      </w:r>
      <w:r w:rsidR="008A3196">
        <w:rPr>
          <w:rFonts w:ascii="NewsGotT" w:hAnsi="NewsGotT"/>
          <w:lang w:val="pt-PT" w:eastAsia="x-none"/>
        </w:rPr>
        <w:t xml:space="preserve"> </w:t>
      </w:r>
      <w:r w:rsidR="003867AB" w:rsidRPr="00767180">
        <w:rPr>
          <w:rFonts w:ascii="NewsGotT" w:hAnsi="NewsGotT"/>
          <w:lang w:val="pt-PT" w:eastAsia="x-none"/>
        </w:rPr>
        <w:t>destaca</w:t>
      </w:r>
      <w:r>
        <w:rPr>
          <w:rFonts w:ascii="NewsGotT" w:hAnsi="NewsGotT"/>
          <w:lang w:val="pt-PT" w:eastAsia="x-none"/>
        </w:rPr>
        <w:t>ndo-se</w:t>
      </w:r>
      <w:r w:rsidR="0019440A" w:rsidRPr="00767180">
        <w:rPr>
          <w:rFonts w:ascii="NewsGotT" w:hAnsi="NewsGotT"/>
          <w:lang w:val="pt-PT" w:eastAsia="x-none"/>
        </w:rPr>
        <w:t xml:space="preserve"> perturbações do foro psiquiátrico </w:t>
      </w:r>
      <w:r w:rsidR="008A3196">
        <w:rPr>
          <w:rFonts w:ascii="NewsGotT" w:hAnsi="NewsGotT"/>
          <w:lang w:val="pt-PT" w:eastAsia="x-none"/>
        </w:rPr>
        <w:t>que envolvem</w:t>
      </w:r>
      <w:r w:rsidR="0019440A" w:rsidRPr="00767180">
        <w:rPr>
          <w:rFonts w:ascii="NewsGotT" w:hAnsi="NewsGotT"/>
          <w:lang w:val="pt-PT" w:eastAsia="x-none"/>
        </w:rPr>
        <w:t xml:space="preserve"> depressão, psicose, apatia</w:t>
      </w:r>
      <w:r w:rsidR="003867AB" w:rsidRPr="00767180">
        <w:rPr>
          <w:rFonts w:ascii="NewsGotT" w:hAnsi="NewsGotT"/>
          <w:lang w:val="pt-PT" w:eastAsia="x-none"/>
        </w:rPr>
        <w:t xml:space="preserve"> e estados de </w:t>
      </w:r>
      <w:r w:rsidR="0019440A" w:rsidRPr="00767180">
        <w:rPr>
          <w:rFonts w:ascii="NewsGotT" w:hAnsi="NewsGotT"/>
          <w:lang w:val="pt-PT" w:eastAsia="x-none"/>
        </w:rPr>
        <w:t>confusão. São também referidos distúrbios do SNC, tonturas e dores de cabeça</w:t>
      </w:r>
      <w:r w:rsidR="003D1043">
        <w:rPr>
          <w:rFonts w:ascii="NewsGotT" w:hAnsi="NewsGotT"/>
          <w:lang w:val="pt-PT" w:eastAsia="x-none"/>
        </w:rPr>
        <w:t>, visão turva, arritmias e fadiga</w:t>
      </w:r>
      <w:r w:rsidR="00AF5D6F" w:rsidRPr="00767180">
        <w:rPr>
          <w:rFonts w:ascii="NewsGotT" w:hAnsi="NewsGotT"/>
          <w:lang w:val="pt-PT" w:eastAsia="x-none"/>
        </w:rPr>
        <w:t xml:space="preserve"> </w:t>
      </w:r>
      <w:r w:rsidR="00AF5D6F" w:rsidRPr="00767180">
        <w:rPr>
          <w:rFonts w:ascii="NewsGotT" w:hAnsi="NewsGotT"/>
          <w:lang w:val="pt-PT" w:eastAsia="x-none"/>
        </w:rPr>
        <w:fldChar w:fldCharType="begin" w:fldLock="1"/>
      </w:r>
      <w:r w:rsidR="00E25253">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rFonts w:ascii="NewsGotT" w:hAnsi="NewsGotT"/>
          <w:lang w:val="pt-PT" w:eastAsia="x-none"/>
        </w:rPr>
        <w:fldChar w:fldCharType="separate"/>
      </w:r>
      <w:r w:rsidR="00AF5D6F" w:rsidRPr="00767180">
        <w:rPr>
          <w:rFonts w:ascii="NewsGotT" w:hAnsi="NewsGotT"/>
          <w:noProof/>
          <w:lang w:val="pt-PT" w:eastAsia="x-none"/>
        </w:rPr>
        <w:t>(INFARMED, 2011)</w:t>
      </w:r>
      <w:r w:rsidR="00AF5D6F" w:rsidRPr="00767180">
        <w:rPr>
          <w:rFonts w:ascii="NewsGotT" w:hAnsi="NewsGotT"/>
          <w:lang w:val="pt-PT" w:eastAsia="x-none"/>
        </w:rPr>
        <w:fldChar w:fldCharType="end"/>
      </w:r>
      <w:r w:rsidR="0019440A" w:rsidRPr="00767180">
        <w:rPr>
          <w:rFonts w:ascii="NewsGotT" w:hAnsi="NewsGotT"/>
          <w:lang w:val="pt-PT" w:eastAsia="x-none"/>
        </w:rPr>
        <w:t xml:space="preserve">. </w:t>
      </w:r>
    </w:p>
    <w:p w14:paraId="0DBC4C07" w14:textId="7F7638DD" w:rsidR="0003390F" w:rsidRPr="00954F5A" w:rsidRDefault="00954F5A" w:rsidP="00954F5A">
      <w:pPr>
        <w:pStyle w:val="Heading3"/>
        <w:spacing w:line="360" w:lineRule="auto"/>
        <w:jc w:val="both"/>
        <w:rPr>
          <w:rFonts w:ascii="NewsGotT" w:hAnsi="NewsGotT"/>
          <w:lang w:eastAsia="x-none"/>
        </w:rPr>
      </w:pPr>
      <w:r w:rsidRPr="00954F5A">
        <w:rPr>
          <w:rFonts w:ascii="NewsGotT" w:hAnsi="NewsGotT"/>
          <w:lang w:eastAsia="x-none"/>
        </w:rPr>
        <w:t>Glucocorticóides</w:t>
      </w:r>
    </w:p>
    <w:p w14:paraId="2170FC3C" w14:textId="77777777" w:rsidR="00954F5A" w:rsidRDefault="00954F5A" w:rsidP="00954F5A">
      <w:pPr>
        <w:rPr>
          <w:rFonts w:ascii="NewsGotT" w:hAnsi="NewsGotT"/>
          <w:lang w:val="pt-PT" w:eastAsia="x-none"/>
        </w:rPr>
      </w:pPr>
    </w:p>
    <w:p w14:paraId="1D7E421F" w14:textId="14325E91" w:rsidR="002F5BFB" w:rsidRDefault="00954F5A" w:rsidP="007F739B">
      <w:pPr>
        <w:spacing w:line="360" w:lineRule="auto"/>
        <w:ind w:firstLine="709"/>
        <w:jc w:val="both"/>
        <w:rPr>
          <w:rFonts w:ascii="NewsGotT" w:hAnsi="NewsGotT"/>
          <w:lang w:val="pt-PT" w:eastAsia="x-none"/>
        </w:rPr>
      </w:pPr>
      <w:r>
        <w:rPr>
          <w:rFonts w:ascii="NewsGotT" w:hAnsi="NewsGotT"/>
          <w:lang w:val="pt-PT" w:eastAsia="x-none"/>
        </w:rPr>
        <w:t>O</w:t>
      </w:r>
      <w:r w:rsidRPr="00954F5A">
        <w:rPr>
          <w:rFonts w:ascii="NewsGotT" w:hAnsi="NewsGotT"/>
          <w:lang w:val="pt-PT" w:eastAsia="x-none"/>
        </w:rPr>
        <w:t xml:space="preserve"> sistema endócrino</w:t>
      </w:r>
      <w:r>
        <w:rPr>
          <w:rFonts w:ascii="NewsGotT" w:hAnsi="NewsGotT"/>
          <w:lang w:val="pt-PT" w:eastAsia="x-none"/>
        </w:rPr>
        <w:t xml:space="preserve"> </w:t>
      </w:r>
      <w:r w:rsidRPr="00954F5A">
        <w:rPr>
          <w:rFonts w:ascii="NewsGotT" w:hAnsi="NewsGotT"/>
          <w:lang w:val="pt-PT" w:eastAsia="x-none"/>
        </w:rPr>
        <w:t>é formado por um</w:t>
      </w:r>
      <w:r>
        <w:rPr>
          <w:rFonts w:ascii="NewsGotT" w:hAnsi="NewsGotT"/>
          <w:lang w:val="pt-PT" w:eastAsia="x-none"/>
        </w:rPr>
        <w:t xml:space="preserve"> </w:t>
      </w:r>
      <w:r w:rsidRPr="00954F5A">
        <w:rPr>
          <w:rFonts w:ascii="NewsGotT" w:hAnsi="NewsGotT"/>
          <w:lang w:val="pt-PT" w:eastAsia="x-none"/>
        </w:rPr>
        <w:t>conjunto de glândulas produtoras de hormonas, muitas das quais reguladas por</w:t>
      </w:r>
      <w:r>
        <w:rPr>
          <w:rFonts w:ascii="NewsGotT" w:hAnsi="NewsGotT"/>
          <w:lang w:val="pt-PT" w:eastAsia="x-none"/>
        </w:rPr>
        <w:t xml:space="preserve"> </w:t>
      </w:r>
      <w:r w:rsidRPr="00954F5A">
        <w:rPr>
          <w:rFonts w:ascii="NewsGotT" w:hAnsi="NewsGotT"/>
          <w:lang w:val="pt-PT" w:eastAsia="x-none"/>
        </w:rPr>
        <w:t>hormonas estimuladoras segregadas pela hipófise, a qual estabelece a</w:t>
      </w:r>
      <w:r>
        <w:rPr>
          <w:rFonts w:ascii="NewsGotT" w:hAnsi="NewsGotT"/>
          <w:lang w:val="pt-PT" w:eastAsia="x-none"/>
        </w:rPr>
        <w:t xml:space="preserve"> </w:t>
      </w:r>
      <w:r w:rsidRPr="00954F5A">
        <w:rPr>
          <w:rFonts w:ascii="NewsGotT" w:hAnsi="NewsGotT"/>
          <w:lang w:val="pt-PT" w:eastAsia="x-none"/>
        </w:rPr>
        <w:t xml:space="preserve">ligação entre o sistema endócrino e o hipotálamo. É uma </w:t>
      </w:r>
      <w:r>
        <w:rPr>
          <w:rFonts w:ascii="NewsGotT" w:hAnsi="NewsGotT"/>
          <w:lang w:val="pt-PT" w:eastAsia="x-none"/>
        </w:rPr>
        <w:t xml:space="preserve">rede </w:t>
      </w:r>
      <w:r w:rsidRPr="00954F5A">
        <w:rPr>
          <w:rFonts w:ascii="NewsGotT" w:hAnsi="NewsGotT"/>
          <w:lang w:val="pt-PT" w:eastAsia="x-none"/>
        </w:rPr>
        <w:t xml:space="preserve">complexa de sinais e mensagens químicas que controla as funções e </w:t>
      </w:r>
      <w:r w:rsidRPr="00954F5A">
        <w:rPr>
          <w:rFonts w:ascii="NewsGotT" w:hAnsi="NewsGotT"/>
          <w:lang w:val="pt-PT" w:eastAsia="x-none"/>
        </w:rPr>
        <w:t>reações</w:t>
      </w:r>
      <w:r w:rsidRPr="00954F5A">
        <w:rPr>
          <w:rFonts w:ascii="NewsGotT" w:hAnsi="NewsGotT"/>
          <w:lang w:val="pt-PT" w:eastAsia="x-none"/>
        </w:rPr>
        <w:t xml:space="preserve"> corporais</w:t>
      </w:r>
      <w:r>
        <w:rPr>
          <w:rFonts w:ascii="NewsGotT" w:hAnsi="NewsGotT"/>
          <w:lang w:val="pt-PT" w:eastAsia="x-none"/>
        </w:rPr>
        <w:t xml:space="preserve"> </w:t>
      </w:r>
      <w:r w:rsidRPr="00954F5A">
        <w:rPr>
          <w:rFonts w:ascii="NewsGotT" w:hAnsi="NewsGotT"/>
          <w:lang w:val="pt-PT" w:eastAsia="x-none"/>
        </w:rPr>
        <w:t>interagindo diretamente com o sistema nervoso</w:t>
      </w:r>
      <w:r w:rsidR="00E7097C">
        <w:rPr>
          <w:rFonts w:ascii="NewsGotT" w:hAnsi="NewsGotT"/>
          <w:lang w:val="pt-PT" w:eastAsia="x-none"/>
        </w:rPr>
        <w:t xml:space="preserve"> </w:t>
      </w:r>
      <w:r w:rsidR="00E7097C">
        <w:rPr>
          <w:rFonts w:ascii="NewsGotT" w:hAnsi="NewsGotT"/>
          <w:lang w:val="pt-PT" w:eastAsia="x-none"/>
        </w:rPr>
        <w:fldChar w:fldCharType="begin" w:fldLock="1"/>
      </w:r>
      <w:r w:rsidR="00090D68">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rFonts w:ascii="NewsGotT" w:hAnsi="NewsGotT"/>
          <w:lang w:val="pt-PT" w:eastAsia="x-none"/>
        </w:rPr>
        <w:fldChar w:fldCharType="separate"/>
      </w:r>
      <w:r w:rsidR="00E7097C" w:rsidRPr="00E7097C">
        <w:rPr>
          <w:rFonts w:ascii="NewsGotT" w:hAnsi="NewsGotT"/>
          <w:noProof/>
          <w:lang w:val="pt-PT" w:eastAsia="x-none"/>
        </w:rPr>
        <w:t>(Nussey &amp; Whitehead, 2001)</w:t>
      </w:r>
      <w:r w:rsidR="00E7097C">
        <w:rPr>
          <w:rFonts w:ascii="NewsGotT" w:hAnsi="NewsGotT"/>
          <w:lang w:val="pt-PT" w:eastAsia="x-none"/>
        </w:rPr>
        <w:fldChar w:fldCharType="end"/>
      </w:r>
      <w:r>
        <w:rPr>
          <w:rFonts w:ascii="NewsGotT" w:hAnsi="NewsGotT"/>
          <w:lang w:val="pt-PT" w:eastAsia="x-none"/>
        </w:rPr>
        <w:t xml:space="preserve">. Existe uma grande diversidade de glândulas e hormonas que desempenham um papel </w:t>
      </w:r>
      <w:r w:rsidRPr="00954F5A">
        <w:rPr>
          <w:rFonts w:ascii="NewsGotT" w:hAnsi="NewsGotT"/>
          <w:lang w:val="pt-PT" w:eastAsia="x-none"/>
        </w:rPr>
        <w:t>fundamental no crescimento e desenvolvimento, na reprodução e na</w:t>
      </w:r>
      <w:r>
        <w:rPr>
          <w:rFonts w:ascii="NewsGotT" w:hAnsi="NewsGotT"/>
          <w:lang w:val="pt-PT" w:eastAsia="x-none"/>
        </w:rPr>
        <w:t xml:space="preserve"> </w:t>
      </w:r>
      <w:r w:rsidRPr="00954F5A">
        <w:rPr>
          <w:rFonts w:ascii="NewsGotT" w:hAnsi="NewsGotT"/>
          <w:lang w:val="pt-PT" w:eastAsia="x-none"/>
        </w:rPr>
        <w:t>diferenciação sexual e ainda na formação do sistema nervoso e imunológico</w:t>
      </w:r>
      <w:r w:rsidR="00960927">
        <w:rPr>
          <w:rFonts w:ascii="NewsGotT" w:hAnsi="NewsGotT"/>
          <w:lang w:val="pt-PT" w:eastAsia="x-none"/>
        </w:rPr>
        <w:t xml:space="preserve"> </w:t>
      </w:r>
      <w:r w:rsidR="00960927">
        <w:rPr>
          <w:rFonts w:ascii="NewsGotT" w:hAnsi="NewsGotT"/>
          <w:lang w:val="pt-PT" w:eastAsia="x-none"/>
        </w:rPr>
        <w:fldChar w:fldCharType="begin" w:fldLock="1"/>
      </w:r>
      <w:r w:rsidR="00395DE8">
        <w:rPr>
          <w:rFonts w:ascii="NewsGotT" w:hAnsi="NewsGotT"/>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 Jaszczyk &amp; Juszczak, 2021)</w:t>
      </w:r>
      <w:r w:rsidR="00960927">
        <w:rPr>
          <w:rFonts w:ascii="NewsGotT" w:hAnsi="NewsGotT"/>
          <w:lang w:val="pt-PT" w:eastAsia="x-none"/>
        </w:rPr>
        <w:fldChar w:fldCharType="end"/>
      </w:r>
      <w:r w:rsidRPr="00954F5A">
        <w:rPr>
          <w:rFonts w:ascii="NewsGotT" w:hAnsi="NewsGotT"/>
          <w:lang w:val="pt-PT" w:eastAsia="x-none"/>
        </w:rPr>
        <w:t>.</w:t>
      </w:r>
      <w:r>
        <w:rPr>
          <w:rFonts w:ascii="NewsGotT" w:hAnsi="NewsGotT"/>
          <w:lang w:val="pt-PT" w:eastAsia="x-none"/>
        </w:rPr>
        <w:t xml:space="preserve"> </w:t>
      </w:r>
    </w:p>
    <w:p w14:paraId="22C9B779" w14:textId="77777777" w:rsidR="002F5BFB" w:rsidRDefault="00954F5A" w:rsidP="007F739B">
      <w:pPr>
        <w:spacing w:line="360" w:lineRule="auto"/>
        <w:ind w:firstLine="709"/>
        <w:jc w:val="both"/>
        <w:rPr>
          <w:rFonts w:ascii="NewsGotT" w:hAnsi="NewsGotT"/>
          <w:lang w:val="pt-PT" w:eastAsia="x-none"/>
        </w:rPr>
      </w:pPr>
      <w:r w:rsidRPr="00954F5A">
        <w:rPr>
          <w:rFonts w:ascii="NewsGotT" w:hAnsi="NewsGotT"/>
          <w:lang w:val="pt-PT" w:eastAsia="x-none"/>
        </w:rPr>
        <w:t xml:space="preserve">As hormonas </w:t>
      </w:r>
      <w:r w:rsidR="00395DE8">
        <w:rPr>
          <w:rFonts w:ascii="NewsGotT" w:hAnsi="NewsGotT"/>
          <w:lang w:val="pt-PT" w:eastAsia="x-none"/>
        </w:rPr>
        <w:t xml:space="preserve">estão </w:t>
      </w:r>
      <w:r w:rsidRPr="00954F5A">
        <w:rPr>
          <w:rFonts w:ascii="NewsGotT" w:hAnsi="NewsGotT"/>
          <w:lang w:val="pt-PT" w:eastAsia="x-none"/>
        </w:rPr>
        <w:t>presentes na natureza,</w:t>
      </w:r>
      <w:r>
        <w:rPr>
          <w:rFonts w:ascii="NewsGotT" w:hAnsi="NewsGotT"/>
          <w:lang w:val="pt-PT" w:eastAsia="x-none"/>
        </w:rPr>
        <w:t xml:space="preserve"> </w:t>
      </w:r>
      <w:r w:rsidRPr="00954F5A">
        <w:rPr>
          <w:rFonts w:ascii="NewsGotT" w:hAnsi="NewsGotT"/>
          <w:lang w:val="pt-PT" w:eastAsia="x-none"/>
        </w:rPr>
        <w:t>tanto em espécies animais como em espécies vegetais</w:t>
      </w:r>
      <w:r w:rsidR="009568FF">
        <w:rPr>
          <w:rFonts w:ascii="NewsGotT" w:hAnsi="NewsGotT"/>
          <w:lang w:val="pt-PT" w:eastAsia="x-none"/>
        </w:rPr>
        <w:t xml:space="preserve">, e embora </w:t>
      </w:r>
      <w:r w:rsidR="009568FF" w:rsidRPr="009568FF">
        <w:rPr>
          <w:rFonts w:ascii="NewsGotT" w:hAnsi="NewsGotT"/>
          <w:lang w:val="pt-PT" w:eastAsia="x-none"/>
        </w:rPr>
        <w:t xml:space="preserve">existam diferenças de estrutura e função, o mecanismo de </w:t>
      </w:r>
      <w:r w:rsidR="009568FF" w:rsidRPr="009568FF">
        <w:rPr>
          <w:rFonts w:ascii="NewsGotT" w:hAnsi="NewsGotT"/>
          <w:lang w:val="pt-PT" w:eastAsia="x-none"/>
        </w:rPr>
        <w:t>ação</w:t>
      </w:r>
      <w:r w:rsidR="009568FF" w:rsidRPr="009568FF">
        <w:rPr>
          <w:rFonts w:ascii="NewsGotT" w:hAnsi="NewsGotT"/>
          <w:lang w:val="pt-PT" w:eastAsia="x-none"/>
        </w:rPr>
        <w:t xml:space="preserve"> é</w:t>
      </w:r>
      <w:r w:rsidR="009568FF">
        <w:rPr>
          <w:rFonts w:ascii="NewsGotT" w:hAnsi="NewsGotT"/>
          <w:lang w:val="pt-PT" w:eastAsia="x-none"/>
        </w:rPr>
        <w:t xml:space="preserve"> </w:t>
      </w:r>
      <w:r w:rsidR="009568FF" w:rsidRPr="009568FF">
        <w:rPr>
          <w:rFonts w:ascii="NewsGotT" w:hAnsi="NewsGotT"/>
          <w:lang w:val="pt-PT" w:eastAsia="x-none"/>
        </w:rPr>
        <w:t>semelhante.</w:t>
      </w:r>
      <w:r w:rsidR="009568FF">
        <w:rPr>
          <w:rFonts w:ascii="NewsGotT" w:hAnsi="NewsGotT"/>
          <w:lang w:val="pt-PT" w:eastAsia="x-none"/>
        </w:rPr>
        <w:t xml:space="preserve"> </w:t>
      </w:r>
      <w:r w:rsidRPr="00954F5A">
        <w:rPr>
          <w:rFonts w:ascii="NewsGotT" w:hAnsi="NewsGotT"/>
          <w:lang w:val="pt-PT" w:eastAsia="x-none"/>
        </w:rPr>
        <w:t>Esta é a razão pela qual, qualquer substância que interfira no mecanismo</w:t>
      </w:r>
      <w:r>
        <w:rPr>
          <w:rFonts w:ascii="NewsGotT" w:hAnsi="NewsGotT"/>
          <w:lang w:val="pt-PT" w:eastAsia="x-none"/>
        </w:rPr>
        <w:t xml:space="preserve"> </w:t>
      </w:r>
      <w:r w:rsidRPr="00954F5A">
        <w:rPr>
          <w:rFonts w:ascii="NewsGotT" w:hAnsi="NewsGotT"/>
          <w:lang w:val="pt-PT" w:eastAsia="x-none"/>
        </w:rPr>
        <w:t>de ação hormonal pode alterar o desenvolvimento, a reprodução e outras funções</w:t>
      </w:r>
      <w:r>
        <w:rPr>
          <w:rFonts w:ascii="NewsGotT" w:hAnsi="NewsGotT"/>
          <w:lang w:val="pt-PT" w:eastAsia="x-none"/>
        </w:rPr>
        <w:t xml:space="preserve"> </w:t>
      </w:r>
      <w:r w:rsidRPr="00954F5A">
        <w:rPr>
          <w:rFonts w:ascii="NewsGotT" w:hAnsi="NewsGotT"/>
          <w:lang w:val="pt-PT" w:eastAsia="x-none"/>
        </w:rPr>
        <w:t>dos seres vivos das diversas espécies</w:t>
      </w:r>
      <w:r w:rsidR="00395DE8">
        <w:rPr>
          <w:rFonts w:ascii="NewsGotT" w:hAnsi="NewsGotT"/>
          <w:lang w:val="pt-PT" w:eastAsia="x-none"/>
        </w:rPr>
        <w:t xml:space="preserve"> </w:t>
      </w:r>
      <w:r w:rsidR="00395DE8">
        <w:rPr>
          <w:rFonts w:ascii="NewsGotT" w:hAnsi="NewsGotT"/>
          <w:lang w:val="pt-PT" w:eastAsia="x-none"/>
        </w:rPr>
        <w:fldChar w:fldCharType="begin" w:fldLock="1"/>
      </w:r>
      <w:r w:rsidR="00395DE8">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(Brunton et al., 2011)</w:t>
      </w:r>
      <w:r w:rsidR="00395DE8">
        <w:rPr>
          <w:rFonts w:ascii="NewsGotT" w:hAnsi="NewsGotT"/>
          <w:lang w:val="pt-PT" w:eastAsia="x-none"/>
        </w:rPr>
        <w:fldChar w:fldCharType="end"/>
      </w:r>
      <w:r w:rsidRPr="00954F5A">
        <w:rPr>
          <w:rFonts w:ascii="NewsGotT" w:hAnsi="NewsGotT"/>
          <w:lang w:val="pt-PT" w:eastAsia="x-none"/>
        </w:rPr>
        <w:t>.</w:t>
      </w:r>
      <w:r w:rsidR="009568FF">
        <w:rPr>
          <w:rFonts w:ascii="NewsGotT" w:hAnsi="NewsGotT"/>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rFonts w:ascii="NewsGotT" w:hAnsi="NewsGotT"/>
          <w:lang w:val="pt-PT" w:eastAsia="x-none"/>
        </w:rPr>
        <w:t>A síntese das hormonas esteróides ocorre a partir do colesterol</w:t>
      </w:r>
      <w:r w:rsidR="009568FF">
        <w:rPr>
          <w:rFonts w:ascii="NewsGotT" w:hAnsi="NewsGotT"/>
          <w:lang w:val="pt-PT" w:eastAsia="x-none"/>
        </w:rPr>
        <w:t xml:space="preserve"> </w:t>
      </w:r>
      <w:r w:rsidR="009568FF" w:rsidRPr="009568FF">
        <w:rPr>
          <w:rFonts w:ascii="NewsGotT" w:hAnsi="NewsGotT"/>
          <w:lang w:val="pt-PT" w:eastAsia="x-none"/>
        </w:rPr>
        <w:t xml:space="preserve">em diversos </w:t>
      </w:r>
      <w:r w:rsidR="009568FF" w:rsidRPr="009568FF">
        <w:rPr>
          <w:rFonts w:ascii="NewsGotT" w:hAnsi="NewsGotT"/>
          <w:lang w:val="pt-PT" w:eastAsia="x-none"/>
        </w:rPr>
        <w:t>órgãos</w:t>
      </w:r>
      <w:r w:rsidR="009568FF" w:rsidRPr="009568FF">
        <w:rPr>
          <w:rFonts w:ascii="NewsGotT" w:hAnsi="NewsGotT"/>
          <w:lang w:val="pt-PT" w:eastAsia="x-none"/>
        </w:rPr>
        <w:t xml:space="preserve"> como o fígado, cérebro, </w:t>
      </w:r>
      <w:r w:rsidR="009568FF" w:rsidRPr="009568FF">
        <w:rPr>
          <w:rFonts w:ascii="NewsGotT" w:hAnsi="NewsGotT"/>
          <w:lang w:val="pt-PT" w:eastAsia="x-none"/>
        </w:rPr>
        <w:t>órgãos</w:t>
      </w:r>
      <w:r w:rsidR="009568FF" w:rsidRPr="009568FF">
        <w:rPr>
          <w:rFonts w:ascii="NewsGotT" w:hAnsi="NewsGotT"/>
          <w:lang w:val="pt-PT" w:eastAsia="x-none"/>
        </w:rPr>
        <w:t xml:space="preserve"> reprodutores femininos e</w:t>
      </w:r>
      <w:r w:rsidR="009568FF">
        <w:rPr>
          <w:rFonts w:ascii="NewsGotT" w:hAnsi="NewsGotT"/>
          <w:lang w:val="pt-PT" w:eastAsia="x-none"/>
        </w:rPr>
        <w:t xml:space="preserve"> </w:t>
      </w:r>
      <w:r w:rsidR="009568FF" w:rsidRPr="009568FF">
        <w:rPr>
          <w:rFonts w:ascii="NewsGotT" w:hAnsi="NewsGotT"/>
          <w:lang w:val="pt-PT" w:eastAsia="x-none"/>
        </w:rPr>
        <w:t>masculinos. A classe das hormonas esteróides liga-se a recetores intracelulares que</w:t>
      </w:r>
      <w:r w:rsidR="009568FF">
        <w:rPr>
          <w:rFonts w:ascii="NewsGotT" w:hAnsi="NewsGotT"/>
          <w:lang w:val="pt-PT" w:eastAsia="x-none"/>
        </w:rPr>
        <w:t xml:space="preserve"> </w:t>
      </w:r>
      <w:r w:rsidR="009568FF" w:rsidRPr="009568FF">
        <w:rPr>
          <w:rFonts w:ascii="NewsGotT" w:hAnsi="NewsGotT"/>
          <w:lang w:val="pt-PT" w:eastAsia="x-none"/>
        </w:rPr>
        <w:t>possuem características funcionais idênticas. Assim, esta classe pode ser subdividida</w:t>
      </w:r>
      <w:r w:rsidR="009568FF">
        <w:rPr>
          <w:rFonts w:ascii="NewsGotT" w:hAnsi="NewsGotT"/>
          <w:lang w:val="pt-PT" w:eastAsia="x-none"/>
        </w:rPr>
        <w:t xml:space="preserve"> </w:t>
      </w:r>
      <w:r w:rsidR="009568FF" w:rsidRPr="009568FF">
        <w:rPr>
          <w:rFonts w:ascii="NewsGotT" w:hAnsi="NewsGotT"/>
          <w:lang w:val="pt-PT" w:eastAsia="x-none"/>
        </w:rPr>
        <w:t>em cinco grupos de acordo com o recetor ao qual se liga</w:t>
      </w:r>
      <w:r w:rsidR="009568FF">
        <w:rPr>
          <w:rFonts w:ascii="NewsGotT" w:hAnsi="NewsGotT"/>
          <w:lang w:val="pt-PT" w:eastAsia="x-none"/>
        </w:rPr>
        <w:t>: g</w:t>
      </w:r>
      <w:r w:rsidR="009568FF" w:rsidRPr="009568FF">
        <w:rPr>
          <w:rFonts w:ascii="NewsGotT" w:hAnsi="NewsGotT"/>
          <w:lang w:val="pt-PT" w:eastAsia="x-none"/>
        </w:rPr>
        <w:t>lucocorticóides</w:t>
      </w:r>
      <w:r w:rsidR="009568FF">
        <w:rPr>
          <w:rFonts w:ascii="NewsGotT" w:hAnsi="NewsGotT"/>
          <w:lang w:val="pt-PT" w:eastAsia="x-none"/>
        </w:rPr>
        <w:t xml:space="preserve">, mineralcorticóides, androgénios, estrogénios e </w:t>
      </w:r>
      <w:r w:rsidR="009568FF">
        <w:rPr>
          <w:rFonts w:ascii="NewsGotT" w:hAnsi="NewsGotT"/>
          <w:lang w:val="pt-PT" w:eastAsia="x-none"/>
        </w:rPr>
        <w:lastRenderedPageBreak/>
        <w:t>progestrogénios</w:t>
      </w:r>
      <w:r w:rsidR="00395DE8">
        <w:rPr>
          <w:rFonts w:ascii="NewsGotT" w:hAnsi="NewsGotT"/>
          <w:lang w:val="pt-PT" w:eastAsia="x-none"/>
        </w:rPr>
        <w:t xml:space="preserve"> </w:t>
      </w:r>
      <w:r w:rsidR="00395DE8">
        <w:rPr>
          <w:rFonts w:ascii="NewsGotT" w:hAnsi="NewsGotT"/>
          <w:lang w:val="pt-PT" w:eastAsia="x-none"/>
        </w:rPr>
        <w:fldChar w:fldCharType="begin" w:fldLock="1"/>
      </w:r>
      <w:r w:rsidR="00E7097C">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(Nussey &amp; Whitehead, 2001)</w:t>
      </w:r>
      <w:r w:rsidR="00395DE8">
        <w:rPr>
          <w:rFonts w:ascii="NewsGotT" w:hAnsi="NewsGotT"/>
          <w:lang w:val="pt-PT" w:eastAsia="x-none"/>
        </w:rPr>
        <w:fldChar w:fldCharType="end"/>
      </w:r>
      <w:r w:rsidR="009568FF">
        <w:rPr>
          <w:rFonts w:ascii="NewsGotT" w:hAnsi="NewsGotT"/>
          <w:lang w:val="pt-PT" w:eastAsia="x-none"/>
        </w:rPr>
        <w:t>. Destes grupos, apenas se dará realce aos glucocorticóides que se caracterizam pela</w:t>
      </w:r>
      <w:r w:rsidR="007F739B">
        <w:rPr>
          <w:rFonts w:ascii="NewsGotT" w:hAnsi="NewsGotT"/>
          <w:lang w:val="pt-PT" w:eastAsia="x-none"/>
        </w:rPr>
        <w:t xml:space="preserve"> sua</w:t>
      </w:r>
      <w:r w:rsidR="009568FF">
        <w:rPr>
          <w:rFonts w:ascii="NewsGotT" w:hAnsi="NewsGotT"/>
          <w:lang w:val="pt-PT" w:eastAsia="x-none"/>
        </w:rPr>
        <w:t xml:space="preserve"> ligação ao cortisol. </w:t>
      </w:r>
    </w:p>
    <w:p w14:paraId="1DA22AA9" w14:textId="0AF8E440" w:rsidR="00954F5A" w:rsidRDefault="007F739B" w:rsidP="007F739B">
      <w:pPr>
        <w:spacing w:line="360" w:lineRule="auto"/>
        <w:ind w:firstLine="709"/>
        <w:jc w:val="both"/>
        <w:rPr>
          <w:rFonts w:ascii="NewsGotT" w:hAnsi="NewsGotT"/>
          <w:lang w:val="pt-BR" w:eastAsia="x-none"/>
        </w:rPr>
      </w:pPr>
      <w:r>
        <w:rPr>
          <w:rFonts w:ascii="NewsGotT" w:hAnsi="NewsGotT"/>
          <w:lang w:val="pt-PT" w:eastAsia="x-none"/>
        </w:rPr>
        <w:t xml:space="preserve">De um modo geral, os </w:t>
      </w:r>
      <w:r w:rsidRPr="007F739B">
        <w:rPr>
          <w:rFonts w:ascii="NewsGotT" w:hAnsi="NewsGotT"/>
          <w:lang w:val="pt-PT" w:eastAsia="x-none"/>
        </w:rPr>
        <w:t>glucocorticóides são hormonas</w:t>
      </w:r>
      <w:r>
        <w:rPr>
          <w:rFonts w:ascii="NewsGotT" w:hAnsi="NewsGotT"/>
          <w:lang w:val="pt-PT" w:eastAsia="x-none"/>
        </w:rPr>
        <w:t xml:space="preserve"> </w:t>
      </w:r>
      <w:r w:rsidRPr="007F739B">
        <w:rPr>
          <w:rFonts w:ascii="NewsGotT" w:hAnsi="NewsGotT"/>
          <w:lang w:val="pt-PT" w:eastAsia="x-none"/>
        </w:rPr>
        <w:t xml:space="preserve">esteróides produzidas e segregadas pelo córtex da </w:t>
      </w:r>
      <w:r>
        <w:rPr>
          <w:rFonts w:ascii="NewsGotT" w:hAnsi="NewsGotT"/>
          <w:lang w:val="pt-PT" w:eastAsia="x-none"/>
        </w:rPr>
        <w:t xml:space="preserve">supra-renal e </w:t>
      </w:r>
      <w:r w:rsidR="00954F5A" w:rsidRPr="00954F5A">
        <w:rPr>
          <w:rFonts w:ascii="NewsGotT" w:hAnsi="NewsGotT"/>
          <w:lang w:val="pt-PT" w:eastAsia="x-none"/>
        </w:rPr>
        <w:t>desempenham um papel fundamental na regulação fisiológica e</w:t>
      </w:r>
      <w:r w:rsidR="00954F5A">
        <w:rPr>
          <w:rFonts w:ascii="NewsGotT" w:hAnsi="NewsGotT"/>
          <w:lang w:val="pt-PT" w:eastAsia="x-none"/>
        </w:rPr>
        <w:t xml:space="preserve"> </w:t>
      </w:r>
      <w:r w:rsidR="00954F5A" w:rsidRPr="00954F5A">
        <w:rPr>
          <w:rFonts w:ascii="NewsGotT" w:hAnsi="NewsGotT"/>
          <w:lang w:val="pt-PT" w:eastAsia="x-none"/>
        </w:rPr>
        <w:t>na manutenção da homeostasia de vários sistemas</w:t>
      </w:r>
      <w:r w:rsidR="00CB37B6">
        <w:rPr>
          <w:rFonts w:ascii="NewsGotT" w:hAnsi="NewsGotT"/>
          <w:lang w:val="pt-PT" w:eastAsia="x-none"/>
        </w:rPr>
        <w:t>, como o</w:t>
      </w:r>
      <w:r w:rsidR="00954F5A">
        <w:rPr>
          <w:rFonts w:ascii="NewsGotT" w:hAnsi="NewsGotT"/>
          <w:lang w:val="pt-PT" w:eastAsia="x-none"/>
        </w:rPr>
        <w:t xml:space="preserve"> </w:t>
      </w:r>
      <w:r w:rsidR="00954F5A" w:rsidRPr="00954F5A">
        <w:rPr>
          <w:rFonts w:ascii="NewsGotT" w:hAnsi="NewsGotT"/>
          <w:lang w:val="pt-PT" w:eastAsia="x-none"/>
        </w:rPr>
        <w:t>cardiovascular,</w:t>
      </w:r>
      <w:r w:rsidR="002F5BFB">
        <w:rPr>
          <w:rFonts w:ascii="NewsGotT" w:hAnsi="NewsGotT"/>
          <w:lang w:val="pt-PT" w:eastAsia="x-none"/>
        </w:rPr>
        <w:t xml:space="preserve"> </w:t>
      </w:r>
      <w:r w:rsidR="00954F5A" w:rsidRPr="00954F5A">
        <w:rPr>
          <w:rFonts w:ascii="NewsGotT" w:hAnsi="NewsGotT"/>
          <w:lang w:val="pt-PT" w:eastAsia="x-none"/>
        </w:rPr>
        <w:t>imune</w:t>
      </w:r>
      <w:r w:rsidR="002F5BFB">
        <w:rPr>
          <w:rFonts w:ascii="NewsGotT" w:hAnsi="NewsGotT"/>
          <w:lang w:val="pt-PT" w:eastAsia="x-none"/>
        </w:rPr>
        <w:t xml:space="preserve">, </w:t>
      </w:r>
      <w:r w:rsidR="002F5BFB" w:rsidRPr="00954F5A">
        <w:rPr>
          <w:rFonts w:ascii="NewsGotT" w:hAnsi="NewsGotT"/>
          <w:lang w:val="pt-PT" w:eastAsia="x-none"/>
        </w:rPr>
        <w:t>metabólico</w:t>
      </w:r>
      <w:r w:rsidR="00CB37B6">
        <w:rPr>
          <w:rFonts w:ascii="NewsGotT" w:hAnsi="NewsGotT"/>
          <w:lang w:val="pt-PT" w:eastAsia="x-none"/>
        </w:rPr>
        <w:t xml:space="preserve"> ou </w:t>
      </w:r>
      <w:r w:rsidR="00954F5A" w:rsidRPr="00954F5A">
        <w:rPr>
          <w:rFonts w:ascii="NewsGotT" w:hAnsi="NewsGotT"/>
          <w:lang w:val="pt-PT" w:eastAsia="x-none"/>
        </w:rPr>
        <w:t>nervoso</w:t>
      </w:r>
      <w:r w:rsidR="00954F5A">
        <w:rPr>
          <w:rFonts w:ascii="NewsGotT" w:hAnsi="NewsGotT"/>
          <w:lang w:val="pt-PT" w:eastAsia="x-none"/>
        </w:rPr>
        <w:t xml:space="preserve"> </w:t>
      </w:r>
      <w:r w:rsidR="00954F5A" w:rsidRPr="00954F5A">
        <w:rPr>
          <w:rFonts w:ascii="NewsGotT" w:hAnsi="NewsGotT"/>
          <w:lang w:val="pt-PT" w:eastAsia="x-none"/>
        </w:rPr>
        <w:t>central</w:t>
      </w:r>
      <w:r w:rsidR="00CB37B6">
        <w:rPr>
          <w:rFonts w:ascii="NewsGotT" w:hAnsi="NewsGotT"/>
          <w:lang w:val="pt-PT" w:eastAsia="x-none"/>
        </w:rPr>
        <w:t xml:space="preserve"> </w:t>
      </w:r>
      <w:r w:rsidR="00960927">
        <w:rPr>
          <w:rFonts w:ascii="NewsGotT" w:hAnsi="NewsGotT"/>
          <w:lang w:val="pt-PT" w:eastAsia="x-none"/>
        </w:rPr>
        <w:fldChar w:fldCharType="begin" w:fldLock="1"/>
      </w:r>
      <w:r w:rsidR="00960927">
        <w:rPr>
          <w:rFonts w:ascii="NewsGotT" w:hAnsi="NewsGotT"/>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w:t>
      </w:r>
      <w:r w:rsidR="00960927">
        <w:rPr>
          <w:rFonts w:ascii="NewsGotT" w:hAnsi="NewsGotT"/>
          <w:lang w:val="pt-PT" w:eastAsia="x-none"/>
        </w:rPr>
        <w:fldChar w:fldCharType="end"/>
      </w:r>
      <w:r w:rsidR="00954F5A">
        <w:rPr>
          <w:rFonts w:ascii="NewsGotT" w:hAnsi="NewsGotT"/>
          <w:lang w:val="pt-PT" w:eastAsia="x-none"/>
        </w:rPr>
        <w:t>.</w:t>
      </w:r>
      <w:r w:rsidR="002F5BFB">
        <w:rPr>
          <w:rFonts w:ascii="NewsGotT" w:hAnsi="NewsGotT"/>
          <w:lang w:val="pt-PT" w:eastAsia="x-none"/>
        </w:rPr>
        <w:t xml:space="preserve"> </w:t>
      </w:r>
      <w:r w:rsidR="002F5BFB" w:rsidRPr="002F5BFB">
        <w:rPr>
          <w:rFonts w:ascii="NewsGotT" w:hAnsi="NewsGotT"/>
          <w:lang w:val="pt-BR" w:eastAsia="x-none"/>
        </w:rPr>
        <w:t>Esta classe de medicamentos</w:t>
      </w:r>
      <w:r w:rsidR="002F5BFB">
        <w:rPr>
          <w:rFonts w:ascii="NewsGotT" w:hAnsi="NewsGotT"/>
          <w:lang w:val="pt-BR" w:eastAsia="x-none"/>
        </w:rPr>
        <w:t xml:space="preserve"> é comumente utilizada para o tratamento de inflamações, doenças autoimunes e cancro. A descoberta deste fármaco iniciou-se por volta do século XX, quando </w:t>
      </w:r>
      <w:r w:rsidR="00D20FCC" w:rsidRPr="00D20FCC">
        <w:rPr>
          <w:rFonts w:ascii="NewsGotT" w:hAnsi="NewsGotT"/>
          <w:lang w:val="pt-BR" w:eastAsia="x-none"/>
        </w:rPr>
        <w:t>Edward Calvin Kendall isolou quatro compostos esteroidais de adrenalina</w:t>
      </w:r>
      <w:r w:rsidR="00090D68">
        <w:rPr>
          <w:rFonts w:ascii="NewsGotT" w:hAnsi="NewsGotT"/>
          <w:lang w:val="pt-BR" w:eastAsia="x-none"/>
        </w:rPr>
        <w:t xml:space="preserve">. No entanto, o </w:t>
      </w:r>
      <w:r w:rsidR="00090D68" w:rsidRPr="001B55E1">
        <w:rPr>
          <w:rFonts w:ascii="NewsGotT" w:hAnsi="NewsGotT"/>
          <w:lang w:val="pt-BR" w:eastAsia="x-none"/>
        </w:rPr>
        <w:t xml:space="preserve">potencial terapêutico foi descoberto pelo </w:t>
      </w:r>
      <w:r w:rsidR="00090D68" w:rsidRPr="001B55E1">
        <w:rPr>
          <w:rFonts w:ascii="NewsGotT" w:hAnsi="NewsGotT"/>
          <w:lang w:val="pt-BR" w:eastAsia="x-none"/>
        </w:rPr>
        <w:t>reumatologista Philip Hench num paciente que sofr</w:t>
      </w:r>
      <w:r w:rsidR="00090D68" w:rsidRPr="001B55E1">
        <w:rPr>
          <w:rFonts w:ascii="NewsGotT" w:hAnsi="NewsGotT"/>
          <w:lang w:val="pt-BR" w:eastAsia="x-none"/>
        </w:rPr>
        <w:t>ia</w:t>
      </w:r>
      <w:r w:rsidR="00090D68" w:rsidRPr="001B55E1">
        <w:rPr>
          <w:rFonts w:ascii="NewsGotT" w:hAnsi="NewsGotT"/>
          <w:lang w:val="pt-BR" w:eastAsia="x-none"/>
        </w:rPr>
        <w:t xml:space="preserve"> de artrite </w:t>
      </w:r>
      <w:r w:rsidR="00090D68" w:rsidRPr="001B55E1">
        <w:rPr>
          <w:rFonts w:ascii="NewsGotT" w:hAnsi="NewsGotT"/>
          <w:lang w:val="pt-BR" w:eastAsia="x-none"/>
        </w:rPr>
        <w:t xml:space="preserve">reumatoide. A partir da descoberta do potencial anti-inflamatório, estes medicamentos foram amplamente utilizados e estudados </w:t>
      </w:r>
      <w:r w:rsidR="00090D68" w:rsidRPr="001B55E1">
        <w:rPr>
          <w:rFonts w:ascii="NewsGotT" w:hAnsi="NewsGotT"/>
          <w:lang w:val="pt-BR" w:eastAsia="x-none"/>
        </w:rPr>
        <w:fldChar w:fldCharType="begin" w:fldLock="1"/>
      </w:r>
      <w:r w:rsidR="007F17E6" w:rsidRPr="001B55E1">
        <w:rPr>
          <w:rFonts w:ascii="NewsGotT" w:hAnsi="NewsGotT"/>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rFonts w:ascii="NewsGotT" w:hAnsi="NewsGotT"/>
          <w:lang w:val="pt-BR" w:eastAsia="x-none"/>
        </w:rPr>
        <w:fldChar w:fldCharType="separate"/>
      </w:r>
      <w:r w:rsidR="00090D68" w:rsidRPr="001B55E1">
        <w:rPr>
          <w:rFonts w:ascii="NewsGotT" w:hAnsi="NewsGotT"/>
          <w:noProof/>
          <w:lang w:val="pt-BR" w:eastAsia="x-none"/>
        </w:rPr>
        <w:t>(Timmermans, Souffriau, &amp; Libert, 2019)</w:t>
      </w:r>
      <w:r w:rsidR="00090D68" w:rsidRPr="001B55E1">
        <w:rPr>
          <w:rFonts w:ascii="NewsGotT" w:hAnsi="NewsGotT"/>
          <w:lang w:val="pt-BR" w:eastAsia="x-none"/>
        </w:rPr>
        <w:fldChar w:fldCharType="end"/>
      </w:r>
      <w:r w:rsidR="00090D68" w:rsidRPr="001B55E1">
        <w:rPr>
          <w:rFonts w:ascii="NewsGotT" w:hAnsi="NewsGotT"/>
          <w:lang w:val="pt-BR" w:eastAsia="x-none"/>
        </w:rPr>
        <w:t xml:space="preserve">. </w:t>
      </w:r>
      <w:r w:rsidR="002A7856" w:rsidRPr="001B55E1">
        <w:rPr>
          <w:rFonts w:ascii="NewsGotT" w:hAnsi="NewsGotT"/>
          <w:lang w:val="pt-BR" w:eastAsia="x-none"/>
        </w:rPr>
        <w:t xml:space="preserve">Neste grupo de fármacos, estão incluídas a hidrocortisona, prednisolna e prednisona, que são substância a ser avaliadas na interferência do </w:t>
      </w:r>
      <w:r w:rsidR="002A7856" w:rsidRPr="001B55E1">
        <w:rPr>
          <w:rFonts w:ascii="NewsGotT" w:hAnsi="NewsGotT"/>
          <w:i/>
          <w:iCs/>
          <w:lang w:val="pt-BR" w:eastAsia="x-none"/>
        </w:rPr>
        <w:t>delirium</w:t>
      </w:r>
      <w:r w:rsidR="007F17E6" w:rsidRPr="001B55E1">
        <w:rPr>
          <w:rFonts w:ascii="NewsGotT" w:hAnsi="NewsGotT"/>
          <w:i/>
          <w:iCs/>
          <w:lang w:val="pt-BR" w:eastAsia="x-none"/>
        </w:rPr>
        <w:t xml:space="preserve">, </w:t>
      </w:r>
      <w:r w:rsidR="007F17E6" w:rsidRPr="001B55E1">
        <w:rPr>
          <w:rFonts w:ascii="NewsGotT" w:hAnsi="NewsGotT"/>
          <w:lang w:val="pt-BR" w:eastAsia="x-none"/>
        </w:rPr>
        <w:t xml:space="preserve">em que as principais áreas de indicação e efeitos secundários estão descritos na </w:t>
      </w:r>
      <w:r w:rsidR="001B55E1" w:rsidRPr="001B55E1">
        <w:rPr>
          <w:rFonts w:ascii="NewsGotT" w:hAnsi="NewsGotT"/>
          <w:lang w:val="pt-BR" w:eastAsia="x-none"/>
        </w:rPr>
        <w:fldChar w:fldCharType="begin"/>
      </w:r>
      <w:r w:rsidR="001B55E1" w:rsidRPr="001B55E1">
        <w:rPr>
          <w:rFonts w:ascii="NewsGotT" w:hAnsi="NewsGotT"/>
          <w:lang w:val="pt-BR" w:eastAsia="x-none"/>
        </w:rPr>
        <w:instrText xml:space="preserve"> REF _Ref80908830 \h </w:instrText>
      </w:r>
      <w:r w:rsidR="001B55E1" w:rsidRPr="001B55E1">
        <w:rPr>
          <w:rFonts w:ascii="NewsGotT" w:hAnsi="NewsGotT"/>
          <w:lang w:val="pt-BR" w:eastAsia="x-none"/>
        </w:rPr>
      </w:r>
      <w:r w:rsidR="001B55E1">
        <w:rPr>
          <w:rFonts w:ascii="NewsGotT" w:hAnsi="NewsGotT"/>
          <w:lang w:val="pt-BR" w:eastAsia="x-none"/>
        </w:rPr>
        <w:instrText xml:space="preserve"> \* MERGEFORMAT </w:instrText>
      </w:r>
      <w:r w:rsidR="001B55E1" w:rsidRPr="001B55E1">
        <w:rPr>
          <w:rFonts w:ascii="NewsGotT" w:hAnsi="NewsGotT"/>
          <w:lang w:val="pt-BR" w:eastAsia="x-none"/>
        </w:rPr>
        <w:fldChar w:fldCharType="separate"/>
      </w:r>
      <w:r w:rsidR="001B55E1" w:rsidRPr="001B55E1">
        <w:rPr>
          <w:rFonts w:ascii="NewsGotT" w:hAnsi="NewsGotT"/>
          <w:lang w:val="pt-BR"/>
        </w:rPr>
        <w:t xml:space="preserve">Tabela </w:t>
      </w:r>
      <w:r w:rsidR="001B55E1" w:rsidRPr="001B55E1">
        <w:rPr>
          <w:rFonts w:ascii="NewsGotT" w:hAnsi="NewsGotT"/>
          <w:noProof/>
          <w:lang w:val="pt-BR"/>
        </w:rPr>
        <w:t>13</w:t>
      </w:r>
      <w:r w:rsidR="001B55E1" w:rsidRPr="001B55E1">
        <w:rPr>
          <w:rFonts w:ascii="NewsGotT" w:hAnsi="NewsGotT"/>
          <w:lang w:val="pt-BR" w:eastAsia="x-none"/>
        </w:rPr>
        <w:fldChar w:fldCharType="end"/>
      </w:r>
      <w:r w:rsidR="002A7856" w:rsidRPr="001B55E1">
        <w:rPr>
          <w:rFonts w:ascii="NewsGotT" w:hAnsi="NewsGotT"/>
          <w:lang w:val="pt-BR" w:eastAsia="x-none"/>
        </w:rPr>
        <w:t>.</w:t>
      </w:r>
      <w:r w:rsidR="002A7856">
        <w:rPr>
          <w:rFonts w:ascii="NewsGotT" w:hAnsi="NewsGotT"/>
          <w:lang w:val="pt-BR" w:eastAsia="x-none"/>
        </w:rPr>
        <w:t xml:space="preserve">  </w:t>
      </w:r>
    </w:p>
    <w:p w14:paraId="09229614" w14:textId="0EE42DAC" w:rsidR="007F17E6" w:rsidRDefault="007F17E6" w:rsidP="007F739B">
      <w:pPr>
        <w:spacing w:line="360" w:lineRule="auto"/>
        <w:ind w:firstLine="709"/>
        <w:jc w:val="both"/>
        <w:rPr>
          <w:rFonts w:ascii="NewsGotT" w:hAnsi="NewsGotT"/>
          <w:lang w:val="pt-BR" w:eastAsia="x-none"/>
        </w:rPr>
      </w:pPr>
    </w:p>
    <w:p w14:paraId="200718C8" w14:textId="3DC965AB" w:rsidR="001B55E1" w:rsidRPr="001B55E1" w:rsidRDefault="001B55E1" w:rsidP="001B55E1">
      <w:pPr>
        <w:pStyle w:val="Caption"/>
        <w:keepNext/>
        <w:rPr>
          <w:lang w:val="pt-BR"/>
        </w:rPr>
      </w:pPr>
      <w:bookmarkStart w:id="81" w:name="_Ref80908830"/>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81"/>
      <w:r w:rsidRPr="001B55E1">
        <w:rPr>
          <w:lang w:val="pt-BR"/>
        </w:rPr>
        <w:t xml:space="preserve"> – Efeitos secundários dos glucocor</w:t>
      </w:r>
      <w:r>
        <w:rPr>
          <w:lang w:val="pt-BR"/>
        </w:rPr>
        <w:t xml:space="preserve">ticoides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12BE5E5" w14:textId="3CD84297"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0C1F2436" w14:textId="4F7F7B96"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21BCF0EE" w14:textId="68B51670"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7F17E6" w14:paraId="0702AA0C" w14:textId="77777777" w:rsidTr="007F17E6">
        <w:tc>
          <w:tcPr>
            <w:tcW w:w="3018" w:type="dxa"/>
          </w:tcPr>
          <w:p w14:paraId="35EC1CD8" w14:textId="0FAABD4E" w:rsidR="007F17E6" w:rsidRDefault="007F17E6" w:rsidP="007F17E6">
            <w:pPr>
              <w:spacing w:line="360" w:lineRule="auto"/>
              <w:jc w:val="both"/>
              <w:rPr>
                <w:rFonts w:ascii="NewsGotT" w:hAnsi="NewsGotT"/>
                <w:lang w:val="pt-BR" w:eastAsia="x-none"/>
              </w:rPr>
            </w:pPr>
            <w:r>
              <w:rPr>
                <w:rFonts w:ascii="NewsGotT" w:hAnsi="NewsGotT"/>
                <w:lang w:val="pt-BR" w:eastAsia="x-none"/>
              </w:rPr>
              <w:t>Hidrocortisona</w:t>
            </w:r>
          </w:p>
        </w:tc>
        <w:tc>
          <w:tcPr>
            <w:tcW w:w="3018" w:type="dxa"/>
          </w:tcPr>
          <w:p w14:paraId="3E1B6595" w14:textId="4A919656" w:rsidR="007F17E6" w:rsidRDefault="007F17E6" w:rsidP="007F17E6">
            <w:pPr>
              <w:spacing w:line="360" w:lineRule="auto"/>
              <w:jc w:val="both"/>
              <w:rPr>
                <w:rFonts w:ascii="NewsGotT" w:hAnsi="NewsGotT"/>
                <w:lang w:val="pt-BR" w:eastAsia="x-none"/>
              </w:rPr>
            </w:pPr>
            <w:r>
              <w:rPr>
                <w:rFonts w:ascii="NewsGotT" w:hAnsi="NewsGotT"/>
                <w:lang w:val="pt-BR" w:eastAsia="x-none"/>
              </w:rPr>
              <w:t>I</w:t>
            </w:r>
            <w:r w:rsidRPr="007F17E6">
              <w:rPr>
                <w:rFonts w:ascii="NewsGotT" w:hAnsi="NewsGotT"/>
                <w:lang w:val="pt-BR" w:eastAsia="x-none"/>
              </w:rPr>
              <w:t>nsuficiência supra-renal aguda</w:t>
            </w:r>
            <w:r>
              <w:rPr>
                <w:rFonts w:ascii="NewsGotT" w:hAnsi="NewsGotT"/>
                <w:lang w:val="pt-BR" w:eastAsia="x-none"/>
              </w:rPr>
              <w:t xml:space="preserve">; </w:t>
            </w:r>
            <w:r w:rsidRPr="007F17E6">
              <w:rPr>
                <w:rFonts w:ascii="NewsGotT" w:hAnsi="NewsGotT"/>
                <w:lang w:val="pt-BR" w:eastAsia="x-none"/>
              </w:rPr>
              <w:t>anafilaxia aguda</w:t>
            </w:r>
            <w:r>
              <w:rPr>
                <w:rFonts w:ascii="NewsGotT" w:hAnsi="NewsGotT"/>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spacing w:line="360" w:lineRule="auto"/>
              <w:jc w:val="both"/>
              <w:rPr>
                <w:rFonts w:ascii="NewsGotT" w:hAnsi="NewsGotT"/>
                <w:lang w:val="pt-BR" w:eastAsia="x-none"/>
              </w:rPr>
            </w:pPr>
            <w:r>
              <w:rPr>
                <w:rFonts w:ascii="NewsGotT" w:hAnsi="NewsGotT"/>
                <w:lang w:val="pt-BR" w:eastAsia="x-none"/>
              </w:rPr>
              <w:t>H</w:t>
            </w:r>
            <w:r w:rsidRPr="007F17E6">
              <w:rPr>
                <w:rFonts w:ascii="NewsGotT" w:hAnsi="NewsGotT"/>
                <w:lang w:val="pt-BR" w:eastAsia="x-none"/>
              </w:rPr>
              <w:t>ipertensão intracraniana com edema papilar</w:t>
            </w:r>
            <w:r>
              <w:rPr>
                <w:rFonts w:ascii="NewsGotT" w:hAnsi="NewsGotT"/>
                <w:lang w:val="pt-BR" w:eastAsia="x-none"/>
              </w:rPr>
              <w:t xml:space="preserve">; </w:t>
            </w:r>
            <w:r w:rsidRPr="007F17E6">
              <w:rPr>
                <w:rFonts w:ascii="NewsGotT" w:hAnsi="NewsGotT"/>
                <w:lang w:val="pt-BR" w:eastAsia="x-none"/>
              </w:rPr>
              <w:t>inibição secundária da reatividade</w:t>
            </w:r>
          </w:p>
          <w:p w14:paraId="3C14DA2C" w14:textId="58738CBE" w:rsidR="007F17E6" w:rsidRDefault="009E413F" w:rsidP="007F17E6">
            <w:pPr>
              <w:spacing w:line="360" w:lineRule="auto"/>
              <w:jc w:val="both"/>
              <w:rPr>
                <w:rFonts w:ascii="NewsGotT" w:hAnsi="NewsGotT"/>
                <w:lang w:val="pt-BR" w:eastAsia="x-none"/>
              </w:rPr>
            </w:pPr>
            <w:r w:rsidRPr="009E413F">
              <w:rPr>
                <w:rFonts w:ascii="NewsGotT" w:hAnsi="NewsGotT"/>
                <w:lang w:val="pt-BR" w:eastAsia="x-none"/>
              </w:rPr>
              <w:t>hipotálamo</w:t>
            </w:r>
            <w:r>
              <w:rPr>
                <w:rFonts w:ascii="NewsGotT" w:hAnsi="NewsGotT"/>
                <w:lang w:val="pt-BR" w:eastAsia="x-none"/>
              </w:rPr>
              <w:t>-</w:t>
            </w:r>
            <w:r w:rsidRPr="009E413F">
              <w:rPr>
                <w:rFonts w:ascii="NewsGotT" w:hAnsi="NewsGotT"/>
                <w:lang w:val="pt-BR" w:eastAsia="x-none"/>
              </w:rPr>
              <w:t>hipófise-suprarrenal</w:t>
            </w:r>
            <w:r w:rsidR="007F17E6" w:rsidRPr="007F17E6">
              <w:rPr>
                <w:rFonts w:ascii="NewsGotT" w:hAnsi="NewsGotT"/>
                <w:lang w:val="pt-BR" w:eastAsia="x-none"/>
              </w:rPr>
              <w:t>, sobretudo em caso de stress</w:t>
            </w:r>
            <w:r>
              <w:rPr>
                <w:rFonts w:ascii="NewsGotT" w:hAnsi="NewsGotT"/>
                <w:lang w:val="pt-BR" w:eastAsia="x-none"/>
              </w:rPr>
              <w:t>;</w:t>
            </w:r>
            <w:r w:rsidR="007F17E6" w:rsidRPr="007F17E6">
              <w:rPr>
                <w:rFonts w:ascii="NewsGotT" w:hAnsi="NewsGotT"/>
                <w:lang w:val="pt-BR" w:eastAsia="x-none"/>
              </w:rPr>
              <w:t xml:space="preserve"> irregularidades do</w:t>
            </w:r>
            <w:r w:rsidR="007F17E6">
              <w:rPr>
                <w:rFonts w:ascii="NewsGotT" w:hAnsi="NewsGotT"/>
                <w:lang w:val="pt-BR" w:eastAsia="x-none"/>
              </w:rPr>
              <w:t xml:space="preserve"> </w:t>
            </w:r>
            <w:r w:rsidR="007F17E6" w:rsidRPr="007F17E6">
              <w:rPr>
                <w:rFonts w:ascii="NewsGotT" w:hAnsi="NewsGotT"/>
                <w:lang w:val="pt-BR" w:eastAsia="x-none"/>
              </w:rPr>
              <w:t>ciclo menstrual</w:t>
            </w:r>
            <w:r w:rsidR="007F17E6">
              <w:rPr>
                <w:rFonts w:ascii="NewsGotT" w:hAnsi="NewsGotT"/>
                <w:lang w:val="pt-BR" w:eastAsia="x-none"/>
              </w:rPr>
              <w:t>;</w:t>
            </w:r>
            <w:r w:rsidR="007F17E6" w:rsidRPr="007F17E6">
              <w:rPr>
                <w:rFonts w:ascii="NewsGotT" w:hAnsi="NewsGotT"/>
                <w:lang w:val="pt-BR" w:eastAsia="x-none"/>
              </w:rPr>
              <w:t xml:space="preserve"> diminuição da tolerância aos hidratos de carbono</w:t>
            </w:r>
            <w:r>
              <w:rPr>
                <w:rFonts w:ascii="NewsGotT" w:hAnsi="NewsGotT"/>
                <w:lang w:val="pt-BR" w:eastAsia="x-none"/>
              </w:rPr>
              <w:t>;</w:t>
            </w:r>
            <w:r w:rsidR="007F17E6" w:rsidRPr="007F17E6">
              <w:rPr>
                <w:rFonts w:ascii="NewsGotT" w:hAnsi="NewsGotT"/>
                <w:lang w:val="pt-BR" w:eastAsia="x-none"/>
              </w:rPr>
              <w:t xml:space="preserve"> revelação de</w:t>
            </w:r>
            <w:r w:rsidR="007F17E6">
              <w:rPr>
                <w:rFonts w:ascii="NewsGotT" w:hAnsi="NewsGotT"/>
                <w:lang w:val="pt-BR" w:eastAsia="x-none"/>
              </w:rPr>
              <w:t xml:space="preserve"> </w:t>
            </w:r>
            <w:r w:rsidR="007F17E6" w:rsidRPr="007F17E6">
              <w:rPr>
                <w:rFonts w:ascii="NewsGotT" w:hAnsi="NewsGotT"/>
                <w:lang w:val="pt-BR" w:eastAsia="x-none"/>
              </w:rPr>
              <w:t>uma diabetes mellitus latente</w:t>
            </w:r>
            <w:r w:rsidR="007F17E6">
              <w:rPr>
                <w:rFonts w:ascii="NewsGotT" w:hAnsi="NewsGotT"/>
                <w:lang w:val="pt-BR" w:eastAsia="x-none"/>
              </w:rPr>
              <w:t xml:space="preserve">; </w:t>
            </w:r>
            <w:r w:rsidR="007F17E6">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rFonts w:ascii="NewsGotT" w:hAnsi="NewsGotT"/>
                <w:lang w:val="pt-BR" w:eastAsia="x-none"/>
              </w:rPr>
              <w:fldChar w:fldCharType="separate"/>
            </w:r>
            <w:r w:rsidR="007F17E6" w:rsidRPr="007F17E6">
              <w:rPr>
                <w:rFonts w:ascii="NewsGotT" w:hAnsi="NewsGotT"/>
                <w:noProof/>
                <w:lang w:val="pt-BR" w:eastAsia="x-none"/>
              </w:rPr>
              <w:t>(INFARMED, 2020e)</w:t>
            </w:r>
            <w:r w:rsidR="007F17E6">
              <w:rPr>
                <w:rFonts w:ascii="NewsGotT" w:hAnsi="NewsGotT"/>
                <w:lang w:val="pt-BR" w:eastAsia="x-none"/>
              </w:rPr>
              <w:fldChar w:fldCharType="end"/>
            </w:r>
          </w:p>
        </w:tc>
      </w:tr>
      <w:tr w:rsidR="007F17E6" w14:paraId="3B6BC696" w14:textId="77777777" w:rsidTr="007F17E6">
        <w:tc>
          <w:tcPr>
            <w:tcW w:w="3018" w:type="dxa"/>
          </w:tcPr>
          <w:p w14:paraId="0C423C98" w14:textId="44B1D7F6" w:rsidR="007F17E6" w:rsidRDefault="007F17E6" w:rsidP="007F17E6">
            <w:pPr>
              <w:spacing w:line="360" w:lineRule="auto"/>
              <w:jc w:val="both"/>
              <w:rPr>
                <w:rFonts w:ascii="NewsGotT" w:hAnsi="NewsGotT"/>
                <w:lang w:val="pt-BR" w:eastAsia="x-none"/>
              </w:rPr>
            </w:pPr>
            <w:r>
              <w:rPr>
                <w:rFonts w:ascii="NewsGotT" w:hAnsi="NewsGotT"/>
                <w:lang w:val="pt-BR" w:eastAsia="x-none"/>
              </w:rPr>
              <w:t xml:space="preserve">Prednisolona </w:t>
            </w:r>
          </w:p>
        </w:tc>
        <w:tc>
          <w:tcPr>
            <w:tcW w:w="3018" w:type="dxa"/>
          </w:tcPr>
          <w:p w14:paraId="641B4977" w14:textId="4233060B" w:rsidR="007F17E6" w:rsidRDefault="009E413F" w:rsidP="007F17E6">
            <w:pPr>
              <w:spacing w:line="360" w:lineRule="auto"/>
              <w:jc w:val="both"/>
              <w:rPr>
                <w:rFonts w:ascii="NewsGotT" w:hAnsi="NewsGotT"/>
                <w:lang w:val="pt-BR" w:eastAsia="x-none"/>
              </w:rPr>
            </w:pPr>
            <w:r w:rsidRPr="009E413F">
              <w:rPr>
                <w:rFonts w:ascii="NewsGotT" w:hAnsi="NewsGotT"/>
                <w:lang w:val="pt-BR" w:eastAsia="x-none"/>
              </w:rPr>
              <w:t>Doenças reumáticas e do colagénio</w:t>
            </w:r>
            <w:r>
              <w:rPr>
                <w:rFonts w:ascii="NewsGotT" w:hAnsi="NewsGotT"/>
                <w:lang w:val="pt-BR" w:eastAsia="x-none"/>
              </w:rPr>
              <w:t xml:space="preserve">; doenças respiratórias (artrite reumatoide, cardite </w:t>
            </w:r>
            <w:r>
              <w:rPr>
                <w:rFonts w:ascii="NewsGotT" w:hAnsi="NewsGotT"/>
                <w:lang w:val="pt-BR" w:eastAsia="x-none"/>
              </w:rPr>
              <w:lastRenderedPageBreak/>
              <w:t>reumática, dermatomiosite); alergias; doenças hematológicas; doenças neoplásicas</w:t>
            </w:r>
          </w:p>
        </w:tc>
        <w:tc>
          <w:tcPr>
            <w:tcW w:w="3018" w:type="dxa"/>
          </w:tcPr>
          <w:p w14:paraId="05DE478E" w14:textId="3EDD4C7C" w:rsidR="007F17E6" w:rsidRDefault="009E413F" w:rsidP="009E413F">
            <w:pPr>
              <w:spacing w:line="360" w:lineRule="auto"/>
              <w:jc w:val="both"/>
              <w:rPr>
                <w:rFonts w:ascii="NewsGotT" w:hAnsi="NewsGotT"/>
                <w:lang w:val="pt-BR" w:eastAsia="x-none"/>
              </w:rPr>
            </w:pPr>
            <w:r w:rsidRPr="009E413F">
              <w:rPr>
                <w:rFonts w:ascii="NewsGotT" w:hAnsi="NewsGotT"/>
                <w:lang w:val="pt-BR" w:eastAsia="x-none"/>
              </w:rPr>
              <w:lastRenderedPageBreak/>
              <w:t>Euforia</w:t>
            </w:r>
            <w:r>
              <w:rPr>
                <w:rFonts w:ascii="NewsGotT" w:hAnsi="NewsGotT"/>
                <w:lang w:val="pt-BR" w:eastAsia="x-none"/>
              </w:rPr>
              <w:t>; i</w:t>
            </w:r>
            <w:r w:rsidRPr="009E413F">
              <w:rPr>
                <w:rFonts w:ascii="NewsGotT" w:hAnsi="NewsGotT"/>
                <w:lang w:val="pt-BR" w:eastAsia="x-none"/>
              </w:rPr>
              <w:t>nsónias</w:t>
            </w:r>
            <w:r>
              <w:rPr>
                <w:rFonts w:ascii="NewsGotT" w:hAnsi="NewsGotT"/>
                <w:lang w:val="pt-BR" w:eastAsia="x-none"/>
              </w:rPr>
              <w:t>; h</w:t>
            </w:r>
            <w:r w:rsidRPr="009E413F">
              <w:rPr>
                <w:rFonts w:ascii="NewsGotT" w:hAnsi="NewsGotT"/>
                <w:lang w:val="pt-BR" w:eastAsia="x-none"/>
              </w:rPr>
              <w:t>ipomia ou depressão</w:t>
            </w:r>
            <w:r>
              <w:rPr>
                <w:rFonts w:ascii="NewsGotT" w:hAnsi="NewsGotT"/>
                <w:lang w:val="pt-BR" w:eastAsia="x-none"/>
              </w:rPr>
              <w:t>;</w:t>
            </w:r>
            <w:r w:rsidR="00C61CBA">
              <w:rPr>
                <w:rFonts w:ascii="NewsGotT" w:hAnsi="NewsGotT"/>
                <w:lang w:val="pt-BR" w:eastAsia="x-none"/>
              </w:rPr>
              <w:t xml:space="preserve"> </w:t>
            </w:r>
            <w:r w:rsidR="00C61CBA">
              <w:rPr>
                <w:rFonts w:ascii="NewsGotT" w:hAnsi="NewsGotT"/>
                <w:lang w:val="pt-BR" w:eastAsia="x-none"/>
              </w:rPr>
              <w:t>vertigens</w:t>
            </w:r>
            <w:r w:rsidR="00C61CBA">
              <w:rPr>
                <w:rFonts w:ascii="NewsGotT" w:hAnsi="NewsGotT"/>
                <w:lang w:val="pt-BR" w:eastAsia="x-none"/>
              </w:rPr>
              <w:t>;</w:t>
            </w:r>
            <w:r>
              <w:rPr>
                <w:rFonts w:ascii="NewsGotT" w:hAnsi="NewsGotT"/>
                <w:lang w:val="pt-BR" w:eastAsia="x-none"/>
              </w:rPr>
              <w:t xml:space="preserve"> cefaleias; hipercinesia; s</w:t>
            </w:r>
            <w:r w:rsidRPr="009E413F">
              <w:rPr>
                <w:rFonts w:ascii="NewsGotT" w:hAnsi="NewsGotT"/>
                <w:lang w:val="pt-BR" w:eastAsia="x-none"/>
              </w:rPr>
              <w:t xml:space="preserve">upressão do eixo </w:t>
            </w:r>
            <w:r w:rsidRPr="009E413F">
              <w:rPr>
                <w:rFonts w:ascii="NewsGotT" w:hAnsi="NewsGotT"/>
                <w:lang w:val="pt-BR" w:eastAsia="x-none"/>
              </w:rPr>
              <w:lastRenderedPageBreak/>
              <w:t>hipotálamo</w:t>
            </w:r>
            <w:r>
              <w:rPr>
                <w:rFonts w:ascii="NewsGotT" w:hAnsi="NewsGotT"/>
                <w:lang w:val="pt-BR" w:eastAsia="x-none"/>
              </w:rPr>
              <w:t>-</w:t>
            </w:r>
            <w:r w:rsidRPr="009E413F">
              <w:rPr>
                <w:rFonts w:ascii="NewsGotT" w:hAnsi="NewsGotT"/>
                <w:lang w:val="pt-BR" w:eastAsia="x-none"/>
              </w:rPr>
              <w:t>hipófise-suprarrenal</w:t>
            </w:r>
            <w:r w:rsidR="003309A0">
              <w:rPr>
                <w:rFonts w:ascii="NewsGotT" w:hAnsi="NewsGotT"/>
                <w:lang w:val="pt-BR" w:eastAsia="x-none"/>
              </w:rPr>
              <w:t xml:space="preserve">; retenção de sódio; acne; osteoporose; </w:t>
            </w:r>
            <w:r w:rsidR="003309A0">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rFonts w:ascii="NewsGotT" w:hAnsi="NewsGotT"/>
                <w:lang w:val="pt-BR" w:eastAsia="x-none"/>
              </w:rPr>
              <w:fldChar w:fldCharType="separate"/>
            </w:r>
            <w:r w:rsidR="003309A0" w:rsidRPr="003309A0">
              <w:rPr>
                <w:rFonts w:ascii="NewsGotT" w:hAnsi="NewsGotT"/>
                <w:noProof/>
                <w:lang w:val="pt-BR" w:eastAsia="x-none"/>
              </w:rPr>
              <w:t>(INFARMED, 2020g)</w:t>
            </w:r>
            <w:r w:rsidR="003309A0">
              <w:rPr>
                <w:rFonts w:ascii="NewsGotT" w:hAnsi="NewsGotT"/>
                <w:lang w:val="pt-BR" w:eastAsia="x-none"/>
              </w:rPr>
              <w:fldChar w:fldCharType="end"/>
            </w:r>
          </w:p>
        </w:tc>
      </w:tr>
    </w:tbl>
    <w:p w14:paraId="71C412D5" w14:textId="78849E97" w:rsidR="00954F5A" w:rsidRPr="002F5BFB" w:rsidRDefault="00954F5A" w:rsidP="00954F5A">
      <w:pPr>
        <w:spacing w:line="360" w:lineRule="auto"/>
        <w:jc w:val="both"/>
        <w:rPr>
          <w:rFonts w:ascii="NewsGotT" w:hAnsi="NewsGotT"/>
          <w:lang w:val="pt-BR" w:eastAsia="x-none"/>
        </w:rPr>
      </w:pPr>
    </w:p>
    <w:p w14:paraId="0BBD720D" w14:textId="7D3AF72F" w:rsidR="0003390F" w:rsidRDefault="00A62B7E" w:rsidP="00954F5A">
      <w:pPr>
        <w:pStyle w:val="Heading3"/>
        <w:spacing w:line="360" w:lineRule="auto"/>
        <w:jc w:val="both"/>
        <w:rPr>
          <w:rFonts w:ascii="NewsGotT" w:hAnsi="NewsGotT"/>
          <w:lang w:val="pt-BR" w:eastAsia="x-none"/>
        </w:rPr>
      </w:pPr>
      <w:r>
        <w:rPr>
          <w:rFonts w:ascii="NewsGotT" w:hAnsi="NewsGotT"/>
          <w:lang w:val="pt-BR" w:eastAsia="x-none"/>
        </w:rPr>
        <w:t xml:space="preserve">Medicamentos usados na incontinência urinária </w:t>
      </w:r>
    </w:p>
    <w:p w14:paraId="2AD02230" w14:textId="77777777" w:rsidR="0003390F" w:rsidRPr="0003390F" w:rsidRDefault="0003390F" w:rsidP="0003390F">
      <w:pPr>
        <w:rPr>
          <w:lang w:val="pt-BR" w:eastAsia="x-none"/>
        </w:rPr>
      </w:pPr>
    </w:p>
    <w:p w14:paraId="5100AB8E" w14:textId="486E2137" w:rsidR="003309A0" w:rsidRDefault="00A62B7E" w:rsidP="002E61CA">
      <w:pPr>
        <w:spacing w:line="360" w:lineRule="auto"/>
        <w:ind w:firstLine="709"/>
        <w:jc w:val="both"/>
        <w:rPr>
          <w:rFonts w:ascii="NewsGotT" w:hAnsi="NewsGotT"/>
          <w:lang w:val="pt-PT" w:eastAsia="x-none"/>
        </w:rPr>
      </w:pPr>
      <w:r w:rsidRPr="00A62B7E">
        <w:rPr>
          <w:rFonts w:ascii="NewsGotT" w:hAnsi="NewsGotT"/>
          <w:lang w:val="pt-PT" w:eastAsia="x-none"/>
        </w:rPr>
        <w:t xml:space="preserve">A incontinência urinária é definida como uma condição em que há perda involuntária de urina. </w:t>
      </w:r>
      <w:r w:rsidR="00686959">
        <w:rPr>
          <w:rFonts w:ascii="NewsGotT" w:hAnsi="NewsGotT"/>
          <w:lang w:val="pt-PT" w:eastAsia="x-none"/>
        </w:rPr>
        <w:t>Estas perdas p</w:t>
      </w:r>
      <w:r w:rsidRPr="00A62B7E">
        <w:rPr>
          <w:rFonts w:ascii="NewsGotT" w:hAnsi="NewsGotT"/>
          <w:lang w:val="pt-PT" w:eastAsia="x-none"/>
        </w:rPr>
        <w:t>ode</w:t>
      </w:r>
      <w:r w:rsidR="00686959">
        <w:rPr>
          <w:rFonts w:ascii="NewsGotT" w:hAnsi="NewsGotT"/>
          <w:lang w:val="pt-PT" w:eastAsia="x-none"/>
        </w:rPr>
        <w:t>m</w:t>
      </w:r>
      <w:r w:rsidRPr="00A62B7E">
        <w:rPr>
          <w:rFonts w:ascii="NewsGotT" w:hAnsi="NewsGotT"/>
          <w:lang w:val="pt-PT" w:eastAsia="x-none"/>
        </w:rPr>
        <w:t xml:space="preserve"> ser causada</w:t>
      </w:r>
      <w:r w:rsidR="00686959">
        <w:rPr>
          <w:rFonts w:ascii="NewsGotT" w:hAnsi="NewsGotT"/>
          <w:lang w:val="pt-PT" w:eastAsia="x-none"/>
        </w:rPr>
        <w:t>s</w:t>
      </w:r>
      <w:r w:rsidRPr="00A62B7E">
        <w:rPr>
          <w:rFonts w:ascii="NewsGotT" w:hAnsi="NewsGotT"/>
          <w:lang w:val="pt-PT" w:eastAsia="x-none"/>
        </w:rPr>
        <w:t xml:space="preserve"> por anomalias da bexiga, locais ou neurogénicas e/ou por anomalias do esfíncter que conduzem a uma perda na sua </w:t>
      </w:r>
      <w:r w:rsidR="00686959">
        <w:rPr>
          <w:rFonts w:ascii="NewsGotT" w:hAnsi="NewsGotT"/>
          <w:lang w:val="pt-PT" w:eastAsia="x-none"/>
        </w:rPr>
        <w:t xml:space="preserve">eficácia. </w:t>
      </w:r>
      <w:r w:rsidR="00686959" w:rsidRPr="00686959">
        <w:rPr>
          <w:rFonts w:ascii="NewsGotT" w:hAnsi="NewsGotT"/>
          <w:lang w:val="pt-PT" w:eastAsia="x-none"/>
        </w:rPr>
        <w:t>A capacidade de armazenar e eliminar a urina exige uma série complexa de mecanismos inter-relacionados que envolvem o cérebro, a bexiga, a uretra, os músculos e os nervos do pavimento pélvico.</w:t>
      </w:r>
      <w:r w:rsidR="00C27579">
        <w:rPr>
          <w:rFonts w:ascii="NewsGotT" w:hAnsi="NewsGotT"/>
          <w:lang w:val="pt-PT" w:eastAsia="x-none"/>
        </w:rPr>
        <w:t xml:space="preserve"> </w:t>
      </w:r>
      <w:r w:rsidR="00C27579" w:rsidRPr="00C27579">
        <w:rPr>
          <w:rFonts w:ascii="NewsGotT" w:hAnsi="NewsGotT"/>
          <w:lang w:val="pt-PT" w:eastAsia="x-none"/>
        </w:rPr>
        <w:t xml:space="preserve">À medida que a urina é produzida e armazenada na bexiga, </w:t>
      </w:r>
      <w:r w:rsidR="00F64F84">
        <w:rPr>
          <w:rFonts w:ascii="NewsGotT" w:hAnsi="NewsGotT"/>
          <w:lang w:val="pt-PT" w:eastAsia="x-none"/>
        </w:rPr>
        <w:t xml:space="preserve">o </w:t>
      </w:r>
      <w:r w:rsidR="00C27579" w:rsidRPr="00C27579">
        <w:rPr>
          <w:rFonts w:ascii="NewsGotT" w:hAnsi="NewsGotT"/>
          <w:lang w:val="pt-PT" w:eastAsia="x-none"/>
        </w:rPr>
        <w:t>músculo detrusor relaxa e distende-se para a poder acomodar.</w:t>
      </w:r>
      <w:r w:rsidR="00F64F84">
        <w:rPr>
          <w:rFonts w:ascii="NewsGotT" w:hAnsi="NewsGotT"/>
          <w:lang w:val="pt-PT" w:eastAsia="x-none"/>
        </w:rPr>
        <w:t xml:space="preserve"> A falha em algum destes mecanismos é o que pode provocar os vários tipos de incontinência urinária. E é para a atenuação destes sintomas que se utilizam os fármacos </w:t>
      </w:r>
      <w:r w:rsidR="00E96137">
        <w:rPr>
          <w:rFonts w:ascii="NewsGotT" w:hAnsi="NewsGotT"/>
          <w:lang w:val="pt-PT" w:eastAsia="x-none"/>
        </w:rPr>
        <w:t>atenuadores d</w:t>
      </w:r>
      <w:r w:rsidR="00F64F84">
        <w:rPr>
          <w:rFonts w:ascii="NewsGotT" w:hAnsi="NewsGotT"/>
          <w:lang w:val="pt-PT" w:eastAsia="x-none"/>
        </w:rPr>
        <w:t>os sintomas</w:t>
      </w:r>
      <w:r w:rsidR="00E96137">
        <w:rPr>
          <w:rFonts w:ascii="NewsGotT" w:hAnsi="NewsGotT"/>
          <w:lang w:val="pt-PT" w:eastAsia="x-none"/>
        </w:rPr>
        <w:t xml:space="preserve"> de</w:t>
      </w:r>
      <w:r w:rsidR="00F64F84">
        <w:rPr>
          <w:rFonts w:ascii="NewsGotT" w:hAnsi="NewsGotT"/>
          <w:lang w:val="pt-PT" w:eastAsia="x-none"/>
        </w:rPr>
        <w:t xml:space="preserve"> </w:t>
      </w:r>
      <w:r w:rsidR="00E96137" w:rsidRPr="00A62B7E">
        <w:rPr>
          <w:rFonts w:ascii="NewsGotT" w:hAnsi="NewsGotT"/>
          <w:lang w:val="pt-PT" w:eastAsia="x-none"/>
        </w:rPr>
        <w:t>incontinência urinária</w:t>
      </w:r>
      <w:r w:rsidR="00E96137">
        <w:rPr>
          <w:rFonts w:ascii="NewsGotT" w:hAnsi="NewsGotT"/>
          <w:lang w:val="pt-PT" w:eastAsia="x-none"/>
        </w:rPr>
        <w:t>.</w:t>
      </w:r>
      <w:r w:rsidR="002E61CA">
        <w:rPr>
          <w:rFonts w:ascii="NewsGotT" w:hAnsi="NewsGotT"/>
          <w:lang w:val="pt-PT" w:eastAsia="x-none"/>
        </w:rPr>
        <w:t xml:space="preserve"> Um dos fármacos utilizados para este fim é o</w:t>
      </w:r>
      <w:r w:rsidR="003309A0" w:rsidRPr="003309A0">
        <w:rPr>
          <w:rFonts w:ascii="NewsGotT" w:hAnsi="NewsGotT"/>
          <w:lang w:val="pt-PT" w:eastAsia="x-none"/>
        </w:rPr>
        <w:t xml:space="preserve"> cloreto de tróspio</w:t>
      </w:r>
      <w:r w:rsidR="002E61CA">
        <w:rPr>
          <w:rFonts w:ascii="NewsGotT" w:hAnsi="NewsGotT"/>
          <w:lang w:val="pt-PT" w:eastAsia="x-none"/>
        </w:rPr>
        <w:t xml:space="preserve"> que</w:t>
      </w:r>
      <w:r w:rsidR="003309A0" w:rsidRPr="003309A0">
        <w:rPr>
          <w:rFonts w:ascii="NewsGotT" w:hAnsi="NewsGotT"/>
          <w:lang w:val="pt-PT" w:eastAsia="x-none"/>
        </w:rPr>
        <w:t xml:space="preserve"> é um derivado </w:t>
      </w:r>
      <w:r w:rsidR="002E61CA">
        <w:rPr>
          <w:rFonts w:ascii="NewsGotT" w:hAnsi="NewsGotT"/>
          <w:lang w:val="pt-PT" w:eastAsia="x-none"/>
        </w:rPr>
        <w:t>pertencente</w:t>
      </w:r>
      <w:r w:rsidR="003309A0">
        <w:rPr>
          <w:rFonts w:ascii="NewsGotT" w:hAnsi="NewsGotT"/>
          <w:lang w:val="pt-PT" w:eastAsia="x-none"/>
        </w:rPr>
        <w:t xml:space="preserve"> </w:t>
      </w:r>
      <w:r w:rsidR="003309A0" w:rsidRPr="003309A0">
        <w:rPr>
          <w:rFonts w:ascii="NewsGotT" w:hAnsi="NewsGotT"/>
          <w:lang w:val="pt-PT" w:eastAsia="x-none"/>
        </w:rPr>
        <w:t>à classe dos fármacos parassimpaticolíticos ou anticolinérgicos, pois compete com a</w:t>
      </w:r>
      <w:r w:rsidR="003309A0">
        <w:rPr>
          <w:rFonts w:ascii="NewsGotT" w:hAnsi="NewsGotT"/>
          <w:lang w:val="pt-PT" w:eastAsia="x-none"/>
        </w:rPr>
        <w:t xml:space="preserve"> </w:t>
      </w:r>
      <w:r w:rsidR="003309A0" w:rsidRPr="003309A0">
        <w:rPr>
          <w:rFonts w:ascii="NewsGotT" w:hAnsi="NewsGotT"/>
          <w:lang w:val="pt-PT" w:eastAsia="x-none"/>
        </w:rPr>
        <w:t xml:space="preserve">acetilocolina, de modo dependente da concentração, para os </w:t>
      </w:r>
      <w:r w:rsidR="003309A0" w:rsidRPr="003309A0">
        <w:rPr>
          <w:rFonts w:ascii="NewsGotT" w:hAnsi="NewsGotT"/>
          <w:lang w:val="pt-PT" w:eastAsia="x-none"/>
        </w:rPr>
        <w:t>recetores</w:t>
      </w:r>
      <w:r w:rsidR="003309A0" w:rsidRPr="003309A0">
        <w:rPr>
          <w:rFonts w:ascii="NewsGotT" w:hAnsi="NewsGotT"/>
          <w:lang w:val="pt-PT" w:eastAsia="x-none"/>
        </w:rPr>
        <w:t xml:space="preserve"> de ligação</w:t>
      </w:r>
      <w:r w:rsidR="003309A0">
        <w:rPr>
          <w:rFonts w:ascii="NewsGotT" w:hAnsi="NewsGotT"/>
          <w:lang w:val="pt-PT" w:eastAsia="x-none"/>
        </w:rPr>
        <w:t xml:space="preserve"> </w:t>
      </w:r>
      <w:r w:rsidR="003309A0" w:rsidRPr="003309A0">
        <w:rPr>
          <w:rFonts w:ascii="NewsGotT" w:hAnsi="NewsGotT"/>
          <w:lang w:val="pt-PT" w:eastAsia="x-none"/>
        </w:rPr>
        <w:t>parassimpáticos pós-sinápticos do transmissor endogéno.</w:t>
      </w:r>
      <w:r w:rsidR="003309A0">
        <w:rPr>
          <w:rFonts w:ascii="NewsGotT" w:hAnsi="NewsGotT"/>
          <w:lang w:val="pt-PT" w:eastAsia="x-none"/>
        </w:rPr>
        <w:t xml:space="preserve"> </w:t>
      </w:r>
      <w:r w:rsidR="003309A0" w:rsidRPr="003309A0">
        <w:rPr>
          <w:rFonts w:ascii="NewsGotT" w:hAnsi="NewsGotT"/>
          <w:lang w:val="pt-PT" w:eastAsia="x-none"/>
        </w:rPr>
        <w:t>O cloreto de tróspio liga-se com elevada afinidade aos recetores muscarínicos dos</w:t>
      </w:r>
      <w:r w:rsidR="003309A0">
        <w:rPr>
          <w:rFonts w:ascii="NewsGotT" w:hAnsi="NewsGotT"/>
          <w:lang w:val="pt-PT" w:eastAsia="x-none"/>
        </w:rPr>
        <w:t xml:space="preserve"> </w:t>
      </w:r>
      <w:r w:rsidR="003309A0" w:rsidRPr="003309A0">
        <w:rPr>
          <w:rFonts w:ascii="NewsGotT" w:hAnsi="NewsGotT"/>
          <w:lang w:val="pt-PT" w:eastAsia="x-none"/>
        </w:rPr>
        <w:t>subtipos M1, M2 e M3 e demonstra afinidade para os recetore</w:t>
      </w:r>
      <w:r w:rsidR="003309A0">
        <w:rPr>
          <w:rFonts w:ascii="NewsGotT" w:hAnsi="NewsGotT"/>
          <w:lang w:val="pt-PT" w:eastAsia="x-none"/>
        </w:rPr>
        <w:t xml:space="preserve">s </w:t>
      </w:r>
      <w:r w:rsidR="003309A0" w:rsidRPr="003309A0">
        <w:rPr>
          <w:rFonts w:ascii="NewsGotT" w:hAnsi="NewsGotT"/>
          <w:lang w:val="pt-PT" w:eastAsia="x-none"/>
        </w:rPr>
        <w:t>nicotínicos.</w:t>
      </w:r>
      <w:r w:rsidR="002E61CA">
        <w:rPr>
          <w:rFonts w:ascii="NewsGotT" w:hAnsi="NewsGotT"/>
          <w:lang w:val="pt-PT" w:eastAsia="x-none"/>
        </w:rPr>
        <w:t xml:space="preserve"> </w:t>
      </w:r>
      <w:r w:rsidR="003309A0" w:rsidRPr="003309A0">
        <w:rPr>
          <w:rFonts w:ascii="NewsGotT" w:hAnsi="NewsGotT"/>
          <w:lang w:val="pt-PT" w:eastAsia="x-none"/>
        </w:rPr>
        <w:t>Consequentemente, o efeito anticolinérgico do cloreto de tróspio exerce uma ação</w:t>
      </w:r>
      <w:r w:rsidR="003309A0">
        <w:rPr>
          <w:rFonts w:ascii="NewsGotT" w:hAnsi="NewsGotT"/>
          <w:lang w:val="pt-PT" w:eastAsia="x-none"/>
        </w:rPr>
        <w:t xml:space="preserve"> </w:t>
      </w:r>
      <w:r w:rsidR="003309A0" w:rsidRPr="003309A0">
        <w:rPr>
          <w:rFonts w:ascii="NewsGotT" w:hAnsi="NewsGotT"/>
          <w:lang w:val="pt-PT" w:eastAsia="x-none"/>
        </w:rPr>
        <w:t>relaxante do tecido muscular liso e sobre as funções orgânicas mediadas pelos</w:t>
      </w:r>
      <w:r w:rsidR="003309A0">
        <w:rPr>
          <w:rFonts w:ascii="NewsGotT" w:hAnsi="NewsGotT"/>
          <w:lang w:val="pt-PT" w:eastAsia="x-none"/>
        </w:rPr>
        <w:t xml:space="preserve"> </w:t>
      </w:r>
      <w:r w:rsidR="003309A0" w:rsidRPr="003309A0">
        <w:rPr>
          <w:rFonts w:ascii="NewsGotT" w:hAnsi="NewsGotT"/>
          <w:lang w:val="pt-PT" w:eastAsia="x-none"/>
        </w:rPr>
        <w:t>recetores muscarínicos.</w:t>
      </w:r>
      <w:r w:rsidR="002E61CA">
        <w:rPr>
          <w:rFonts w:ascii="NewsGotT" w:hAnsi="NewsGotT"/>
          <w:lang w:val="pt-PT" w:eastAsia="x-none"/>
        </w:rPr>
        <w:t xml:space="preserve"> O</w:t>
      </w:r>
      <w:r w:rsidR="003309A0" w:rsidRPr="003309A0">
        <w:rPr>
          <w:rFonts w:ascii="NewsGotT" w:hAnsi="NewsGotT"/>
          <w:lang w:val="pt-PT" w:eastAsia="x-none"/>
        </w:rPr>
        <w:t xml:space="preserve"> cloreto de</w:t>
      </w:r>
      <w:r w:rsidR="003309A0">
        <w:rPr>
          <w:rFonts w:ascii="NewsGotT" w:hAnsi="NewsGotT"/>
          <w:lang w:val="pt-PT" w:eastAsia="x-none"/>
        </w:rPr>
        <w:t xml:space="preserve"> </w:t>
      </w:r>
      <w:r w:rsidR="003309A0" w:rsidRPr="003309A0">
        <w:rPr>
          <w:rFonts w:ascii="NewsGotT" w:hAnsi="NewsGotT"/>
          <w:lang w:val="pt-PT" w:eastAsia="x-none"/>
        </w:rPr>
        <w:t>tróspio diminui o tónus do músculo liso dos aparelhos gastrointestinal e genitourinário.</w:t>
      </w:r>
      <w:r w:rsidR="003309A0">
        <w:rPr>
          <w:rFonts w:ascii="NewsGotT" w:hAnsi="NewsGotT"/>
          <w:lang w:val="pt-PT" w:eastAsia="x-none"/>
        </w:rPr>
        <w:t xml:space="preserve"> </w:t>
      </w:r>
      <w:r w:rsidR="003309A0" w:rsidRPr="003309A0">
        <w:rPr>
          <w:rFonts w:ascii="NewsGotT" w:hAnsi="NewsGotT"/>
          <w:lang w:val="pt-PT" w:eastAsia="x-none"/>
        </w:rPr>
        <w:t>Além disto, pode inibir a secreção do muco brônquico, saliva, suor e a acomodação</w:t>
      </w:r>
      <w:r w:rsidR="002E61CA">
        <w:rPr>
          <w:rFonts w:ascii="NewsGotT" w:hAnsi="NewsGotT"/>
          <w:lang w:val="pt-PT" w:eastAsia="x-none"/>
        </w:rPr>
        <w:t xml:space="preserve"> </w:t>
      </w:r>
      <w:r w:rsidR="003309A0" w:rsidRPr="003309A0">
        <w:rPr>
          <w:rFonts w:ascii="NewsGotT" w:hAnsi="NewsGotT"/>
          <w:lang w:val="pt-PT" w:eastAsia="x-none"/>
        </w:rPr>
        <w:t>ocular.</w:t>
      </w:r>
      <w:r w:rsidR="002E61CA">
        <w:rPr>
          <w:rFonts w:ascii="NewsGotT" w:hAnsi="NewsGotT"/>
          <w:lang w:val="pt-PT" w:eastAsia="x-none"/>
        </w:rPr>
        <w:t xml:space="preserve"> Este fármaco é utilizado para o t</w:t>
      </w:r>
      <w:r w:rsidR="003309A0" w:rsidRPr="003309A0">
        <w:rPr>
          <w:rFonts w:ascii="NewsGotT" w:hAnsi="NewsGotT"/>
          <w:lang w:val="pt-PT" w:eastAsia="x-none"/>
        </w:rPr>
        <w:t>ratamento sintomático da incontinência de urgência e/ou da frequência e urgência</w:t>
      </w:r>
      <w:r w:rsidR="003309A0">
        <w:rPr>
          <w:rFonts w:ascii="NewsGotT" w:hAnsi="NewsGotT"/>
          <w:lang w:val="pt-PT" w:eastAsia="x-none"/>
        </w:rPr>
        <w:t xml:space="preserve"> </w:t>
      </w:r>
      <w:r w:rsidR="003309A0" w:rsidRPr="003309A0">
        <w:rPr>
          <w:rFonts w:ascii="NewsGotT" w:hAnsi="NewsGotT"/>
          <w:lang w:val="pt-PT" w:eastAsia="x-none"/>
        </w:rPr>
        <w:t>urinárias aumentadas que podem ocorrer em doentes com bexiga hiperativa.</w:t>
      </w:r>
      <w:r w:rsidR="003309A0">
        <w:rPr>
          <w:rFonts w:ascii="NewsGotT" w:hAnsi="NewsGotT"/>
          <w:lang w:val="pt-PT" w:eastAsia="x-none"/>
        </w:rPr>
        <w:t xml:space="preserve"> Foram relatados casos de cefaleias, alucinações, confusão e estados de agitação. Adicionalmente também são referidos casos frequentes de xerostomia, obstipação, náuseas e olhos secos </w:t>
      </w:r>
      <w:r w:rsidR="003309A0">
        <w:rPr>
          <w:rFonts w:ascii="NewsGotT" w:hAnsi="NewsGotT"/>
          <w:lang w:val="pt-PT" w:eastAsia="x-none"/>
        </w:rPr>
        <w:fldChar w:fldCharType="begin" w:fldLock="1"/>
      </w:r>
      <w:r w:rsidR="003309A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2021c)"},"properties":{"noteIndex":0},"schema":"https://github.com/citation-style-language/schema/raw/master/csl-citation.json"}</w:instrText>
      </w:r>
      <w:r w:rsidR="003309A0">
        <w:rPr>
          <w:rFonts w:ascii="NewsGotT" w:hAnsi="NewsGotT"/>
          <w:lang w:val="pt-PT" w:eastAsia="x-none"/>
        </w:rPr>
        <w:fldChar w:fldCharType="separate"/>
      </w:r>
      <w:r w:rsidR="003309A0" w:rsidRPr="003309A0">
        <w:rPr>
          <w:rFonts w:ascii="NewsGotT" w:hAnsi="NewsGotT"/>
          <w:noProof/>
          <w:lang w:val="pt-PT" w:eastAsia="x-none"/>
        </w:rPr>
        <w:t>(INFARMED, 2021c)</w:t>
      </w:r>
      <w:r w:rsidR="003309A0">
        <w:rPr>
          <w:rFonts w:ascii="NewsGotT" w:hAnsi="NewsGotT"/>
          <w:lang w:val="pt-PT" w:eastAsia="x-none"/>
        </w:rPr>
        <w:fldChar w:fldCharType="end"/>
      </w:r>
      <w:r w:rsidR="003309A0">
        <w:rPr>
          <w:rFonts w:ascii="NewsGotT" w:hAnsi="NewsGotT"/>
          <w:lang w:val="pt-PT" w:eastAsia="x-none"/>
        </w:rPr>
        <w:t xml:space="preserve">. </w:t>
      </w: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2" w:name="_Toc79180393"/>
      <w:r w:rsidRPr="001264D6">
        <w:rPr>
          <w:rFonts w:ascii="NewsGotT" w:hAnsi="NewsGotT"/>
          <w:lang w:val="pt-PT"/>
        </w:rPr>
        <w:lastRenderedPageBreak/>
        <w:t>Exploração dos dados</w:t>
      </w:r>
      <w:bookmarkEnd w:id="82"/>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3" w:name="_Toc79180394"/>
      <w:r w:rsidRPr="001264D6">
        <w:rPr>
          <w:rFonts w:ascii="NewsGotT" w:hAnsi="NewsGotT"/>
          <w:lang w:val="pt-PT"/>
        </w:rPr>
        <w:t>Limpeza dos dados</w:t>
      </w:r>
      <w:bookmarkEnd w:id="83"/>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4" w:name="_Toc79180395"/>
      <w:r w:rsidRPr="001264D6">
        <w:rPr>
          <w:rFonts w:ascii="NewsGotT" w:hAnsi="NewsGotT"/>
          <w:lang w:val="pt-PT"/>
        </w:rPr>
        <w:t>Transformação dos dados</w:t>
      </w:r>
      <w:bookmarkEnd w:id="84"/>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5" w:name="_Ref69917758"/>
      <w:bookmarkStart w:id="86" w:name="_Toc79180396"/>
      <w:r w:rsidRPr="001264D6">
        <w:rPr>
          <w:lang w:val="pt-PT"/>
        </w:rPr>
        <w:t>Modelação</w:t>
      </w:r>
      <w:bookmarkEnd w:id="85"/>
      <w:bookmarkEnd w:id="86"/>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7" w:name="_Toc79180397"/>
      <w:r w:rsidRPr="001264D6">
        <w:rPr>
          <w:rFonts w:ascii="NewsGotT" w:hAnsi="NewsGotT"/>
          <w:lang w:val="pt-PT"/>
        </w:rPr>
        <w:t>Regressão Logística</w:t>
      </w:r>
      <w:bookmarkEnd w:id="87"/>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8" w:name="_Toc79180398"/>
      <w:r w:rsidRPr="001264D6">
        <w:rPr>
          <w:rFonts w:ascii="NewsGotT" w:hAnsi="NewsGotT"/>
          <w:lang w:val="pt-PT"/>
        </w:rPr>
        <w:t>Random Forest</w:t>
      </w:r>
      <w:bookmarkEnd w:id="88"/>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9" w:name="_Ref69917772"/>
      <w:bookmarkStart w:id="90" w:name="_Toc79180399"/>
      <w:r w:rsidRPr="001264D6">
        <w:rPr>
          <w:lang w:val="pt-PT"/>
        </w:rPr>
        <w:lastRenderedPageBreak/>
        <w:t>Apresentação e discussão de resultados</w:t>
      </w:r>
      <w:bookmarkEnd w:id="89"/>
      <w:bookmarkEnd w:id="90"/>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1" w:name="_Ref69916962"/>
      <w:bookmarkStart w:id="92" w:name="_Ref69916993"/>
      <w:bookmarkStart w:id="93" w:name="_Toc79180400"/>
      <w:r w:rsidRPr="001264D6">
        <w:rPr>
          <w:lang w:val="pt-PT"/>
        </w:rPr>
        <w:lastRenderedPageBreak/>
        <w:t>Conclusões</w:t>
      </w:r>
      <w:bookmarkEnd w:id="91"/>
      <w:bookmarkEnd w:id="92"/>
      <w:bookmarkEnd w:id="93"/>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pluripatologia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4" w:name="_Toc79180401"/>
      <w:r w:rsidRPr="001264D6">
        <w:rPr>
          <w:sz w:val="24"/>
          <w:lang w:val="pt-PT"/>
        </w:rPr>
        <w:lastRenderedPageBreak/>
        <w:t>Bibliog</w:t>
      </w:r>
      <w:r w:rsidR="00F56D13" w:rsidRPr="001264D6">
        <w:rPr>
          <w:sz w:val="24"/>
          <w:lang w:val="pt-PT"/>
        </w:rPr>
        <w:t>rafia</w:t>
      </w:r>
      <w:bookmarkEnd w:id="94"/>
    </w:p>
    <w:p w14:paraId="72AF6D99" w14:textId="0D9C6775" w:rsidR="00C75460" w:rsidRPr="001264D6" w:rsidRDefault="00C75460" w:rsidP="00C75460">
      <w:pPr>
        <w:rPr>
          <w:rFonts w:ascii="NewsGotT" w:hAnsi="NewsGotT"/>
          <w:highlight w:val="yellow"/>
          <w:lang w:val="pt-PT" w:eastAsia="x-none"/>
        </w:rPr>
      </w:pPr>
    </w:p>
    <w:p w14:paraId="27E4AB29" w14:textId="2EA8A53D" w:rsidR="003309A0" w:rsidRPr="003309A0" w:rsidRDefault="00C75460" w:rsidP="003309A0">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3309A0" w:rsidRPr="003309A0">
        <w:rPr>
          <w:rFonts w:ascii="NewsGotT" w:hAnsi="NewsGotT"/>
          <w:noProof/>
        </w:rPr>
        <w:t xml:space="preserve">Adamis, D., Sharma, N., Whelan, P. J. P., &amp; MacDonald, A. J. D. (2010). Delirium scales: A review of current evidence. </w:t>
      </w:r>
      <w:r w:rsidR="003309A0" w:rsidRPr="003309A0">
        <w:rPr>
          <w:rFonts w:ascii="NewsGotT" w:hAnsi="NewsGotT"/>
          <w:i/>
          <w:iCs/>
          <w:noProof/>
        </w:rPr>
        <w:t>Aging and Mental Health</w:t>
      </w:r>
      <w:r w:rsidR="003309A0" w:rsidRPr="003309A0">
        <w:rPr>
          <w:rFonts w:ascii="NewsGotT" w:hAnsi="NewsGotT"/>
          <w:noProof/>
        </w:rPr>
        <w:t xml:space="preserve">, </w:t>
      </w:r>
      <w:r w:rsidR="003309A0" w:rsidRPr="003309A0">
        <w:rPr>
          <w:rFonts w:ascii="NewsGotT" w:hAnsi="NewsGotT"/>
          <w:i/>
          <w:iCs/>
          <w:noProof/>
        </w:rPr>
        <w:t>14</w:t>
      </w:r>
      <w:r w:rsidR="003309A0" w:rsidRPr="003309A0">
        <w:rPr>
          <w:rFonts w:ascii="NewsGotT" w:hAnsi="NewsGotT"/>
          <w:noProof/>
        </w:rPr>
        <w:t>(5), 543–555. https://doi.org/10.1080/13607860903421011</w:t>
      </w:r>
    </w:p>
    <w:p w14:paraId="0A871C9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Adamis, D., Treloar, A., Martin, F. C., &amp; Macdonald, A. J. D. (2007). A brief review of the history of delirium as a mental disorder. </w:t>
      </w:r>
      <w:r w:rsidRPr="003309A0">
        <w:rPr>
          <w:rFonts w:ascii="NewsGotT" w:hAnsi="NewsGotT"/>
          <w:i/>
          <w:iCs/>
          <w:noProof/>
        </w:rPr>
        <w:t>History of Psychiatry</w:t>
      </w:r>
      <w:r w:rsidRPr="003309A0">
        <w:rPr>
          <w:rFonts w:ascii="NewsGotT" w:hAnsi="NewsGotT"/>
          <w:noProof/>
        </w:rPr>
        <w:t xml:space="preserve">, </w:t>
      </w:r>
      <w:r w:rsidRPr="003309A0">
        <w:rPr>
          <w:rFonts w:ascii="NewsGotT" w:hAnsi="NewsGotT"/>
          <w:i/>
          <w:iCs/>
          <w:noProof/>
        </w:rPr>
        <w:t>18</w:t>
      </w:r>
      <w:r w:rsidRPr="003309A0">
        <w:rPr>
          <w:rFonts w:ascii="NewsGotT" w:hAnsi="NewsGotT"/>
          <w:noProof/>
        </w:rPr>
        <w:t>(4), 459–469. https://doi.org/10.1177/0957154X07076467</w:t>
      </w:r>
    </w:p>
    <w:p w14:paraId="7C6168E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Alagiakrishnan, K., &amp; Wiens, C. A. (2004). An approach to drug induced delirium in the elderly. </w:t>
      </w:r>
      <w:r w:rsidRPr="003309A0">
        <w:rPr>
          <w:rFonts w:ascii="NewsGotT" w:hAnsi="NewsGotT"/>
          <w:i/>
          <w:iCs/>
          <w:noProof/>
        </w:rPr>
        <w:t>Postgraduate Medical Journal</w:t>
      </w:r>
      <w:r w:rsidRPr="003309A0">
        <w:rPr>
          <w:rFonts w:ascii="NewsGotT" w:hAnsi="NewsGotT"/>
          <w:noProof/>
        </w:rPr>
        <w:t xml:space="preserve">, </w:t>
      </w:r>
      <w:r w:rsidRPr="003309A0">
        <w:rPr>
          <w:rFonts w:ascii="NewsGotT" w:hAnsi="NewsGotT"/>
          <w:i/>
          <w:iCs/>
          <w:noProof/>
        </w:rPr>
        <w:t>80</w:t>
      </w:r>
      <w:r w:rsidRPr="003309A0">
        <w:rPr>
          <w:rFonts w:ascii="NewsGotT" w:hAnsi="NewsGotT"/>
          <w:noProof/>
        </w:rPr>
        <w:t>(945), 388–393. https://doi.org/10.1136/pgmj.2003.017236</w:t>
      </w:r>
    </w:p>
    <w:p w14:paraId="40027D2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Ali, J., Khan, R., Ahmad, N., &amp; Maqsood, I. (2012). Random Forests and Decision Trees. </w:t>
      </w:r>
      <w:r w:rsidRPr="003309A0">
        <w:rPr>
          <w:rFonts w:ascii="NewsGotT" w:hAnsi="NewsGotT"/>
          <w:i/>
          <w:iCs/>
          <w:noProof/>
        </w:rPr>
        <w:t>International Journal of Computer Science Issues</w:t>
      </w:r>
      <w:r w:rsidRPr="003309A0">
        <w:rPr>
          <w:rFonts w:ascii="NewsGotT" w:hAnsi="NewsGotT"/>
          <w:noProof/>
        </w:rPr>
        <w:t xml:space="preserve">, </w:t>
      </w:r>
      <w:r w:rsidRPr="003309A0">
        <w:rPr>
          <w:rFonts w:ascii="NewsGotT" w:hAnsi="NewsGotT"/>
          <w:i/>
          <w:iCs/>
          <w:noProof/>
        </w:rPr>
        <w:t>9</w:t>
      </w:r>
      <w:r w:rsidRPr="003309A0">
        <w:rPr>
          <w:rFonts w:ascii="NewsGotT" w:hAnsi="NewsGotT"/>
          <w:noProof/>
        </w:rPr>
        <w:t>(5), 272–278.</w:t>
      </w:r>
    </w:p>
    <w:p w14:paraId="3A86FD6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Ali, M. A., Hashmi, M., Ahmed, W., Raza, S. A., Khan, M. F., &amp; Salim, B. (2021). Incidence and risk factors of delirium in surgical intensive care unit. </w:t>
      </w:r>
      <w:r w:rsidRPr="003309A0">
        <w:rPr>
          <w:rFonts w:ascii="NewsGotT" w:hAnsi="NewsGotT"/>
          <w:i/>
          <w:iCs/>
          <w:noProof/>
        </w:rPr>
        <w:t>Trauma Surgery and Acute Care Open</w:t>
      </w:r>
      <w:r w:rsidRPr="003309A0">
        <w:rPr>
          <w:rFonts w:ascii="NewsGotT" w:hAnsi="NewsGotT"/>
          <w:noProof/>
        </w:rPr>
        <w:t xml:space="preserve">, </w:t>
      </w:r>
      <w:r w:rsidRPr="003309A0">
        <w:rPr>
          <w:rFonts w:ascii="NewsGotT" w:hAnsi="NewsGotT"/>
          <w:i/>
          <w:iCs/>
          <w:noProof/>
        </w:rPr>
        <w:t>6</w:t>
      </w:r>
      <w:r w:rsidRPr="003309A0">
        <w:rPr>
          <w:rFonts w:ascii="NewsGotT" w:hAnsi="NewsGotT"/>
          <w:noProof/>
        </w:rPr>
        <w:t>(1). https://doi.org/10.1136/tsaco-2020-000564</w:t>
      </w:r>
    </w:p>
    <w:p w14:paraId="67B35A6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Alsuliman, T., Humaidan, D., &amp; Sliman, L. (2020). Machine learning and artificial intelligence in the service of medicine: Necessity or potentiality? </w:t>
      </w:r>
      <w:r w:rsidRPr="003309A0">
        <w:rPr>
          <w:rFonts w:ascii="NewsGotT" w:hAnsi="NewsGotT"/>
          <w:i/>
          <w:iCs/>
          <w:noProof/>
        </w:rPr>
        <w:t>Current Research in Translational Medicine</w:t>
      </w:r>
      <w:r w:rsidRPr="003309A0">
        <w:rPr>
          <w:rFonts w:ascii="NewsGotT" w:hAnsi="NewsGotT"/>
          <w:noProof/>
        </w:rPr>
        <w:t xml:space="preserve">, </w:t>
      </w:r>
      <w:r w:rsidRPr="003309A0">
        <w:rPr>
          <w:rFonts w:ascii="NewsGotT" w:hAnsi="NewsGotT"/>
          <w:i/>
          <w:iCs/>
          <w:noProof/>
        </w:rPr>
        <w:t>68</w:t>
      </w:r>
      <w:r w:rsidRPr="003309A0">
        <w:rPr>
          <w:rFonts w:ascii="NewsGotT" w:hAnsi="NewsGotT"/>
          <w:noProof/>
        </w:rPr>
        <w:t>(4), 245–251. https://doi.org/10.1016/j.retram.2020.01.002</w:t>
      </w:r>
    </w:p>
    <w:p w14:paraId="669F743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American Psychiatric Association. (1980). </w:t>
      </w:r>
      <w:r w:rsidRPr="003309A0">
        <w:rPr>
          <w:rFonts w:ascii="NewsGotT" w:hAnsi="NewsGotT"/>
          <w:i/>
          <w:iCs/>
          <w:noProof/>
        </w:rPr>
        <w:t>Diagnostic and Statistical Manual of Mental Disorders - III</w:t>
      </w:r>
      <w:r w:rsidRPr="003309A0">
        <w:rPr>
          <w:rFonts w:ascii="NewsGotT" w:hAnsi="NewsGotT"/>
          <w:noProof/>
        </w:rPr>
        <w:t>. Washington.</w:t>
      </w:r>
    </w:p>
    <w:p w14:paraId="0E3B0DB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American Psychiatric Association. (2013). </w:t>
      </w:r>
      <w:r w:rsidRPr="003309A0">
        <w:rPr>
          <w:rFonts w:ascii="NewsGotT" w:hAnsi="NewsGotT"/>
          <w:i/>
          <w:iCs/>
          <w:noProof/>
        </w:rPr>
        <w:t>Diagnostic and statistical manual of mental disorders - DSM-5</w:t>
      </w:r>
      <w:r w:rsidRPr="003309A0">
        <w:rPr>
          <w:rFonts w:ascii="NewsGotT" w:hAnsi="NewsGotT"/>
          <w:noProof/>
        </w:rPr>
        <w:t xml:space="preserve">. </w:t>
      </w:r>
      <w:r w:rsidRPr="003309A0">
        <w:rPr>
          <w:rFonts w:ascii="NewsGotT" w:hAnsi="NewsGotT"/>
          <w:i/>
          <w:iCs/>
          <w:noProof/>
        </w:rPr>
        <w:t>Pediatria Integral</w:t>
      </w:r>
      <w:r w:rsidRPr="003309A0">
        <w:rPr>
          <w:rFonts w:ascii="NewsGotT" w:hAnsi="NewsGotT"/>
          <w:noProof/>
        </w:rPr>
        <w:t xml:space="preserve"> (fifth, Vol. 17).</w:t>
      </w:r>
    </w:p>
    <w:p w14:paraId="0A892EB9"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Associação Portuguesa de Nutrição. (2018). </w:t>
      </w:r>
      <w:r w:rsidRPr="003309A0">
        <w:rPr>
          <w:rFonts w:ascii="NewsGotT" w:hAnsi="NewsGotT"/>
          <w:i/>
          <w:iCs/>
          <w:noProof/>
        </w:rPr>
        <w:t>Dislipidemias: Caracterização e Tratamento nutricional</w:t>
      </w:r>
      <w:r w:rsidRPr="003309A0">
        <w:rPr>
          <w:rFonts w:ascii="NewsGotT" w:hAnsi="NewsGotT"/>
          <w:noProof/>
        </w:rPr>
        <w:t>. Associação Portuguesa de Nutrição. Retrieved from http://www.jstage.jst.go.jp/article/pjab/86/5/86_5_484/_article</w:t>
      </w:r>
    </w:p>
    <w:p w14:paraId="4BD2268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Basu, S., Faghmous, J. H., &amp; Doupe, P. (2020). Machine learning methods for precision medicine research designed to reduce health disparities: A structured tutorial. </w:t>
      </w:r>
      <w:r w:rsidRPr="003309A0">
        <w:rPr>
          <w:rFonts w:ascii="NewsGotT" w:hAnsi="NewsGotT"/>
          <w:i/>
          <w:iCs/>
          <w:noProof/>
        </w:rPr>
        <w:t>Ethnicity and Disease</w:t>
      </w:r>
      <w:r w:rsidRPr="003309A0">
        <w:rPr>
          <w:rFonts w:ascii="NewsGotT" w:hAnsi="NewsGotT"/>
          <w:noProof/>
        </w:rPr>
        <w:t xml:space="preserve">, </w:t>
      </w:r>
      <w:r w:rsidRPr="003309A0">
        <w:rPr>
          <w:rFonts w:ascii="NewsGotT" w:hAnsi="NewsGotT"/>
          <w:i/>
          <w:iCs/>
          <w:noProof/>
        </w:rPr>
        <w:t>30</w:t>
      </w:r>
      <w:r w:rsidRPr="003309A0">
        <w:rPr>
          <w:rFonts w:ascii="NewsGotT" w:hAnsi="NewsGotT"/>
          <w:noProof/>
        </w:rPr>
        <w:t>, 217–228. https://doi.org/10.18865/ed.30.S1.217</w:t>
      </w:r>
    </w:p>
    <w:p w14:paraId="581BFEA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Bial. (2006). Denominação da especialidade farmacêutica - SEDOXIL. Retrieved July 21, 2021, from https://www.bial.com/media/2780/sedoxil.pdf</w:t>
      </w:r>
    </w:p>
    <w:p w14:paraId="450513B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Bourgeois, J. A., Hategan, A., &amp; Losier, B. (2014). Delirium in the hospital: Emphasis on the management of geriatric patients. </w:t>
      </w:r>
      <w:r w:rsidRPr="003309A0">
        <w:rPr>
          <w:rFonts w:ascii="NewsGotT" w:hAnsi="NewsGotT"/>
          <w:i/>
          <w:iCs/>
          <w:noProof/>
        </w:rPr>
        <w:t>Current Psychiatry</w:t>
      </w:r>
      <w:r w:rsidRPr="003309A0">
        <w:rPr>
          <w:rFonts w:ascii="NewsGotT" w:hAnsi="NewsGotT"/>
          <w:noProof/>
        </w:rPr>
        <w:t xml:space="preserve">, </w:t>
      </w:r>
      <w:r w:rsidRPr="003309A0">
        <w:rPr>
          <w:rFonts w:ascii="NewsGotT" w:hAnsi="NewsGotT"/>
          <w:i/>
          <w:iCs/>
          <w:noProof/>
        </w:rPr>
        <w:t>13</w:t>
      </w:r>
      <w:r w:rsidRPr="003309A0">
        <w:rPr>
          <w:rFonts w:ascii="NewsGotT" w:hAnsi="NewsGotT"/>
          <w:noProof/>
        </w:rPr>
        <w:t>(8), 29–42.</w:t>
      </w:r>
    </w:p>
    <w:p w14:paraId="6ED19B5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Braga, A. de P., Ludermir, T. B., &amp; Carvalho, A. C. P. de L. F. (2000). </w:t>
      </w:r>
      <w:r w:rsidRPr="003309A0">
        <w:rPr>
          <w:rFonts w:ascii="NewsGotT" w:hAnsi="NewsGotT"/>
          <w:i/>
          <w:iCs/>
          <w:noProof/>
        </w:rPr>
        <w:t>Redes Neurais Artificiais: Teoria e Aplicações</w:t>
      </w:r>
      <w:r w:rsidRPr="003309A0">
        <w:rPr>
          <w:rFonts w:ascii="NewsGotT" w:hAnsi="NewsGotT"/>
          <w:noProof/>
        </w:rPr>
        <w:t>. Rio de Janeiro: LTC - Livros técnicos e científicos editora S.A.</w:t>
      </w:r>
    </w:p>
    <w:p w14:paraId="7A41F06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Breiman, L. (2001). Random forests. </w:t>
      </w:r>
      <w:r w:rsidRPr="003309A0">
        <w:rPr>
          <w:rFonts w:ascii="NewsGotT" w:hAnsi="NewsGotT"/>
          <w:i/>
          <w:iCs/>
          <w:noProof/>
        </w:rPr>
        <w:t>Machine Learning</w:t>
      </w:r>
      <w:r w:rsidRPr="003309A0">
        <w:rPr>
          <w:rFonts w:ascii="NewsGotT" w:hAnsi="NewsGotT"/>
          <w:noProof/>
        </w:rPr>
        <w:t xml:space="preserve">, </w:t>
      </w:r>
      <w:r w:rsidRPr="003309A0">
        <w:rPr>
          <w:rFonts w:ascii="NewsGotT" w:hAnsi="NewsGotT"/>
          <w:i/>
          <w:iCs/>
          <w:noProof/>
        </w:rPr>
        <w:t>45</w:t>
      </w:r>
      <w:r w:rsidRPr="003309A0">
        <w:rPr>
          <w:rFonts w:ascii="NewsGotT" w:hAnsi="NewsGotT"/>
          <w:noProof/>
        </w:rPr>
        <w:t>(1), 5–32.</w:t>
      </w:r>
    </w:p>
    <w:p w14:paraId="4EAFE96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Brenner, D. M., &amp; Lacy, B. E. (2021). Antispasmodics for Chronic Abdominal Pain. </w:t>
      </w:r>
      <w:r w:rsidRPr="003309A0">
        <w:rPr>
          <w:rFonts w:ascii="NewsGotT" w:hAnsi="NewsGotT"/>
          <w:i/>
          <w:iCs/>
          <w:noProof/>
        </w:rPr>
        <w:t>American Journal of Gastroenterology</w:t>
      </w:r>
      <w:r w:rsidRPr="003309A0">
        <w:rPr>
          <w:rFonts w:ascii="NewsGotT" w:hAnsi="NewsGotT"/>
          <w:noProof/>
        </w:rPr>
        <w:t xml:space="preserve">, </w:t>
      </w:r>
      <w:r w:rsidRPr="003309A0">
        <w:rPr>
          <w:rFonts w:ascii="NewsGotT" w:hAnsi="NewsGotT"/>
          <w:i/>
          <w:iCs/>
          <w:noProof/>
        </w:rPr>
        <w:t>Publish Ah</w:t>
      </w:r>
      <w:r w:rsidRPr="003309A0">
        <w:rPr>
          <w:rFonts w:ascii="NewsGotT" w:hAnsi="NewsGotT"/>
          <w:noProof/>
        </w:rPr>
        <w:t>, 1587–1600. https://doi.org/10.14309/ajg.0000000000001266</w:t>
      </w:r>
    </w:p>
    <w:p w14:paraId="4D99A30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Bruha, I., &amp; Berka, P. (2000). Discretization and Fuzzification of Numerical Attributes in Attribute-Based Learning. In </w:t>
      </w:r>
      <w:r w:rsidRPr="003309A0">
        <w:rPr>
          <w:rFonts w:ascii="NewsGotT" w:hAnsi="NewsGotT"/>
          <w:i/>
          <w:iCs/>
          <w:noProof/>
        </w:rPr>
        <w:t>Fuzzy Systems in Medicine</w:t>
      </w:r>
      <w:r w:rsidRPr="003309A0">
        <w:rPr>
          <w:rFonts w:ascii="NewsGotT" w:hAnsi="NewsGotT"/>
          <w:noProof/>
        </w:rPr>
        <w:t xml:space="preserve"> (Vol. 41, pp. 112–138). https://doi.org/10.1007/978-3-7908-1859-8_6</w:t>
      </w:r>
    </w:p>
    <w:p w14:paraId="1A102D7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Brunton, L. L., Chabner, B. A., &amp; Knollmann, B. C. (2011). </w:t>
      </w:r>
      <w:r w:rsidRPr="003309A0">
        <w:rPr>
          <w:rFonts w:ascii="NewsGotT" w:hAnsi="NewsGotT"/>
          <w:i/>
          <w:iCs/>
          <w:noProof/>
        </w:rPr>
        <w:t>Goodman &amp; Gilman’s pharmacological basis of therapeutics</w:t>
      </w:r>
      <w:r w:rsidRPr="003309A0">
        <w:rPr>
          <w:rFonts w:ascii="NewsGotT" w:hAnsi="NewsGotT"/>
          <w:noProof/>
        </w:rPr>
        <w:t xml:space="preserve"> (twelfth). New York, NY: McGraw-Hill Medical.</w:t>
      </w:r>
    </w:p>
    <w:p w14:paraId="79AE0E7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Burges, Christopher, J. C. (1998). A Tutorial on Support Vector Machines for Pattern Recognition. </w:t>
      </w:r>
      <w:r w:rsidRPr="003309A0">
        <w:rPr>
          <w:rFonts w:ascii="NewsGotT" w:hAnsi="NewsGotT"/>
          <w:i/>
          <w:iCs/>
          <w:noProof/>
        </w:rPr>
        <w:t>Data Mining and Knowledge Discovery</w:t>
      </w:r>
      <w:r w:rsidRPr="003309A0">
        <w:rPr>
          <w:rFonts w:ascii="NewsGotT" w:hAnsi="NewsGotT"/>
          <w:noProof/>
        </w:rPr>
        <w:t xml:space="preserve">, </w:t>
      </w:r>
      <w:r w:rsidRPr="003309A0">
        <w:rPr>
          <w:rFonts w:ascii="NewsGotT" w:hAnsi="NewsGotT"/>
          <w:i/>
          <w:iCs/>
          <w:noProof/>
        </w:rPr>
        <w:t>2</w:t>
      </w:r>
      <w:r w:rsidRPr="003309A0">
        <w:rPr>
          <w:rFonts w:ascii="NewsGotT" w:hAnsi="NewsGotT"/>
          <w:noProof/>
        </w:rPr>
        <w:t>, 121–167. https://doi.org/https://doi.org/10.1023/A:1009715923555</w:t>
      </w:r>
    </w:p>
    <w:p w14:paraId="256DE75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Cacabelos, R. (2017). Parkinson’s Disease: From Pathogenesis to Pharmacogenomics. </w:t>
      </w:r>
      <w:r w:rsidRPr="003309A0">
        <w:rPr>
          <w:rFonts w:ascii="NewsGotT" w:hAnsi="NewsGotT"/>
          <w:i/>
          <w:iCs/>
          <w:noProof/>
        </w:rPr>
        <w:t>International Journal of Molecular Sciences</w:t>
      </w:r>
      <w:r w:rsidRPr="003309A0">
        <w:rPr>
          <w:rFonts w:ascii="NewsGotT" w:hAnsi="NewsGotT"/>
          <w:noProof/>
        </w:rPr>
        <w:t xml:space="preserve">, </w:t>
      </w:r>
      <w:r w:rsidRPr="003309A0">
        <w:rPr>
          <w:rFonts w:ascii="NewsGotT" w:hAnsi="NewsGotT"/>
          <w:i/>
          <w:iCs/>
          <w:noProof/>
        </w:rPr>
        <w:t>18</w:t>
      </w:r>
      <w:r w:rsidRPr="003309A0">
        <w:rPr>
          <w:rFonts w:ascii="NewsGotT" w:hAnsi="NewsGotT"/>
          <w:noProof/>
        </w:rPr>
        <w:t>(3), 551. https://doi.org/10.3390/ijms18030551</w:t>
      </w:r>
    </w:p>
    <w:p w14:paraId="044FBA1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lastRenderedPageBreak/>
        <w:t xml:space="preserve">Cano-escalera, G., Besga, A., &amp; Graña, M. (2021). Risk factors for prediction of delirium at hospital admittance. </w:t>
      </w:r>
      <w:r w:rsidRPr="003309A0">
        <w:rPr>
          <w:rFonts w:ascii="NewsGotT" w:hAnsi="NewsGotT"/>
          <w:i/>
          <w:iCs/>
          <w:noProof/>
        </w:rPr>
        <w:t>Expert Systems</w:t>
      </w:r>
      <w:r w:rsidRPr="003309A0">
        <w:rPr>
          <w:rFonts w:ascii="NewsGotT" w:hAnsi="NewsGotT"/>
          <w:noProof/>
        </w:rPr>
        <w:t xml:space="preserve">, </w:t>
      </w:r>
      <w:r w:rsidRPr="003309A0">
        <w:rPr>
          <w:rFonts w:ascii="NewsGotT" w:hAnsi="NewsGotT"/>
          <w:i/>
          <w:iCs/>
          <w:noProof/>
        </w:rPr>
        <w:t>e12698</w:t>
      </w:r>
      <w:r w:rsidRPr="003309A0">
        <w:rPr>
          <w:rFonts w:ascii="NewsGotT" w:hAnsi="NewsGotT"/>
          <w:noProof/>
        </w:rPr>
        <w:t>(December 2020), 1–10. https://doi.org/10.1111/exsy.12698</w:t>
      </w:r>
    </w:p>
    <w:p w14:paraId="01A39A0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Casey, P., Cross, W., Mart, M. W. S., Baldwin, C., Riddell, K., &amp; D</w:t>
      </w:r>
      <w:r w:rsidRPr="003309A0">
        <w:rPr>
          <w:rFonts w:ascii="Cambria" w:hAnsi="Cambria" w:cs="Cambria"/>
          <w:noProof/>
        </w:rPr>
        <w:t>ā</w:t>
      </w:r>
      <w:r w:rsidRPr="003309A0">
        <w:rPr>
          <w:rFonts w:ascii="NewsGotT" w:hAnsi="NewsGotT"/>
          <w:noProof/>
        </w:rPr>
        <w:t>rzi</w:t>
      </w:r>
      <w:r w:rsidRPr="003309A0">
        <w:rPr>
          <w:rFonts w:ascii="Cambria" w:hAnsi="Cambria" w:cs="Cambria"/>
          <w:noProof/>
        </w:rPr>
        <w:t>ņ</w:t>
      </w:r>
      <w:r w:rsidRPr="003309A0">
        <w:rPr>
          <w:rFonts w:ascii="NewsGotT" w:hAnsi="NewsGotT"/>
          <w:noProof/>
        </w:rPr>
        <w:t xml:space="preserve">š, P. (2019). Hospital discharge data under-reports delirium occurrence: results from a point prevalence survey of delirium in a major Australian health service. </w:t>
      </w:r>
      <w:r w:rsidRPr="003309A0">
        <w:rPr>
          <w:rFonts w:ascii="NewsGotT" w:hAnsi="NewsGotT"/>
          <w:i/>
          <w:iCs/>
          <w:noProof/>
        </w:rPr>
        <w:t>Internal Medicine Journal</w:t>
      </w:r>
      <w:r w:rsidRPr="003309A0">
        <w:rPr>
          <w:rFonts w:ascii="NewsGotT" w:hAnsi="NewsGotT"/>
          <w:noProof/>
        </w:rPr>
        <w:t xml:space="preserve">, </w:t>
      </w:r>
      <w:r w:rsidRPr="003309A0">
        <w:rPr>
          <w:rFonts w:ascii="NewsGotT" w:hAnsi="NewsGotT"/>
          <w:i/>
          <w:iCs/>
          <w:noProof/>
        </w:rPr>
        <w:t>49</w:t>
      </w:r>
      <w:r w:rsidRPr="003309A0">
        <w:rPr>
          <w:rFonts w:ascii="NewsGotT" w:hAnsi="NewsGotT"/>
          <w:noProof/>
        </w:rPr>
        <w:t>(3), 338–344. https://doi.org/10.1111/imj.14066</w:t>
      </w:r>
    </w:p>
    <w:p w14:paraId="7C59519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Chapelle, O., Vapnik, V., Bousquet, O., &amp; Mukherjee, S. (2002). Choosing Multiple Parameters for Support Vector Machines. </w:t>
      </w:r>
      <w:r w:rsidRPr="003309A0">
        <w:rPr>
          <w:rFonts w:ascii="NewsGotT" w:hAnsi="NewsGotT"/>
          <w:i/>
          <w:iCs/>
          <w:noProof/>
        </w:rPr>
        <w:t>Machine Learning</w:t>
      </w:r>
      <w:r w:rsidRPr="003309A0">
        <w:rPr>
          <w:rFonts w:ascii="NewsGotT" w:hAnsi="NewsGotT"/>
          <w:noProof/>
        </w:rPr>
        <w:t xml:space="preserve">, </w:t>
      </w:r>
      <w:r w:rsidRPr="003309A0">
        <w:rPr>
          <w:rFonts w:ascii="NewsGotT" w:hAnsi="NewsGotT"/>
          <w:i/>
          <w:iCs/>
          <w:noProof/>
        </w:rPr>
        <w:t>46</w:t>
      </w:r>
      <w:r w:rsidRPr="003309A0">
        <w:rPr>
          <w:rFonts w:ascii="NewsGotT" w:hAnsi="NewsGotT"/>
          <w:noProof/>
        </w:rPr>
        <w:t>, 131–159. https://doi.org/https://doi.org/10.1023/A:1012450327387</w:t>
      </w:r>
    </w:p>
    <w:p w14:paraId="099CE80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Chapman, P., Clinton, J., Kerber, R., Khabaza, T., Reinartz, T., Shearer, C., &amp; Wirth, R. (2000). </w:t>
      </w:r>
      <w:r w:rsidRPr="003309A0">
        <w:rPr>
          <w:rFonts w:ascii="NewsGotT" w:hAnsi="NewsGotT"/>
          <w:i/>
          <w:iCs/>
          <w:noProof/>
        </w:rPr>
        <w:t>CRISP-DM 1.0 Step-by-step data mining guide</w:t>
      </w:r>
      <w:r w:rsidRPr="003309A0">
        <w:rPr>
          <w:rFonts w:ascii="NewsGotT" w:hAnsi="NewsGotT"/>
          <w:noProof/>
        </w:rPr>
        <w:t xml:space="preserve">. </w:t>
      </w:r>
      <w:r w:rsidRPr="003309A0">
        <w:rPr>
          <w:rFonts w:ascii="NewsGotT" w:hAnsi="NewsGotT"/>
          <w:i/>
          <w:iCs/>
          <w:noProof/>
        </w:rPr>
        <w:t>SPSS inc</w:t>
      </w:r>
      <w:r w:rsidRPr="003309A0">
        <w:rPr>
          <w:rFonts w:ascii="NewsGotT" w:hAnsi="NewsGotT"/>
          <w:noProof/>
        </w:rPr>
        <w:t>. Retrieved from http://www.crisp-dm.org/CRISPWP-0800.pdf</w:t>
      </w:r>
    </w:p>
    <w:p w14:paraId="637E1A7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Cheon, S. Y., Koo, B.-N., Kim, S. Y., Kam, E. H., Nam, J., &amp; Kim, E. J. (2021). Scopolamine promotes neuroinflammation and delirium-like neuropsychiatric disorder in mice. </w:t>
      </w:r>
      <w:r w:rsidRPr="003309A0">
        <w:rPr>
          <w:rFonts w:ascii="NewsGotT" w:hAnsi="NewsGotT"/>
          <w:i/>
          <w:iCs/>
          <w:noProof/>
        </w:rPr>
        <w:t>Scientific Reports</w:t>
      </w:r>
      <w:r w:rsidRPr="003309A0">
        <w:rPr>
          <w:rFonts w:ascii="NewsGotT" w:hAnsi="NewsGotT"/>
          <w:noProof/>
        </w:rPr>
        <w:t xml:space="preserve">, </w:t>
      </w:r>
      <w:r w:rsidRPr="003309A0">
        <w:rPr>
          <w:rFonts w:ascii="NewsGotT" w:hAnsi="NewsGotT"/>
          <w:i/>
          <w:iCs/>
          <w:noProof/>
        </w:rPr>
        <w:t>11</w:t>
      </w:r>
      <w:r w:rsidRPr="003309A0">
        <w:rPr>
          <w:rFonts w:ascii="NewsGotT" w:hAnsi="NewsGotT"/>
          <w:noProof/>
        </w:rPr>
        <w:t>(1), 8376. https://doi.org/10.1038/s41598-021-87790-y</w:t>
      </w:r>
    </w:p>
    <w:p w14:paraId="77C999A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Chrousos, G. P. (1993). Syndromes of Glucocorticoid Resistance. </w:t>
      </w:r>
      <w:r w:rsidRPr="003309A0">
        <w:rPr>
          <w:rFonts w:ascii="NewsGotT" w:hAnsi="NewsGotT"/>
          <w:i/>
          <w:iCs/>
          <w:noProof/>
        </w:rPr>
        <w:t>Annals of Internal Medicine</w:t>
      </w:r>
      <w:r w:rsidRPr="003309A0">
        <w:rPr>
          <w:rFonts w:ascii="NewsGotT" w:hAnsi="NewsGotT"/>
          <w:noProof/>
        </w:rPr>
        <w:t xml:space="preserve">, </w:t>
      </w:r>
      <w:r w:rsidRPr="003309A0">
        <w:rPr>
          <w:rFonts w:ascii="NewsGotT" w:hAnsi="NewsGotT"/>
          <w:i/>
          <w:iCs/>
          <w:noProof/>
        </w:rPr>
        <w:t>119</w:t>
      </w:r>
      <w:r w:rsidRPr="003309A0">
        <w:rPr>
          <w:rFonts w:ascii="NewsGotT" w:hAnsi="NewsGotT"/>
          <w:noProof/>
        </w:rPr>
        <w:t>(11), 1113. https://doi.org/10.7326/0003-4819-119-11-199312010-00009</w:t>
      </w:r>
    </w:p>
    <w:p w14:paraId="0C194AE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Church, M. K., &amp; Maurer, M. (2014). Antihistamines. In </w:t>
      </w:r>
      <w:r w:rsidRPr="003309A0">
        <w:rPr>
          <w:rFonts w:ascii="NewsGotT" w:hAnsi="NewsGotT"/>
          <w:i/>
          <w:iCs/>
          <w:noProof/>
        </w:rPr>
        <w:t>History of Allergy</w:t>
      </w:r>
      <w:r w:rsidRPr="003309A0">
        <w:rPr>
          <w:rFonts w:ascii="NewsGotT" w:hAnsi="NewsGotT"/>
          <w:noProof/>
        </w:rPr>
        <w:t xml:space="preserve"> (Vol. 100, pp. 302–310). https://doi.org/10.1159/000359963</w:t>
      </w:r>
    </w:p>
    <w:p w14:paraId="415B5DA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3309A0">
        <w:rPr>
          <w:rFonts w:ascii="NewsGotT" w:hAnsi="NewsGotT"/>
          <w:i/>
          <w:iCs/>
          <w:noProof/>
        </w:rPr>
        <w:t>International Psychogeriatrics</w:t>
      </w:r>
      <w:r w:rsidRPr="003309A0">
        <w:rPr>
          <w:rFonts w:ascii="NewsGotT" w:hAnsi="NewsGotT"/>
          <w:noProof/>
        </w:rPr>
        <w:t xml:space="preserve">, </w:t>
      </w:r>
      <w:r w:rsidRPr="003309A0">
        <w:rPr>
          <w:rFonts w:ascii="NewsGotT" w:hAnsi="NewsGotT"/>
          <w:i/>
          <w:iCs/>
          <w:noProof/>
        </w:rPr>
        <w:t>31</w:t>
      </w:r>
      <w:r w:rsidRPr="003309A0">
        <w:rPr>
          <w:rFonts w:ascii="NewsGotT" w:hAnsi="NewsGotT"/>
          <w:noProof/>
        </w:rPr>
        <w:t>(2), 267–276. https://doi.org/10.1017/S1041610218000777</w:t>
      </w:r>
    </w:p>
    <w:p w14:paraId="6924B26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Clegg, A., &amp; Young, J. B. (2011). Which medications to avoid in people at risk of delirium: A systematic review. </w:t>
      </w:r>
      <w:r w:rsidRPr="003309A0">
        <w:rPr>
          <w:rFonts w:ascii="NewsGotT" w:hAnsi="NewsGotT"/>
          <w:i/>
          <w:iCs/>
          <w:noProof/>
        </w:rPr>
        <w:t>Age and Ageing</w:t>
      </w:r>
      <w:r w:rsidRPr="003309A0">
        <w:rPr>
          <w:rFonts w:ascii="NewsGotT" w:hAnsi="NewsGotT"/>
          <w:noProof/>
        </w:rPr>
        <w:t xml:space="preserve">, </w:t>
      </w:r>
      <w:r w:rsidRPr="003309A0">
        <w:rPr>
          <w:rFonts w:ascii="NewsGotT" w:hAnsi="NewsGotT"/>
          <w:i/>
          <w:iCs/>
          <w:noProof/>
        </w:rPr>
        <w:t>40</w:t>
      </w:r>
      <w:r w:rsidRPr="003309A0">
        <w:rPr>
          <w:rFonts w:ascii="NewsGotT" w:hAnsi="NewsGotT"/>
          <w:noProof/>
        </w:rPr>
        <w:t>(1), 23–29. https://doi.org/10.1093/ageing/afq140</w:t>
      </w:r>
    </w:p>
    <w:p w14:paraId="3FDDC28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Conselho Nacional da Saúde. (2019). </w:t>
      </w:r>
      <w:r w:rsidRPr="003309A0">
        <w:rPr>
          <w:rFonts w:ascii="NewsGotT" w:hAnsi="NewsGotT"/>
          <w:i/>
          <w:iCs/>
          <w:noProof/>
        </w:rPr>
        <w:t>Sem mais tempo a perder - Saúde mental em Portugal: um desafio para a próxima década</w:t>
      </w:r>
      <w:r w:rsidRPr="003309A0">
        <w:rPr>
          <w:rFonts w:ascii="NewsGotT" w:hAnsi="NewsGotT"/>
          <w:noProof/>
        </w:rPr>
        <w:t xml:space="preserve">. </w:t>
      </w:r>
      <w:r w:rsidRPr="003309A0">
        <w:rPr>
          <w:rFonts w:ascii="NewsGotT" w:hAnsi="NewsGotT"/>
          <w:i/>
          <w:iCs/>
          <w:noProof/>
        </w:rPr>
        <w:t>Conselho Nacional de Saúde</w:t>
      </w:r>
      <w:r w:rsidRPr="003309A0">
        <w:rPr>
          <w:rFonts w:ascii="NewsGotT" w:hAnsi="NewsGotT"/>
          <w:noProof/>
        </w:rPr>
        <w:t>. Lisboa: CNS.</w:t>
      </w:r>
    </w:p>
    <w:p w14:paraId="397BD6E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Corradi, J. P., Thompson, S., Mather, J. F., Waszynski, C. M., &amp; Dicks, R. S. (2018). Prediction of Incident Delirium Using a Random Forest classifier. </w:t>
      </w:r>
      <w:r w:rsidRPr="003309A0">
        <w:rPr>
          <w:rFonts w:ascii="NewsGotT" w:hAnsi="NewsGotT"/>
          <w:i/>
          <w:iCs/>
          <w:noProof/>
        </w:rPr>
        <w:t>Journal of Medical Systems</w:t>
      </w:r>
      <w:r w:rsidRPr="003309A0">
        <w:rPr>
          <w:rFonts w:ascii="NewsGotT" w:hAnsi="NewsGotT"/>
          <w:noProof/>
        </w:rPr>
        <w:t xml:space="preserve">, </w:t>
      </w:r>
      <w:r w:rsidRPr="003309A0">
        <w:rPr>
          <w:rFonts w:ascii="NewsGotT" w:hAnsi="NewsGotT"/>
          <w:i/>
          <w:iCs/>
          <w:noProof/>
        </w:rPr>
        <w:t>42</w:t>
      </w:r>
      <w:r w:rsidRPr="003309A0">
        <w:rPr>
          <w:rFonts w:ascii="NewsGotT" w:hAnsi="NewsGotT"/>
          <w:noProof/>
        </w:rPr>
        <w:t>(12). https://doi.org/10.1007/s10916-018-1109-0</w:t>
      </w:r>
    </w:p>
    <w:p w14:paraId="5EF1634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Davoudi, A., Ebadi, A., Rashidi, P., Ozrazgat-Baslanti, T., Bihorac, A., &amp; Bursian, A. C. (2017). Delirium Prediction using Machine Learning Models on Predictive Electronic Health Records Data. </w:t>
      </w:r>
      <w:r w:rsidRPr="003309A0">
        <w:rPr>
          <w:rFonts w:ascii="NewsGotT" w:hAnsi="NewsGotT"/>
          <w:i/>
          <w:iCs/>
          <w:noProof/>
        </w:rPr>
        <w:t>Proceedings - IEEE 17th International Symposium on Bioinformatics and Bioengineering, BIBE 2017</w:t>
      </w:r>
      <w:r w:rsidRPr="003309A0">
        <w:rPr>
          <w:rFonts w:ascii="NewsGotT" w:hAnsi="NewsGotT"/>
          <w:noProof/>
        </w:rPr>
        <w:t>, 568–573. https://doi.org/10.1109/BIBE.2017.00014</w:t>
      </w:r>
    </w:p>
    <w:p w14:paraId="6D7A1CB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De, J., &amp; Wand, A. P. F. (2015). Delirium screening: A systematic review of delirium screening tools in hospitalized patients. </w:t>
      </w:r>
      <w:r w:rsidRPr="003309A0">
        <w:rPr>
          <w:rFonts w:ascii="NewsGotT" w:hAnsi="NewsGotT"/>
          <w:i/>
          <w:iCs/>
          <w:noProof/>
        </w:rPr>
        <w:t>Gerontologist</w:t>
      </w:r>
      <w:r w:rsidRPr="003309A0">
        <w:rPr>
          <w:rFonts w:ascii="NewsGotT" w:hAnsi="NewsGotT"/>
          <w:noProof/>
        </w:rPr>
        <w:t xml:space="preserve">, </w:t>
      </w:r>
      <w:r w:rsidRPr="003309A0">
        <w:rPr>
          <w:rFonts w:ascii="NewsGotT" w:hAnsi="NewsGotT"/>
          <w:i/>
          <w:iCs/>
          <w:noProof/>
        </w:rPr>
        <w:t>55</w:t>
      </w:r>
      <w:r w:rsidRPr="003309A0">
        <w:rPr>
          <w:rFonts w:ascii="NewsGotT" w:hAnsi="NewsGotT"/>
          <w:noProof/>
        </w:rPr>
        <w:t>(6), 1079–1099. https://doi.org/10.1093/geront/gnv100</w:t>
      </w:r>
    </w:p>
    <w:p w14:paraId="00AD743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Delaney, J., Spevack, D., Doddamani, S., &amp; Ostfeld, R. (2006). Clonidine-induced delirium. </w:t>
      </w:r>
      <w:r w:rsidRPr="003309A0">
        <w:rPr>
          <w:rFonts w:ascii="NewsGotT" w:hAnsi="NewsGotT"/>
          <w:i/>
          <w:iCs/>
          <w:noProof/>
        </w:rPr>
        <w:t>International Journal of Cardiology</w:t>
      </w:r>
      <w:r w:rsidRPr="003309A0">
        <w:rPr>
          <w:rFonts w:ascii="NewsGotT" w:hAnsi="NewsGotT"/>
          <w:noProof/>
        </w:rPr>
        <w:t xml:space="preserve">, </w:t>
      </w:r>
      <w:r w:rsidRPr="003309A0">
        <w:rPr>
          <w:rFonts w:ascii="NewsGotT" w:hAnsi="NewsGotT"/>
          <w:i/>
          <w:iCs/>
          <w:noProof/>
        </w:rPr>
        <w:t>113</w:t>
      </w:r>
      <w:r w:rsidRPr="003309A0">
        <w:rPr>
          <w:rFonts w:ascii="NewsGotT" w:hAnsi="NewsGotT"/>
          <w:noProof/>
        </w:rPr>
        <w:t>(2), 276–278. https://doi.org/10.1016/j.ijcard.2005.09.032</w:t>
      </w:r>
    </w:p>
    <w:p w14:paraId="1950886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Desforges, J. F., &amp; Lipowski, Z. J. (1989). Delirium in the Elderly Patient. </w:t>
      </w:r>
      <w:r w:rsidRPr="003309A0">
        <w:rPr>
          <w:rFonts w:ascii="NewsGotT" w:hAnsi="NewsGotT"/>
          <w:i/>
          <w:iCs/>
          <w:noProof/>
        </w:rPr>
        <w:t>New England Journal of Medicine</w:t>
      </w:r>
      <w:r w:rsidRPr="003309A0">
        <w:rPr>
          <w:rFonts w:ascii="NewsGotT" w:hAnsi="NewsGotT"/>
          <w:noProof/>
        </w:rPr>
        <w:t xml:space="preserve">, </w:t>
      </w:r>
      <w:r w:rsidRPr="003309A0">
        <w:rPr>
          <w:rFonts w:ascii="NewsGotT" w:hAnsi="NewsGotT"/>
          <w:i/>
          <w:iCs/>
          <w:noProof/>
        </w:rPr>
        <w:t>320</w:t>
      </w:r>
      <w:r w:rsidRPr="003309A0">
        <w:rPr>
          <w:rFonts w:ascii="NewsGotT" w:hAnsi="NewsGotT"/>
          <w:noProof/>
        </w:rPr>
        <w:t>(9), 578–582. https://doi.org/10.1056/NEJM198903023200907</w:t>
      </w:r>
    </w:p>
    <w:p w14:paraId="418D74C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DGS. (n.d.). Porque se fala em saúde mental? Retrieved July 14, 2021, from https://www.dgs.pt/paginas-de-sistema/saude-de-a-a-z/programa-nacional-para-a-saude-mental/perguntas-e-respostas.aspx</w:t>
      </w:r>
    </w:p>
    <w:p w14:paraId="6AC6568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Diseases, B. (MD): N. I. of D. and D. and K. (2012). Codeine. In </w:t>
      </w:r>
      <w:r w:rsidRPr="003309A0">
        <w:rPr>
          <w:rFonts w:ascii="NewsGotT" w:hAnsi="NewsGotT"/>
          <w:i/>
          <w:iCs/>
          <w:noProof/>
        </w:rPr>
        <w:t>LiverTox: Clinical and Research Information on Drug- Induced Liver Injury [Internet]</w:t>
      </w:r>
      <w:r w:rsidRPr="003309A0">
        <w:rPr>
          <w:rFonts w:ascii="NewsGotT" w:hAnsi="NewsGotT"/>
          <w:noProof/>
        </w:rPr>
        <w:t xml:space="preserve"> (p. 2). Retrieved from https://www.ncbi.nlm.nih.gov/books/</w:t>
      </w:r>
    </w:p>
    <w:p w14:paraId="55F1E21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Dreiseitl, S., &amp; Ohno-Machado, L. (2002). Logistic regression and artificial neural network classification </w:t>
      </w:r>
      <w:r w:rsidRPr="003309A0">
        <w:rPr>
          <w:rFonts w:ascii="NewsGotT" w:hAnsi="NewsGotT"/>
          <w:noProof/>
        </w:rPr>
        <w:lastRenderedPageBreak/>
        <w:t xml:space="preserve">models: A methodology review. </w:t>
      </w:r>
      <w:r w:rsidRPr="003309A0">
        <w:rPr>
          <w:rFonts w:ascii="NewsGotT" w:hAnsi="NewsGotT"/>
          <w:i/>
          <w:iCs/>
          <w:noProof/>
        </w:rPr>
        <w:t>Journal of Biomedical Informatics</w:t>
      </w:r>
      <w:r w:rsidRPr="003309A0">
        <w:rPr>
          <w:rFonts w:ascii="NewsGotT" w:hAnsi="NewsGotT"/>
          <w:noProof/>
        </w:rPr>
        <w:t xml:space="preserve">, </w:t>
      </w:r>
      <w:r w:rsidRPr="003309A0">
        <w:rPr>
          <w:rFonts w:ascii="NewsGotT" w:hAnsi="NewsGotT"/>
          <w:i/>
          <w:iCs/>
          <w:noProof/>
        </w:rPr>
        <w:t>35</w:t>
      </w:r>
      <w:r w:rsidRPr="003309A0">
        <w:rPr>
          <w:rFonts w:ascii="NewsGotT" w:hAnsi="NewsGotT"/>
          <w:noProof/>
        </w:rPr>
        <w:t>(5–6), 352–359. https://doi.org/10.1016/S1532-0464(03)00034-0</w:t>
      </w:r>
    </w:p>
    <w:p w14:paraId="3B7C5C8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Duan, K., Keerthi, S., &amp; Poo, A. (2003). Evaluation of simple performance measures for tuning SVM hyper parameters. Technical report. </w:t>
      </w:r>
      <w:r w:rsidRPr="003309A0">
        <w:rPr>
          <w:rFonts w:ascii="NewsGotT" w:hAnsi="NewsGotT"/>
          <w:i/>
          <w:iCs/>
          <w:noProof/>
        </w:rPr>
        <w:t>Neurocomputing</w:t>
      </w:r>
      <w:r w:rsidRPr="003309A0">
        <w:rPr>
          <w:rFonts w:ascii="NewsGotT" w:hAnsi="NewsGotT"/>
          <w:noProof/>
        </w:rPr>
        <w:t xml:space="preserve">, </w:t>
      </w:r>
      <w:r w:rsidRPr="003309A0">
        <w:rPr>
          <w:rFonts w:ascii="NewsGotT" w:hAnsi="NewsGotT"/>
          <w:i/>
          <w:iCs/>
          <w:noProof/>
        </w:rPr>
        <w:t>51</w:t>
      </w:r>
      <w:r w:rsidRPr="003309A0">
        <w:rPr>
          <w:rFonts w:ascii="NewsGotT" w:hAnsi="NewsGotT"/>
          <w:noProof/>
        </w:rPr>
        <w:t>, 41–59. https://doi.org/https://doi.org/10.1016/S0925-2312(02)00601-X</w:t>
      </w:r>
    </w:p>
    <w:p w14:paraId="2CF7B49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3309A0">
        <w:rPr>
          <w:rFonts w:ascii="NewsGotT" w:hAnsi="NewsGotT"/>
          <w:i/>
          <w:iCs/>
          <w:noProof/>
        </w:rPr>
        <w:t>Critical Care Medicine</w:t>
      </w:r>
      <w:r w:rsidRPr="003309A0">
        <w:rPr>
          <w:rFonts w:ascii="NewsGotT" w:hAnsi="NewsGotT"/>
          <w:noProof/>
        </w:rPr>
        <w:t xml:space="preserve">, </w:t>
      </w:r>
      <w:r w:rsidRPr="003309A0">
        <w:rPr>
          <w:rFonts w:ascii="NewsGotT" w:hAnsi="NewsGotT"/>
          <w:i/>
          <w:iCs/>
          <w:noProof/>
        </w:rPr>
        <w:t>29</w:t>
      </w:r>
      <w:r w:rsidRPr="003309A0">
        <w:rPr>
          <w:rFonts w:ascii="NewsGotT" w:hAnsi="NewsGotT"/>
          <w:noProof/>
        </w:rPr>
        <w:t>(7), 1370–1379. https://doi.org/10.1097/00003246-200107000-00012</w:t>
      </w:r>
    </w:p>
    <w:p w14:paraId="35D8BCA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Ely, E. W., Truman, B., Shintani, A., Thomason, J. W. W., Wheeler, A. P., Gordon, S., … Bernard, G. R. (2003). Monitoring Sedation Status Over Time in ICU Patients. </w:t>
      </w:r>
      <w:r w:rsidRPr="003309A0">
        <w:rPr>
          <w:rFonts w:ascii="NewsGotT" w:hAnsi="NewsGotT"/>
          <w:i/>
          <w:iCs/>
          <w:noProof/>
        </w:rPr>
        <w:t>JAMA</w:t>
      </w:r>
      <w:r w:rsidRPr="003309A0">
        <w:rPr>
          <w:rFonts w:ascii="NewsGotT" w:hAnsi="NewsGotT"/>
          <w:noProof/>
        </w:rPr>
        <w:t xml:space="preserve">, </w:t>
      </w:r>
      <w:r w:rsidRPr="003309A0">
        <w:rPr>
          <w:rFonts w:ascii="NewsGotT" w:hAnsi="NewsGotT"/>
          <w:i/>
          <w:iCs/>
          <w:noProof/>
        </w:rPr>
        <w:t>289</w:t>
      </w:r>
      <w:r w:rsidRPr="003309A0">
        <w:rPr>
          <w:rFonts w:ascii="NewsGotT" w:hAnsi="NewsGotT"/>
          <w:noProof/>
        </w:rPr>
        <w:t>(22), 2983. https://doi.org/10.1001/jama.289.22.2983</w:t>
      </w:r>
    </w:p>
    <w:p w14:paraId="56C9654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Estivill-Castro, V. (2002). Why so many clustering algorithms - a position paper. </w:t>
      </w:r>
      <w:r w:rsidRPr="003309A0">
        <w:rPr>
          <w:rFonts w:ascii="NewsGotT" w:hAnsi="NewsGotT"/>
          <w:i/>
          <w:iCs/>
          <w:noProof/>
        </w:rPr>
        <w:t>ACM SIGKDD Explorations Newsletter</w:t>
      </w:r>
      <w:r w:rsidRPr="003309A0">
        <w:rPr>
          <w:rFonts w:ascii="NewsGotT" w:hAnsi="NewsGotT"/>
          <w:noProof/>
        </w:rPr>
        <w:t xml:space="preserve">, </w:t>
      </w:r>
      <w:r w:rsidRPr="003309A0">
        <w:rPr>
          <w:rFonts w:ascii="NewsGotT" w:hAnsi="NewsGotT"/>
          <w:i/>
          <w:iCs/>
          <w:noProof/>
        </w:rPr>
        <w:t>4</w:t>
      </w:r>
      <w:r w:rsidRPr="003309A0">
        <w:rPr>
          <w:rFonts w:ascii="NewsGotT" w:hAnsi="NewsGotT"/>
          <w:noProof/>
        </w:rPr>
        <w:t>(1), 65–75. https://doi.org/10.1145/568574.568575</w:t>
      </w:r>
    </w:p>
    <w:p w14:paraId="073F00C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Faceli, K., Lorena, A. C., Gama, J., &amp; Carvalho, A. C. P. L. . de C. (2011). </w:t>
      </w:r>
      <w:r w:rsidRPr="003309A0">
        <w:rPr>
          <w:rFonts w:ascii="NewsGotT" w:hAnsi="NewsGotT"/>
          <w:i/>
          <w:iCs/>
          <w:noProof/>
        </w:rPr>
        <w:t>Inteligência Artificial. Uma Abordagem de Aprendizado de Máquina (Em Portugues do Brasil)</w:t>
      </w:r>
      <w:r w:rsidRPr="003309A0">
        <w:rPr>
          <w:rFonts w:ascii="NewsGotT" w:hAnsi="NewsGotT"/>
          <w:noProof/>
        </w:rPr>
        <w:t>. GEN: LTC. Retrieved from http://amazon.com/o/ASIN/8521618808/</w:t>
      </w:r>
    </w:p>
    <w:p w14:paraId="170D9DA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Field, R. R., &amp; Wall, M. H. (2013). Delirium: Past, present, and future. </w:t>
      </w:r>
      <w:r w:rsidRPr="003309A0">
        <w:rPr>
          <w:rFonts w:ascii="NewsGotT" w:hAnsi="NewsGotT"/>
          <w:i/>
          <w:iCs/>
          <w:noProof/>
        </w:rPr>
        <w:t>Seminars in Cardiothoracic and Vascular Anesthesia</w:t>
      </w:r>
      <w:r w:rsidRPr="003309A0">
        <w:rPr>
          <w:rFonts w:ascii="NewsGotT" w:hAnsi="NewsGotT"/>
          <w:noProof/>
        </w:rPr>
        <w:t xml:space="preserve">, </w:t>
      </w:r>
      <w:r w:rsidRPr="003309A0">
        <w:rPr>
          <w:rFonts w:ascii="NewsGotT" w:hAnsi="NewsGotT"/>
          <w:i/>
          <w:iCs/>
          <w:noProof/>
        </w:rPr>
        <w:t>17</w:t>
      </w:r>
      <w:r w:rsidRPr="003309A0">
        <w:rPr>
          <w:rFonts w:ascii="NewsGotT" w:hAnsi="NewsGotT"/>
          <w:noProof/>
        </w:rPr>
        <w:t>(3), 170–179. https://doi.org/10.1177/1089253213476957</w:t>
      </w:r>
    </w:p>
    <w:p w14:paraId="00669EF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Flacker, J. M., &amp; Lipsitz, L. A. (1999). Neural Mechanisms of Delirium: Current Hypotheses and Evolving Concepts. </w:t>
      </w:r>
      <w:r w:rsidRPr="003309A0">
        <w:rPr>
          <w:rFonts w:ascii="NewsGotT" w:hAnsi="NewsGotT"/>
          <w:i/>
          <w:iCs/>
          <w:noProof/>
        </w:rPr>
        <w:t>The Journals of Gerontology Series A: Biological Sciences and Medical Sciences</w:t>
      </w:r>
      <w:r w:rsidRPr="003309A0">
        <w:rPr>
          <w:rFonts w:ascii="NewsGotT" w:hAnsi="NewsGotT"/>
          <w:noProof/>
        </w:rPr>
        <w:t xml:space="preserve">, </w:t>
      </w:r>
      <w:r w:rsidRPr="003309A0">
        <w:rPr>
          <w:rFonts w:ascii="NewsGotT" w:hAnsi="NewsGotT"/>
          <w:i/>
          <w:iCs/>
          <w:noProof/>
        </w:rPr>
        <w:t>54</w:t>
      </w:r>
      <w:r w:rsidRPr="003309A0">
        <w:rPr>
          <w:rFonts w:ascii="NewsGotT" w:hAnsi="NewsGotT"/>
          <w:noProof/>
        </w:rPr>
        <w:t>(6), B239–B246. https://doi.org/10.1093/gerona/54.6.B239</w:t>
      </w:r>
    </w:p>
    <w:p w14:paraId="7BEDF8A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Fonseca, C., Brito, D., Cernadas, R., Ferreira, J., Franco, F., Rodrigues, T., … Silva Cardoso, J. (2017). Pela melhoria do tratamento da insuficiência cardíaca em Portugal – documento de consenso. </w:t>
      </w:r>
      <w:r w:rsidRPr="003309A0">
        <w:rPr>
          <w:rFonts w:ascii="NewsGotT" w:hAnsi="NewsGotT"/>
          <w:i/>
          <w:iCs/>
          <w:noProof/>
        </w:rPr>
        <w:t>Revista Portuguesa de Cardiologia</w:t>
      </w:r>
      <w:r w:rsidRPr="003309A0">
        <w:rPr>
          <w:rFonts w:ascii="NewsGotT" w:hAnsi="NewsGotT"/>
          <w:noProof/>
        </w:rPr>
        <w:t xml:space="preserve">, </w:t>
      </w:r>
      <w:r w:rsidRPr="003309A0">
        <w:rPr>
          <w:rFonts w:ascii="NewsGotT" w:hAnsi="NewsGotT"/>
          <w:i/>
          <w:iCs/>
          <w:noProof/>
        </w:rPr>
        <w:t>36</w:t>
      </w:r>
      <w:r w:rsidRPr="003309A0">
        <w:rPr>
          <w:rFonts w:ascii="NewsGotT" w:hAnsi="NewsGotT"/>
          <w:noProof/>
        </w:rPr>
        <w:t>(1), 1–8. https://doi.org/10.1016/j.repc.2016.10.006</w:t>
      </w:r>
    </w:p>
    <w:p w14:paraId="7369B12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Francis, J. (1996). Drug-Induced Delirium</w:t>
      </w:r>
      <w:r w:rsidRPr="003309A0">
        <w:rPr>
          <w:noProof/>
        </w:rPr>
        <w:t> </w:t>
      </w:r>
      <w:r w:rsidRPr="003309A0">
        <w:rPr>
          <w:rFonts w:ascii="NewsGotT" w:hAnsi="NewsGotT"/>
          <w:noProof/>
        </w:rPr>
        <w:t xml:space="preserve">: Diagnosis and treatment. </w:t>
      </w:r>
      <w:r w:rsidRPr="003309A0">
        <w:rPr>
          <w:rFonts w:ascii="NewsGotT" w:hAnsi="NewsGotT"/>
          <w:i/>
          <w:iCs/>
          <w:noProof/>
        </w:rPr>
        <w:t>CNS Drugs</w:t>
      </w:r>
      <w:r w:rsidRPr="003309A0">
        <w:rPr>
          <w:rFonts w:ascii="NewsGotT" w:hAnsi="NewsGotT"/>
          <w:noProof/>
        </w:rPr>
        <w:t xml:space="preserve">, </w:t>
      </w:r>
      <w:r w:rsidRPr="003309A0">
        <w:rPr>
          <w:rFonts w:ascii="NewsGotT" w:hAnsi="NewsGotT"/>
          <w:i/>
          <w:iCs/>
          <w:noProof/>
        </w:rPr>
        <w:t>5</w:t>
      </w:r>
      <w:r w:rsidRPr="003309A0">
        <w:rPr>
          <w:rFonts w:ascii="NewsGotT" w:hAnsi="NewsGotT"/>
          <w:noProof/>
        </w:rPr>
        <w:t>(2), 103–114.</w:t>
      </w:r>
    </w:p>
    <w:p w14:paraId="38BD34B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Frederick, A. L., &amp; Stanwood, G. D. (2009). Drugs, biogenic amine targets and the developing brain. </w:t>
      </w:r>
      <w:r w:rsidRPr="003309A0">
        <w:rPr>
          <w:rFonts w:ascii="NewsGotT" w:hAnsi="NewsGotT"/>
          <w:i/>
          <w:iCs/>
          <w:noProof/>
        </w:rPr>
        <w:t>Developmental Neuroscience</w:t>
      </w:r>
      <w:r w:rsidRPr="003309A0">
        <w:rPr>
          <w:rFonts w:ascii="NewsGotT" w:hAnsi="NewsGotT"/>
          <w:noProof/>
        </w:rPr>
        <w:t xml:space="preserve">, </w:t>
      </w:r>
      <w:r w:rsidRPr="003309A0">
        <w:rPr>
          <w:rFonts w:ascii="NewsGotT" w:hAnsi="NewsGotT"/>
          <w:i/>
          <w:iCs/>
          <w:noProof/>
        </w:rPr>
        <w:t>31</w:t>
      </w:r>
      <w:r w:rsidRPr="003309A0">
        <w:rPr>
          <w:rFonts w:ascii="NewsGotT" w:hAnsi="NewsGotT"/>
          <w:noProof/>
        </w:rPr>
        <w:t>(1–2), 7–22. https://doi.org/10.1159/000207490</w:t>
      </w:r>
    </w:p>
    <w:p w14:paraId="4D9B9EA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Friedman, J. H. (2002). Stochastic gradient boosting. </w:t>
      </w:r>
      <w:r w:rsidRPr="003309A0">
        <w:rPr>
          <w:rFonts w:ascii="NewsGotT" w:hAnsi="NewsGotT"/>
          <w:i/>
          <w:iCs/>
          <w:noProof/>
        </w:rPr>
        <w:t>Computational Statistics and Data Analysis</w:t>
      </w:r>
      <w:r w:rsidRPr="003309A0">
        <w:rPr>
          <w:rFonts w:ascii="NewsGotT" w:hAnsi="NewsGotT"/>
          <w:noProof/>
        </w:rPr>
        <w:t xml:space="preserve">, </w:t>
      </w:r>
      <w:r w:rsidRPr="003309A0">
        <w:rPr>
          <w:rFonts w:ascii="NewsGotT" w:hAnsi="NewsGotT"/>
          <w:i/>
          <w:iCs/>
          <w:noProof/>
        </w:rPr>
        <w:t>38</w:t>
      </w:r>
      <w:r w:rsidRPr="003309A0">
        <w:rPr>
          <w:rFonts w:ascii="NewsGotT" w:hAnsi="NewsGotT"/>
          <w:noProof/>
        </w:rPr>
        <w:t>(4), 367–378. https://doi.org/10.1016/S0167-9473(01)00065-2</w:t>
      </w:r>
    </w:p>
    <w:p w14:paraId="66224E8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Furtado, C. (2013). </w:t>
      </w:r>
      <w:r w:rsidRPr="003309A0">
        <w:rPr>
          <w:rFonts w:ascii="NewsGotT" w:hAnsi="NewsGotT"/>
          <w:i/>
          <w:iCs/>
          <w:noProof/>
        </w:rPr>
        <w:t>Psicofármacos: Evolução do consumo em Portugal Continental (2000 – 2012)</w:t>
      </w:r>
      <w:r w:rsidRPr="003309A0">
        <w:rPr>
          <w:rFonts w:ascii="NewsGotT" w:hAnsi="NewsGotT"/>
          <w:noProof/>
        </w:rPr>
        <w:t>. Retrieved from https://www.infarmed.pt/documents/15786/17838/psicofarmacos_relatorio2013+%281%29.pdf/3e52568f-7f90-47c8-9903-d128395c73e5</w:t>
      </w:r>
    </w:p>
    <w:p w14:paraId="4D2B4D0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Gaudreau, J. D., Gagnon, P., Harel, F., Roy, M. A., &amp; Tremblay, A. (2005). Psychoactive medications and risk of delirium in hospitalized cancer patients. </w:t>
      </w:r>
      <w:r w:rsidRPr="003309A0">
        <w:rPr>
          <w:rFonts w:ascii="NewsGotT" w:hAnsi="NewsGotT"/>
          <w:i/>
          <w:iCs/>
          <w:noProof/>
        </w:rPr>
        <w:t>Journal of Clinical Oncology</w:t>
      </w:r>
      <w:r w:rsidRPr="003309A0">
        <w:rPr>
          <w:rFonts w:ascii="NewsGotT" w:hAnsi="NewsGotT"/>
          <w:noProof/>
        </w:rPr>
        <w:t xml:space="preserve">, </w:t>
      </w:r>
      <w:r w:rsidRPr="003309A0">
        <w:rPr>
          <w:rFonts w:ascii="NewsGotT" w:hAnsi="NewsGotT"/>
          <w:i/>
          <w:iCs/>
          <w:noProof/>
        </w:rPr>
        <w:t>23</w:t>
      </w:r>
      <w:r w:rsidRPr="003309A0">
        <w:rPr>
          <w:rFonts w:ascii="NewsGotT" w:hAnsi="NewsGotT"/>
          <w:noProof/>
        </w:rPr>
        <w:t>(27), 6712–6718. https://doi.org/10.1200/JCO.2005.05.140</w:t>
      </w:r>
    </w:p>
    <w:p w14:paraId="1138254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Gross, A. L., Jones, R. N., Habtemariam, D. A., Fong, T. G., Tommet, D., Quach, L., … Inouye, S. K. (2012). Delirium and long-term cognitive trajectory among persons with dementia. </w:t>
      </w:r>
      <w:r w:rsidRPr="003309A0">
        <w:rPr>
          <w:rFonts w:ascii="NewsGotT" w:hAnsi="NewsGotT"/>
          <w:i/>
          <w:iCs/>
          <w:noProof/>
        </w:rPr>
        <w:t>Archives of Internal Medicine</w:t>
      </w:r>
      <w:r w:rsidRPr="003309A0">
        <w:rPr>
          <w:rFonts w:ascii="NewsGotT" w:hAnsi="NewsGotT"/>
          <w:noProof/>
        </w:rPr>
        <w:t xml:space="preserve">, </w:t>
      </w:r>
      <w:r w:rsidRPr="003309A0">
        <w:rPr>
          <w:rFonts w:ascii="NewsGotT" w:hAnsi="NewsGotT"/>
          <w:i/>
          <w:iCs/>
          <w:noProof/>
        </w:rPr>
        <w:t>172</w:t>
      </w:r>
      <w:r w:rsidRPr="003309A0">
        <w:rPr>
          <w:rFonts w:ascii="NewsGotT" w:hAnsi="NewsGotT"/>
          <w:noProof/>
        </w:rPr>
        <w:t>(17), 1324–1331. https://doi.org/10.1001/archinternmed.2012.3203</w:t>
      </w:r>
    </w:p>
    <w:p w14:paraId="31F9B1D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Han, J. H., Eden, S., Shintani, A., Morandi, A., Schnelle, J., Dittus, R. S., … Ely, E. W. (2011). Delirium in older emergency department patients is an independent predictor of hospital length of stay. </w:t>
      </w:r>
      <w:r w:rsidRPr="003309A0">
        <w:rPr>
          <w:rFonts w:ascii="NewsGotT" w:hAnsi="NewsGotT"/>
          <w:i/>
          <w:iCs/>
          <w:noProof/>
        </w:rPr>
        <w:t>Academic Emergency Medicine</w:t>
      </w:r>
      <w:r w:rsidRPr="003309A0">
        <w:rPr>
          <w:rFonts w:ascii="NewsGotT" w:hAnsi="NewsGotT"/>
          <w:noProof/>
        </w:rPr>
        <w:t xml:space="preserve">, </w:t>
      </w:r>
      <w:r w:rsidRPr="003309A0">
        <w:rPr>
          <w:rFonts w:ascii="NewsGotT" w:hAnsi="NewsGotT"/>
          <w:i/>
          <w:iCs/>
          <w:noProof/>
        </w:rPr>
        <w:t>18</w:t>
      </w:r>
      <w:r w:rsidRPr="003309A0">
        <w:rPr>
          <w:rFonts w:ascii="NewsGotT" w:hAnsi="NewsGotT"/>
          <w:noProof/>
        </w:rPr>
        <w:t>(5), 451–457. https://doi.org/10.1111/j.1553-2712.2011.01065.x</w:t>
      </w:r>
    </w:p>
    <w:p w14:paraId="5328315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Han, J., Kamber, M., &amp; Pei, J. (2012). </w:t>
      </w:r>
      <w:r w:rsidRPr="003309A0">
        <w:rPr>
          <w:rFonts w:ascii="NewsGotT" w:hAnsi="NewsGotT"/>
          <w:i/>
          <w:iCs/>
          <w:noProof/>
        </w:rPr>
        <w:t>Data mining: Concepts and Techniques</w:t>
      </w:r>
      <w:r w:rsidRPr="003309A0">
        <w:rPr>
          <w:rFonts w:ascii="NewsGotT" w:hAnsi="NewsGotT"/>
          <w:noProof/>
        </w:rPr>
        <w:t xml:space="preserve">. </w:t>
      </w:r>
      <w:r w:rsidRPr="003309A0">
        <w:rPr>
          <w:rFonts w:ascii="NewsGotT" w:hAnsi="NewsGotT"/>
          <w:i/>
          <w:iCs/>
          <w:noProof/>
        </w:rPr>
        <w:t>Elsevier</w:t>
      </w:r>
      <w:r w:rsidRPr="003309A0">
        <w:rPr>
          <w:rFonts w:ascii="NewsGotT" w:hAnsi="NewsGotT"/>
          <w:noProof/>
        </w:rPr>
        <w:t>. Morgan Kaufmann.</w:t>
      </w:r>
    </w:p>
    <w:p w14:paraId="47F8AA5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Harrison, P., Cowen, P., Burns, T., &amp; Fazel, M. (2018). </w:t>
      </w:r>
      <w:r w:rsidRPr="003309A0">
        <w:rPr>
          <w:rFonts w:ascii="NewsGotT" w:hAnsi="NewsGotT"/>
          <w:i/>
          <w:iCs/>
          <w:noProof/>
        </w:rPr>
        <w:t>Shorter Oxford Textbook of Psychiatry</w:t>
      </w:r>
      <w:r w:rsidRPr="003309A0">
        <w:rPr>
          <w:rFonts w:ascii="NewsGotT" w:hAnsi="NewsGotT"/>
          <w:noProof/>
        </w:rPr>
        <w:t xml:space="preserve"> (seventh). Oxford: Oxford University Press.</w:t>
      </w:r>
    </w:p>
    <w:p w14:paraId="29ABDB7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lastRenderedPageBreak/>
        <w:t xml:space="preserve">Hatano, Y., Narumoto, J., Shibata, K., Matsuoka, T., Taniguchi, S., Hata, Y., … Fukui, K. (2013). White-matter hyperintensities predict delirium after cardiac surgery. </w:t>
      </w:r>
      <w:r w:rsidRPr="003309A0">
        <w:rPr>
          <w:rFonts w:ascii="NewsGotT" w:hAnsi="NewsGotT"/>
          <w:i/>
          <w:iCs/>
          <w:noProof/>
        </w:rPr>
        <w:t>American Journal of Geriatric Psychiatry</w:t>
      </w:r>
      <w:r w:rsidRPr="003309A0">
        <w:rPr>
          <w:rFonts w:ascii="NewsGotT" w:hAnsi="NewsGotT"/>
          <w:noProof/>
        </w:rPr>
        <w:t xml:space="preserve">, </w:t>
      </w:r>
      <w:r w:rsidRPr="003309A0">
        <w:rPr>
          <w:rFonts w:ascii="NewsGotT" w:hAnsi="NewsGotT"/>
          <w:i/>
          <w:iCs/>
          <w:noProof/>
        </w:rPr>
        <w:t>21</w:t>
      </w:r>
      <w:r w:rsidRPr="003309A0">
        <w:rPr>
          <w:rFonts w:ascii="NewsGotT" w:hAnsi="NewsGotT"/>
          <w:noProof/>
        </w:rPr>
        <w:t>(10), 938–945. https://doi.org/10.1016/j.jagp.2013.01.061</w:t>
      </w:r>
    </w:p>
    <w:p w14:paraId="410F5AD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Haykin, S. (2009). </w:t>
      </w:r>
      <w:r w:rsidRPr="003309A0">
        <w:rPr>
          <w:rFonts w:ascii="NewsGotT" w:hAnsi="NewsGotT"/>
          <w:i/>
          <w:iCs/>
          <w:noProof/>
        </w:rPr>
        <w:t>Neural Networks and Learning Machines</w:t>
      </w:r>
      <w:r w:rsidRPr="003309A0">
        <w:rPr>
          <w:rFonts w:ascii="NewsGotT" w:hAnsi="NewsGotT"/>
          <w:noProof/>
        </w:rPr>
        <w:t xml:space="preserve"> (3rd ed., Vol. 1–3). New Jersey: Pearson.</w:t>
      </w:r>
    </w:p>
    <w:p w14:paraId="051CD88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Hosker, C., &amp; Ward, D. (2017). Hypoactive delirium. </w:t>
      </w:r>
      <w:r w:rsidRPr="003309A0">
        <w:rPr>
          <w:rFonts w:ascii="NewsGotT" w:hAnsi="NewsGotT"/>
          <w:i/>
          <w:iCs/>
          <w:noProof/>
        </w:rPr>
        <w:t>BMJ</w:t>
      </w:r>
      <w:r w:rsidRPr="003309A0">
        <w:rPr>
          <w:rFonts w:ascii="NewsGotT" w:hAnsi="NewsGotT"/>
          <w:noProof/>
        </w:rPr>
        <w:t xml:space="preserve">, </w:t>
      </w:r>
      <w:r w:rsidRPr="003309A0">
        <w:rPr>
          <w:rFonts w:ascii="NewsGotT" w:hAnsi="NewsGotT"/>
          <w:i/>
          <w:iCs/>
          <w:noProof/>
        </w:rPr>
        <w:t>357</w:t>
      </w:r>
      <w:r w:rsidRPr="003309A0">
        <w:rPr>
          <w:rFonts w:ascii="NewsGotT" w:hAnsi="NewsGotT"/>
          <w:noProof/>
        </w:rPr>
        <w:t>. https://doi.org/10.1136/bmj.j2047</w:t>
      </w:r>
    </w:p>
    <w:p w14:paraId="3EAC690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Hosmer, D. W., Lemeshow, S., &amp; Sturdivant, R. X. (2013). </w:t>
      </w:r>
      <w:r w:rsidRPr="003309A0">
        <w:rPr>
          <w:rFonts w:ascii="NewsGotT" w:hAnsi="NewsGotT"/>
          <w:i/>
          <w:iCs/>
          <w:noProof/>
        </w:rPr>
        <w:t>Applied Logistic Regression.</w:t>
      </w:r>
      <w:r w:rsidRPr="003309A0">
        <w:rPr>
          <w:rFonts w:ascii="NewsGotT" w:hAnsi="NewsGotT"/>
          <w:noProof/>
        </w:rPr>
        <w:t xml:space="preserve"> </w:t>
      </w:r>
      <w:r w:rsidRPr="003309A0">
        <w:rPr>
          <w:rFonts w:ascii="NewsGotT" w:hAnsi="NewsGotT"/>
          <w:i/>
          <w:iCs/>
          <w:noProof/>
        </w:rPr>
        <w:t>Wiley Series in Probability and Statistics</w:t>
      </w:r>
      <w:r w:rsidRPr="003309A0">
        <w:rPr>
          <w:rFonts w:ascii="NewsGotT" w:hAnsi="NewsGotT"/>
          <w:noProof/>
        </w:rPr>
        <w:t>.</w:t>
      </w:r>
    </w:p>
    <w:p w14:paraId="7745CFD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Hshieh, T. T., Fong, T. G., Marcantonio, E. R., &amp; Inouye, S. K. (2008). Cholinergic Deficiency Hypothesis in Delirium: A Synthesis of Current Evidence. </w:t>
      </w:r>
      <w:r w:rsidRPr="003309A0">
        <w:rPr>
          <w:rFonts w:ascii="NewsGotT" w:hAnsi="NewsGotT"/>
          <w:i/>
          <w:iCs/>
          <w:noProof/>
        </w:rPr>
        <w:t>The Journals of Gerontology Series A: Biological Sciences and Medical Sciences</w:t>
      </w:r>
      <w:r w:rsidRPr="003309A0">
        <w:rPr>
          <w:rFonts w:ascii="NewsGotT" w:hAnsi="NewsGotT"/>
          <w:noProof/>
        </w:rPr>
        <w:t xml:space="preserve">, </w:t>
      </w:r>
      <w:r w:rsidRPr="003309A0">
        <w:rPr>
          <w:rFonts w:ascii="NewsGotT" w:hAnsi="NewsGotT"/>
          <w:i/>
          <w:iCs/>
          <w:noProof/>
        </w:rPr>
        <w:t>63</w:t>
      </w:r>
      <w:r w:rsidRPr="003309A0">
        <w:rPr>
          <w:rFonts w:ascii="NewsGotT" w:hAnsi="NewsGotT"/>
          <w:noProof/>
        </w:rPr>
        <w:t>(7), 764–772. https://doi.org/10.1093/gerona/63.7.764</w:t>
      </w:r>
    </w:p>
    <w:p w14:paraId="4C42471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Hurwitz, J., &amp; Kirsch, D. (2018). </w:t>
      </w:r>
      <w:r w:rsidRPr="003309A0">
        <w:rPr>
          <w:rFonts w:ascii="NewsGotT" w:hAnsi="NewsGotT"/>
          <w:i/>
          <w:iCs/>
          <w:noProof/>
        </w:rPr>
        <w:t>Machine learning</w:t>
      </w:r>
      <w:r w:rsidRPr="003309A0">
        <w:rPr>
          <w:rFonts w:ascii="NewsGotT" w:hAnsi="NewsGotT"/>
          <w:noProof/>
        </w:rPr>
        <w:t>. John Wiley &amp; Sons Inc.</w:t>
      </w:r>
    </w:p>
    <w:p w14:paraId="25ADFFD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Immers, H. E. M., Schuurmans, M. J., &amp; Van De Bijl, J. J. (2005). Recognition of delirium in ICU patients: A diagnostic study of the NEECHAM confusion scale in ICU patients. </w:t>
      </w:r>
      <w:r w:rsidRPr="003309A0">
        <w:rPr>
          <w:rFonts w:ascii="NewsGotT" w:hAnsi="NewsGotT"/>
          <w:i/>
          <w:iCs/>
          <w:noProof/>
        </w:rPr>
        <w:t>BMC Nursing</w:t>
      </w:r>
      <w:r w:rsidRPr="003309A0">
        <w:rPr>
          <w:rFonts w:ascii="NewsGotT" w:hAnsi="NewsGotT"/>
          <w:noProof/>
        </w:rPr>
        <w:t xml:space="preserve">, </w:t>
      </w:r>
      <w:r w:rsidRPr="003309A0">
        <w:rPr>
          <w:rFonts w:ascii="NewsGotT" w:hAnsi="NewsGotT"/>
          <w:i/>
          <w:iCs/>
          <w:noProof/>
        </w:rPr>
        <w:t>4</w:t>
      </w:r>
      <w:r w:rsidRPr="003309A0">
        <w:rPr>
          <w:rFonts w:ascii="NewsGotT" w:hAnsi="NewsGotT"/>
          <w:noProof/>
        </w:rPr>
        <w:t>(1). https://doi.org/10.1186/1472-6955-4-7</w:t>
      </w:r>
    </w:p>
    <w:p w14:paraId="1F3BD33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Infarmed. (2002). </w:t>
      </w:r>
      <w:r w:rsidRPr="003309A0">
        <w:rPr>
          <w:rFonts w:ascii="NewsGotT" w:hAnsi="NewsGotT"/>
          <w:i/>
          <w:iCs/>
          <w:noProof/>
        </w:rPr>
        <w:t>Evolução do consumo de antidepressivos em Portugal continental de 1995 a 2001: impacto das medidas reguladoras</w:t>
      </w:r>
      <w:r w:rsidRPr="003309A0">
        <w:rPr>
          <w:rFonts w:ascii="NewsGotT" w:hAnsi="NewsGotT"/>
          <w:noProof/>
        </w:rPr>
        <w:t xml:space="preserve">. </w:t>
      </w:r>
      <w:r w:rsidRPr="003309A0">
        <w:rPr>
          <w:rFonts w:ascii="NewsGotT" w:hAnsi="NewsGotT"/>
          <w:i/>
          <w:iCs/>
          <w:noProof/>
        </w:rPr>
        <w:t>Observatório dos Medicamentos e Produtos de Saúde - Infarmed</w:t>
      </w:r>
      <w:r w:rsidRPr="003309A0">
        <w:rPr>
          <w:rFonts w:ascii="NewsGotT" w:hAnsi="NewsGotT"/>
          <w:noProof/>
        </w:rPr>
        <w:t>. Retrieved from http://www.infarmed.pt/web/infarmed/profissionais-de-saude/utilizacao-e-despesa/estudos-medicamentos-por-grupo-terapeutico</w:t>
      </w:r>
    </w:p>
    <w:p w14:paraId="55219F3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Infarmed. (2010). </w:t>
      </w:r>
      <w:r w:rsidRPr="003309A0">
        <w:rPr>
          <w:rFonts w:ascii="NewsGotT" w:hAnsi="NewsGotT"/>
          <w:i/>
          <w:iCs/>
          <w:noProof/>
        </w:rPr>
        <w:t>Prontuário Terapêutico - 9</w:t>
      </w:r>
      <w:r w:rsidRPr="003309A0">
        <w:rPr>
          <w:rFonts w:ascii="NewsGotT" w:hAnsi="NewsGotT"/>
          <w:noProof/>
        </w:rPr>
        <w:t>. (I. de S. INFARMED - Autoridade Nacional do Medicamento e Produtos de Saúde, Ed.).</w:t>
      </w:r>
    </w:p>
    <w:p w14:paraId="05E7005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(2014). RESUMO DAS CARACTERISTICAS DO MEDICAMENTO: Diazepam. Retrieved July 21, 2021, from https://extranet.infarmed.pt/INFOMED-fo/pesquisa-avancada.xhtml</w:t>
      </w:r>
    </w:p>
    <w:p w14:paraId="0A03E16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(2018a). Resumo das características do medicamento: Quetiapina. Retrieved from https://extranet.infarmed.pt/INFOMED-fo/pesquisa-avancada.xhtml</w:t>
      </w:r>
    </w:p>
    <w:p w14:paraId="51EA9B7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(2018b). Resumo das características do medicamento: Tramadol. Infarmed. Retrieved from https://extranet.infarmed.pt/INFOMED-fo/pesquisa-avancada.xhtml</w:t>
      </w:r>
    </w:p>
    <w:p w14:paraId="305BBBF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Infarmed. (2019). Resumo das características do medicamento: Amitriptilina. </w:t>
      </w:r>
      <w:r w:rsidRPr="003309A0">
        <w:rPr>
          <w:rFonts w:ascii="NewsGotT" w:hAnsi="NewsGotT"/>
          <w:i/>
          <w:iCs/>
          <w:noProof/>
        </w:rPr>
        <w:t>Infarmed</w:t>
      </w:r>
      <w:r w:rsidRPr="003309A0">
        <w:rPr>
          <w:rFonts w:ascii="NewsGotT" w:hAnsi="NewsGotT"/>
          <w:noProof/>
        </w:rPr>
        <w:t>. Retrieved from https://extranet.infarmed.pt/INFOMED-fo/pesquisa-avancada.xhtml</w:t>
      </w:r>
    </w:p>
    <w:p w14:paraId="4A45C28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(2020a). RESUMO DAS CARACTERÍSTICAS DO MEDICAMENTO</w:t>
      </w:r>
      <w:r w:rsidRPr="003309A0">
        <w:rPr>
          <w:noProof/>
        </w:rPr>
        <w:t> </w:t>
      </w:r>
      <w:r w:rsidRPr="003309A0">
        <w:rPr>
          <w:rFonts w:ascii="NewsGotT" w:hAnsi="NewsGotT"/>
          <w:noProof/>
        </w:rPr>
        <w:t>: Escitalopram. Retrieved October 22, 2021, from https://extranet.infarmed.pt/INFOMED-fo/pesquisa-avancada.xhtml</w:t>
      </w:r>
    </w:p>
    <w:p w14:paraId="714379F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(2020b). Resumo das características do medicamento: Haloperidol. Retrieved from https://extranet.infarmed.pt/INFOMED-fo/pesquisa-avancada.xhtml</w:t>
      </w:r>
    </w:p>
    <w:p w14:paraId="44AA23C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(2020c). Resumo das características do medicamento: Morfina. Infarmed. Retrieved from https://extranet.infarmed.pt/INFOMED-fo/pesquisa-avancada.xhtml</w:t>
      </w:r>
    </w:p>
    <w:p w14:paraId="4E2ACA9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(2020d). Resumo das características do medicamento: Sertralina. Infarmed. Retrieved from https://extranet.infarmed.pt/INFOMED-fo/pesquisa-avancada.xhtml</w:t>
      </w:r>
    </w:p>
    <w:p w14:paraId="5AAA685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(2020e). Resumo das características do medicamento: Trazodona. Infarmed.</w:t>
      </w:r>
    </w:p>
    <w:p w14:paraId="5671532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(2021a). RESUMO DAS CARACTERÍSTICAS DO MEDICAMENTO: Citalopram. Infarmed. Retrieved from https://extranet.infarmed.pt/INFOMED-fo/pesquisa-avancada.xhtml</w:t>
      </w:r>
    </w:p>
    <w:p w14:paraId="5490DE6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(2021b). Resumo das características do medicamento: Fluoxetina.</w:t>
      </w:r>
    </w:p>
    <w:p w14:paraId="54B2102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(2021c). Resumo das características do medicamento: Fluvoxamina. Retrieved from https://extranet.infarmed.pt/INFOMED-fo/pesquisa-avancada.xhtml</w:t>
      </w:r>
    </w:p>
    <w:p w14:paraId="4E2395F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(2021d). Resumo das características do medicamento: Paroxetina. Infarmed. Retrieved from https://extranet.infarmed.pt/INFOMED-fo/pesquisa-avancada.xhtml</w:t>
      </w:r>
    </w:p>
    <w:p w14:paraId="463D1C1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(2021e). Resumo das características do medicamento: Risperidona. Retrieved from https://extranet.infarmed.pt/INFOMED-fo/pesquisa-avancada.xhtml</w:t>
      </w:r>
    </w:p>
    <w:p w14:paraId="316B85C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Infarmed. (2021f). Resumo das características do medicamento: Venlafaxina. Infarmed. Retrieved from </w:t>
      </w:r>
      <w:r w:rsidRPr="003309A0">
        <w:rPr>
          <w:rFonts w:ascii="NewsGotT" w:hAnsi="NewsGotT"/>
          <w:noProof/>
        </w:rPr>
        <w:lastRenderedPageBreak/>
        <w:t>https://extranet.infarmed.pt/INFOMED-fo/pesquisa-avancada.xhtml</w:t>
      </w:r>
    </w:p>
    <w:p w14:paraId="04F7306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(2016a). Resumo das características do medicamento: Varfarina. Retrieved from http://app7.infarmed.pt/infomed/download_ficheiro.php?med_id=9007&amp;tipo_doc=rcm</w:t>
      </w:r>
    </w:p>
    <w:p w14:paraId="1A09B45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(2020a). Resumo das características do medicamento: Dipiridamol. Retrieved from https://extranet.infarmed.pt/INFOMED-fo/pesquisa-avancada.xhtml</w:t>
      </w:r>
    </w:p>
    <w:p w14:paraId="0158594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INFARMED - Direção de informação e Planeamento Estratégico. (2017). </w:t>
      </w:r>
      <w:r w:rsidRPr="003309A0">
        <w:rPr>
          <w:rFonts w:ascii="NewsGotT" w:hAnsi="NewsGotT"/>
          <w:i/>
          <w:iCs/>
          <w:noProof/>
        </w:rPr>
        <w:t>Utlilização de Benzodiazepinas e análogos</w:t>
      </w:r>
      <w:r w:rsidRPr="003309A0">
        <w:rPr>
          <w:rFonts w:ascii="NewsGotT" w:hAnsi="NewsGotT"/>
          <w:noProof/>
        </w:rPr>
        <w:t>. Retrieved from https://www.infarmed.pt/documents/15786/2219894/Utlilização+de+Benzodiazepinas+e+análogos/adb100fa-4a77-4eb7-9e67-99229e13154f</w:t>
      </w:r>
    </w:p>
    <w:p w14:paraId="3565D34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(2009). Resumo das características do medicamento: Tri-hexifenidilo.</w:t>
      </w:r>
    </w:p>
    <w:p w14:paraId="1E68415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(2011). Resumo das Características do Medicamento: Digoxina. Retrieved from http://www.infarmed.pt/infomed/download_ficheiro.php?med_id=4892&amp;tipo_doc=rcm</w:t>
      </w:r>
    </w:p>
    <w:p w14:paraId="20A04C8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(2016b). Resumo das características do medicamento: Furosemida.</w:t>
      </w:r>
    </w:p>
    <w:p w14:paraId="40A586C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(2017). Resumo das características do medicamento: Codeína. Retrieved from https://extranet.infarmed.pt/INFOMED-fo/detalhes-medicamento.xhtml</w:t>
      </w:r>
    </w:p>
    <w:p w14:paraId="29314E8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(2018a). Aprovado em 26-07-2018 infarmed. Retrieved from https://extranet.infarmed.pt/INFOMED-fo/pesquisa-avancada.xhtml</w:t>
      </w:r>
    </w:p>
    <w:p w14:paraId="639F3629"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(2018b). Resumo das características do medicamento: Captopril, 20. Retrieved from https://extranet.infarmed.pt/INFOMED-fo/pesquisa-avancada.xhtml</w:t>
      </w:r>
    </w:p>
    <w:p w14:paraId="6DEDB2E9"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(2018c). Resumo das Características do Medicamento: Sinvastatina.</w:t>
      </w:r>
    </w:p>
    <w:p w14:paraId="52F583B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(2019a). Resumo das características do medicamento: Clonidina. Retrieved from https://extranet.infarmed.pt/INFOMED-fo/pesquisa-avancada.xhtml</w:t>
      </w:r>
    </w:p>
    <w:p w14:paraId="2FC9D84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(2019b). Resumo das características do medicamento: Rosuvastatina. Retrieved from https://extranet.infarmed.pt/INFOMED-fo/pesquisa-avancada.xhtml</w:t>
      </w:r>
    </w:p>
    <w:p w14:paraId="6D7AA70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(2020b). Resumo das Características do Medicamento: Brometo de Butilescopolamina. Retrieved from https://extranet.infarmed.pt/INFOMED-fo/pesquisa-avancada.xhtml</w:t>
      </w:r>
    </w:p>
    <w:p w14:paraId="1566C13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(2020c). Resumo das características do medicamento: Desloratadina. Retrieved from https://extranet.infarmed.pt/INFOMED-fo/pesquisa-avancada.xhtml</w:t>
      </w:r>
    </w:p>
    <w:p w14:paraId="220E1BD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(2020d). Resumo das características do medicamento: Fluvastatina. Retrieved from https://extranet.infarmed.pt/INFOMED-fo/pesquisa-avancada.xhtml</w:t>
      </w:r>
    </w:p>
    <w:p w14:paraId="124ED2F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(2020e). Resumo das características do medicamento: Hidrocortisona.</w:t>
      </w:r>
    </w:p>
    <w:p w14:paraId="74FEEDC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(2020f). Resumo das características do medicamento: Hidroxizina. Retrieved from https://extranet.infarmed.pt/INFOMED-fo/pesquisa-avancada.xhtml</w:t>
      </w:r>
    </w:p>
    <w:p w14:paraId="72F47B5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(2020g). Resumo das características do medicamento: Prednisolona. Retrieved from https://extranet.infarmed.pt/INFOMED-fo/pesquisa-avancada.xhtml</w:t>
      </w:r>
    </w:p>
    <w:p w14:paraId="282C1A9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(2021a). Resumo das características do medicamento: Atorvastatina. Retrieved from https://extranet.infarmed.pt/INFOMED-fo/pesquisa-avancada.xhtml</w:t>
      </w:r>
    </w:p>
    <w:p w14:paraId="3F03C01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(2021b). Resumo das características do medicamento: Nifedipina. Retrieved from https://extranet.infarmed.pt/INFOMED-fo/pesquisa-avancada.xhtml</w:t>
      </w:r>
    </w:p>
    <w:p w14:paraId="0DECC13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INFARMED, A. N. do M. e P. de S. (2021c). Resumo das características do medicamento: Tróspio. Retrieved from https://extranet.infarmed.pt/INFOMED-fo/pesquisa-avancada.xhtml</w:t>
      </w:r>
    </w:p>
    <w:p w14:paraId="4EBC4D4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INFARMED, A. N. do M. e P. de S., &amp; DGRM, D. de G. do R. de M. (2018). Resumo das características </w:t>
      </w:r>
      <w:r w:rsidRPr="003309A0">
        <w:rPr>
          <w:rFonts w:ascii="NewsGotT" w:hAnsi="NewsGotT"/>
          <w:noProof/>
        </w:rPr>
        <w:lastRenderedPageBreak/>
        <w:t>do medicamento: Ranitidina.</w:t>
      </w:r>
    </w:p>
    <w:p w14:paraId="28EDFD9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INFARMED, A. N. do M. e P. de S., &amp; Ministério da Saúde, I. (2012). </w:t>
      </w:r>
      <w:r w:rsidRPr="003309A0">
        <w:rPr>
          <w:rFonts w:ascii="NewsGotT" w:hAnsi="NewsGotT"/>
          <w:i/>
          <w:iCs/>
          <w:noProof/>
        </w:rPr>
        <w:t>Prontuário Terapêutico - 11</w:t>
      </w:r>
      <w:r w:rsidRPr="003309A0">
        <w:rPr>
          <w:rFonts w:ascii="NewsGotT" w:hAnsi="NewsGotT"/>
          <w:noProof/>
        </w:rPr>
        <w:t>. (I. P. / M. de S. INFARMED – Autoridade Nacional do Medicamento e Produtos de Saúde, Ed.) (Caramona,).</w:t>
      </w:r>
    </w:p>
    <w:p w14:paraId="4D25ED9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Inouye, S. K., Van Dyck, C. H., Alessi, C. A., Balkin, S., Siegal, A. P., &amp; Horwitz, R. I. (1990). Clarifying confusion: The confusion assessment method: A new method for detection of delirium. </w:t>
      </w:r>
      <w:r w:rsidRPr="003309A0">
        <w:rPr>
          <w:rFonts w:ascii="NewsGotT" w:hAnsi="NewsGotT"/>
          <w:i/>
          <w:iCs/>
          <w:noProof/>
        </w:rPr>
        <w:t>Annals of Internal Medicine</w:t>
      </w:r>
      <w:r w:rsidRPr="003309A0">
        <w:rPr>
          <w:rFonts w:ascii="NewsGotT" w:hAnsi="NewsGotT"/>
          <w:noProof/>
        </w:rPr>
        <w:t xml:space="preserve">, </w:t>
      </w:r>
      <w:r w:rsidRPr="003309A0">
        <w:rPr>
          <w:rFonts w:ascii="NewsGotT" w:hAnsi="NewsGotT"/>
          <w:i/>
          <w:iCs/>
          <w:noProof/>
        </w:rPr>
        <w:t>113</w:t>
      </w:r>
      <w:r w:rsidRPr="003309A0">
        <w:rPr>
          <w:rFonts w:ascii="NewsGotT" w:hAnsi="NewsGotT"/>
          <w:noProof/>
        </w:rPr>
        <w:t>(12), 941–948. https://doi.org/10.7326/0003-4819-113-12-941</w:t>
      </w:r>
    </w:p>
    <w:p w14:paraId="4319412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Inouye, Sharon K. (2006). Delirium in Older Persons. </w:t>
      </w:r>
      <w:r w:rsidRPr="003309A0">
        <w:rPr>
          <w:rFonts w:ascii="NewsGotT" w:hAnsi="NewsGotT"/>
          <w:i/>
          <w:iCs/>
          <w:noProof/>
        </w:rPr>
        <w:t>The New England Journal of Medicine</w:t>
      </w:r>
      <w:r w:rsidRPr="003309A0">
        <w:rPr>
          <w:rFonts w:ascii="NewsGotT" w:hAnsi="NewsGotT"/>
          <w:noProof/>
        </w:rPr>
        <w:t xml:space="preserve">, </w:t>
      </w:r>
      <w:r w:rsidRPr="003309A0">
        <w:rPr>
          <w:rFonts w:ascii="NewsGotT" w:hAnsi="NewsGotT"/>
          <w:i/>
          <w:iCs/>
          <w:noProof/>
        </w:rPr>
        <w:t>354</w:t>
      </w:r>
      <w:r w:rsidRPr="003309A0">
        <w:rPr>
          <w:rFonts w:ascii="NewsGotT" w:hAnsi="NewsGotT"/>
          <w:noProof/>
        </w:rPr>
        <w:t>(11), 1157–1165.</w:t>
      </w:r>
    </w:p>
    <w:p w14:paraId="3AE559F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Inouye, Sharon K., &amp; Charpentier, P. A. (1996). Precipitating factors for delirium in hospitalized elderly persons: Predictive model and interrelationship with baseline vulnerability. </w:t>
      </w:r>
      <w:r w:rsidRPr="003309A0">
        <w:rPr>
          <w:rFonts w:ascii="NewsGotT" w:hAnsi="NewsGotT"/>
          <w:i/>
          <w:iCs/>
          <w:noProof/>
        </w:rPr>
        <w:t>Journal of the American Medical Association</w:t>
      </w:r>
      <w:r w:rsidRPr="003309A0">
        <w:rPr>
          <w:rFonts w:ascii="NewsGotT" w:hAnsi="NewsGotT"/>
          <w:noProof/>
        </w:rPr>
        <w:t xml:space="preserve">, </w:t>
      </w:r>
      <w:r w:rsidRPr="003309A0">
        <w:rPr>
          <w:rFonts w:ascii="NewsGotT" w:hAnsi="NewsGotT"/>
          <w:i/>
          <w:iCs/>
          <w:noProof/>
        </w:rPr>
        <w:t>275</w:t>
      </w:r>
      <w:r w:rsidRPr="003309A0">
        <w:rPr>
          <w:rFonts w:ascii="NewsGotT" w:hAnsi="NewsGotT"/>
          <w:noProof/>
        </w:rPr>
        <w:t>(11), 852–857. https://doi.org/10.1001/jama.275.11.852</w:t>
      </w:r>
    </w:p>
    <w:p w14:paraId="0BB87E8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Inouye, Sharon K., Westendorp, R. G. J., &amp; Saczynski, J. S. (2014). Delirium in elderly people. </w:t>
      </w:r>
      <w:r w:rsidRPr="003309A0">
        <w:rPr>
          <w:rFonts w:ascii="NewsGotT" w:hAnsi="NewsGotT"/>
          <w:i/>
          <w:iCs/>
          <w:noProof/>
        </w:rPr>
        <w:t>The Lancet</w:t>
      </w:r>
      <w:r w:rsidRPr="003309A0">
        <w:rPr>
          <w:rFonts w:ascii="NewsGotT" w:hAnsi="NewsGotT"/>
          <w:noProof/>
        </w:rPr>
        <w:t xml:space="preserve">, </w:t>
      </w:r>
      <w:r w:rsidRPr="003309A0">
        <w:rPr>
          <w:rFonts w:ascii="NewsGotT" w:hAnsi="NewsGotT"/>
          <w:i/>
          <w:iCs/>
          <w:noProof/>
        </w:rPr>
        <w:t>383</w:t>
      </w:r>
      <w:r w:rsidRPr="003309A0">
        <w:rPr>
          <w:rFonts w:ascii="NewsGotT" w:hAnsi="NewsGotT"/>
          <w:noProof/>
        </w:rPr>
        <w:t>(9920), 911–922. https://doi.org/10.1016/S0140-6736(13)60688-1</w:t>
      </w:r>
    </w:p>
    <w:p w14:paraId="3FDA737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Inouye, Sharon K. (2000). Prevention of delirium in hospitalized older patients: risk factors and targeted intervention strategies. </w:t>
      </w:r>
      <w:r w:rsidRPr="003309A0">
        <w:rPr>
          <w:rFonts w:ascii="NewsGotT" w:hAnsi="NewsGotT"/>
          <w:i/>
          <w:iCs/>
          <w:noProof/>
        </w:rPr>
        <w:t>Annals of Medicine</w:t>
      </w:r>
      <w:r w:rsidRPr="003309A0">
        <w:rPr>
          <w:rFonts w:ascii="NewsGotT" w:hAnsi="NewsGotT"/>
          <w:noProof/>
        </w:rPr>
        <w:t xml:space="preserve">, </w:t>
      </w:r>
      <w:r w:rsidRPr="003309A0">
        <w:rPr>
          <w:rFonts w:ascii="NewsGotT" w:hAnsi="NewsGotT"/>
          <w:i/>
          <w:iCs/>
          <w:noProof/>
        </w:rPr>
        <w:t>32</w:t>
      </w:r>
      <w:r w:rsidRPr="003309A0">
        <w:rPr>
          <w:rFonts w:ascii="NewsGotT" w:hAnsi="NewsGotT"/>
          <w:noProof/>
        </w:rPr>
        <w:t>(4), 257–263. https://doi.org/10.3109/07853890009011770</w:t>
      </w:r>
    </w:p>
    <w:p w14:paraId="3A8D143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Isik, A. T., &amp; Grossberg, G. T. (2018). </w:t>
      </w:r>
      <w:r w:rsidRPr="003309A0">
        <w:rPr>
          <w:rFonts w:ascii="NewsGotT" w:hAnsi="NewsGotT"/>
          <w:i/>
          <w:iCs/>
          <w:noProof/>
        </w:rPr>
        <w:t>Delirium in Elderly Patients</w:t>
      </w:r>
      <w:r w:rsidRPr="003309A0">
        <w:rPr>
          <w:rFonts w:ascii="NewsGotT" w:hAnsi="NewsGotT"/>
          <w:noProof/>
        </w:rPr>
        <w:t xml:space="preserve">. (A. T. Isik &amp; G. T. Grossberg, Eds.), </w:t>
      </w:r>
      <w:r w:rsidRPr="003309A0">
        <w:rPr>
          <w:rFonts w:ascii="NewsGotT" w:hAnsi="NewsGotT"/>
          <w:i/>
          <w:iCs/>
          <w:noProof/>
        </w:rPr>
        <w:t>Delirium in Elderly Patients</w:t>
      </w:r>
      <w:r w:rsidRPr="003309A0">
        <w:rPr>
          <w:rFonts w:ascii="NewsGotT" w:hAnsi="NewsGotT"/>
          <w:noProof/>
        </w:rPr>
        <w:t>. Cham: Springer International Publishing. https://doi.org/10.1007/978-3-319-65239-9</w:t>
      </w:r>
    </w:p>
    <w:p w14:paraId="514E713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Jain, A. K., &amp; Dubes, R. C. (1988). </w:t>
      </w:r>
      <w:r w:rsidRPr="003309A0">
        <w:rPr>
          <w:rFonts w:ascii="NewsGotT" w:hAnsi="NewsGotT"/>
          <w:i/>
          <w:iCs/>
          <w:noProof/>
        </w:rPr>
        <w:t>Algorithms for Clustering Data</w:t>
      </w:r>
      <w:r w:rsidRPr="003309A0">
        <w:rPr>
          <w:rFonts w:ascii="NewsGotT" w:hAnsi="NewsGotT"/>
          <w:noProof/>
        </w:rPr>
        <w:t>. Prentice Hall.</w:t>
      </w:r>
    </w:p>
    <w:p w14:paraId="4959BA3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James, G., Witten, D., Hastie, T., &amp; Tibshirani, R. (2013). </w:t>
      </w:r>
      <w:r w:rsidRPr="003309A0">
        <w:rPr>
          <w:rFonts w:ascii="NewsGotT" w:hAnsi="NewsGotT"/>
          <w:i/>
          <w:iCs/>
          <w:noProof/>
        </w:rPr>
        <w:t>An Introduction to Statistical Learning - with Applications in R</w:t>
      </w:r>
      <w:r w:rsidRPr="003309A0">
        <w:rPr>
          <w:rFonts w:ascii="NewsGotT" w:hAnsi="NewsGotT"/>
          <w:noProof/>
        </w:rPr>
        <w:t>. Springer Texts in Statistics.</w:t>
      </w:r>
    </w:p>
    <w:p w14:paraId="1248F5F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Jamin, A., Abraham, P., &amp; Humeau-Heurtier, A. (2021). Machine learning for predictive data analytics in medicine: A review illustrated by cardiovascular and nuclear medicine examples. </w:t>
      </w:r>
      <w:r w:rsidRPr="003309A0">
        <w:rPr>
          <w:rFonts w:ascii="NewsGotT" w:hAnsi="NewsGotT"/>
          <w:i/>
          <w:iCs/>
          <w:noProof/>
        </w:rPr>
        <w:t>Clinical Physiology and Functional Imaging</w:t>
      </w:r>
      <w:r w:rsidRPr="003309A0">
        <w:rPr>
          <w:rFonts w:ascii="NewsGotT" w:hAnsi="NewsGotT"/>
          <w:noProof/>
        </w:rPr>
        <w:t xml:space="preserve">, </w:t>
      </w:r>
      <w:r w:rsidRPr="003309A0">
        <w:rPr>
          <w:rFonts w:ascii="NewsGotT" w:hAnsi="NewsGotT"/>
          <w:i/>
          <w:iCs/>
          <w:noProof/>
        </w:rPr>
        <w:t>41</w:t>
      </w:r>
      <w:r w:rsidRPr="003309A0">
        <w:rPr>
          <w:rFonts w:ascii="NewsGotT" w:hAnsi="NewsGotT"/>
          <w:noProof/>
        </w:rPr>
        <w:t>(2), 113–127. https://doi.org/10.1111/cpf.12686</w:t>
      </w:r>
    </w:p>
    <w:p w14:paraId="1411E559"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Jaszczyk, A., &amp; Juszczak, G. R. (2021). Glucocorticoids, metabolism and brain activity. </w:t>
      </w:r>
      <w:r w:rsidRPr="003309A0">
        <w:rPr>
          <w:rFonts w:ascii="NewsGotT" w:hAnsi="NewsGotT"/>
          <w:i/>
          <w:iCs/>
          <w:noProof/>
        </w:rPr>
        <w:t>Neuroscience &amp; Biobehavioral Reviews</w:t>
      </w:r>
      <w:r w:rsidRPr="003309A0">
        <w:rPr>
          <w:rFonts w:ascii="NewsGotT" w:hAnsi="NewsGotT"/>
          <w:noProof/>
        </w:rPr>
        <w:t xml:space="preserve">, </w:t>
      </w:r>
      <w:r w:rsidRPr="003309A0">
        <w:rPr>
          <w:rFonts w:ascii="NewsGotT" w:hAnsi="NewsGotT"/>
          <w:i/>
          <w:iCs/>
          <w:noProof/>
        </w:rPr>
        <w:t>126</w:t>
      </w:r>
      <w:r w:rsidRPr="003309A0">
        <w:rPr>
          <w:rFonts w:ascii="NewsGotT" w:hAnsi="NewsGotT"/>
          <w:noProof/>
        </w:rPr>
        <w:t>(March 2020), 113–145. https://doi.org/10.1016/j.neubiorev.2021.03.007</w:t>
      </w:r>
    </w:p>
    <w:p w14:paraId="0D98332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3309A0">
        <w:rPr>
          <w:rFonts w:ascii="NewsGotT" w:hAnsi="NewsGotT"/>
          <w:i/>
          <w:iCs/>
          <w:noProof/>
        </w:rPr>
        <w:t>Journal of the American Medical Informatics Association</w:t>
      </w:r>
      <w:r w:rsidRPr="003309A0">
        <w:rPr>
          <w:rFonts w:ascii="NewsGotT" w:hAnsi="NewsGotT"/>
          <w:noProof/>
        </w:rPr>
        <w:t xml:space="preserve">, </w:t>
      </w:r>
      <w:r w:rsidRPr="003309A0">
        <w:rPr>
          <w:rFonts w:ascii="NewsGotT" w:hAnsi="NewsGotT"/>
          <w:i/>
          <w:iCs/>
          <w:noProof/>
        </w:rPr>
        <w:t>27</w:t>
      </w:r>
      <w:r w:rsidRPr="003309A0">
        <w:rPr>
          <w:rFonts w:ascii="NewsGotT" w:hAnsi="NewsGotT"/>
          <w:noProof/>
        </w:rPr>
        <w:t>(9), 1383–1392. https://doi.org/10.1093/jamia/ocaa113</w:t>
      </w:r>
    </w:p>
    <w:p w14:paraId="22EFB61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3309A0">
        <w:rPr>
          <w:rFonts w:ascii="NewsGotT" w:hAnsi="NewsGotT"/>
          <w:i/>
          <w:iCs/>
          <w:noProof/>
        </w:rPr>
        <w:t>Academic Emergency Medicine</w:t>
      </w:r>
      <w:r w:rsidRPr="003309A0">
        <w:rPr>
          <w:rFonts w:ascii="NewsGotT" w:hAnsi="NewsGotT"/>
          <w:noProof/>
        </w:rPr>
        <w:t xml:space="preserve">, </w:t>
      </w:r>
      <w:r w:rsidRPr="003309A0">
        <w:rPr>
          <w:rFonts w:ascii="NewsGotT" w:hAnsi="NewsGotT"/>
          <w:i/>
          <w:iCs/>
          <w:noProof/>
        </w:rPr>
        <w:t>28</w:t>
      </w:r>
      <w:r w:rsidRPr="003309A0">
        <w:rPr>
          <w:rFonts w:ascii="NewsGotT" w:hAnsi="NewsGotT"/>
          <w:noProof/>
        </w:rPr>
        <w:t>(2), 184–196. https://doi.org/10.1111/acem.14190</w:t>
      </w:r>
    </w:p>
    <w:p w14:paraId="61285B8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3309A0">
        <w:rPr>
          <w:rFonts w:ascii="NewsGotT" w:hAnsi="NewsGotT"/>
          <w:i/>
          <w:iCs/>
          <w:noProof/>
        </w:rPr>
        <w:t>General Hospital Psychiatry</w:t>
      </w:r>
      <w:r w:rsidRPr="003309A0">
        <w:rPr>
          <w:rFonts w:ascii="NewsGotT" w:hAnsi="NewsGotT"/>
          <w:noProof/>
        </w:rPr>
        <w:t xml:space="preserve">, </w:t>
      </w:r>
      <w:r w:rsidRPr="003309A0">
        <w:rPr>
          <w:rFonts w:ascii="NewsGotT" w:hAnsi="NewsGotT"/>
          <w:i/>
          <w:iCs/>
          <w:noProof/>
        </w:rPr>
        <w:t>36</w:t>
      </w:r>
      <w:r w:rsidRPr="003309A0">
        <w:rPr>
          <w:rFonts w:ascii="NewsGotT" w:hAnsi="NewsGotT"/>
          <w:noProof/>
        </w:rPr>
        <w:t>(2), 156–164. https://doi.org/10.1016/j.genhosppsych.2013.10.010</w:t>
      </w:r>
    </w:p>
    <w:p w14:paraId="644D24F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Laird, J. E., Newell, A., &amp; Rosenbloom, P. S. (1987). An integrative architecture for general intelligence and. </w:t>
      </w:r>
      <w:r w:rsidRPr="003309A0">
        <w:rPr>
          <w:rFonts w:ascii="NewsGotT" w:hAnsi="NewsGotT"/>
          <w:i/>
          <w:iCs/>
          <w:noProof/>
        </w:rPr>
        <w:t>Artificial Intelligence</w:t>
      </w:r>
      <w:r w:rsidRPr="003309A0">
        <w:rPr>
          <w:rFonts w:ascii="NewsGotT" w:hAnsi="NewsGotT"/>
          <w:noProof/>
        </w:rPr>
        <w:t xml:space="preserve">, </w:t>
      </w:r>
      <w:r w:rsidRPr="003309A0">
        <w:rPr>
          <w:rFonts w:ascii="NewsGotT" w:hAnsi="NewsGotT"/>
          <w:i/>
          <w:iCs/>
          <w:noProof/>
        </w:rPr>
        <w:t>33</w:t>
      </w:r>
      <w:r w:rsidRPr="003309A0">
        <w:rPr>
          <w:rFonts w:ascii="NewsGotT" w:hAnsi="NewsGotT"/>
          <w:noProof/>
        </w:rPr>
        <w:t>(1987), 1–64.</w:t>
      </w:r>
    </w:p>
    <w:p w14:paraId="7E8FCB0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Laurila, J. V., Laakkonen, M. L., Strandberg, T. E., &amp; Tilvis, R. S. (2008). Predisposing and precipitating factors for delirium in a frail geriatric population. </w:t>
      </w:r>
      <w:r w:rsidRPr="003309A0">
        <w:rPr>
          <w:rFonts w:ascii="NewsGotT" w:hAnsi="NewsGotT"/>
          <w:i/>
          <w:iCs/>
          <w:noProof/>
        </w:rPr>
        <w:t>Journal of Psychosomatic Research</w:t>
      </w:r>
      <w:r w:rsidRPr="003309A0">
        <w:rPr>
          <w:rFonts w:ascii="NewsGotT" w:hAnsi="NewsGotT"/>
          <w:noProof/>
        </w:rPr>
        <w:t xml:space="preserve">, </w:t>
      </w:r>
      <w:r w:rsidRPr="003309A0">
        <w:rPr>
          <w:rFonts w:ascii="NewsGotT" w:hAnsi="NewsGotT"/>
          <w:i/>
          <w:iCs/>
          <w:noProof/>
        </w:rPr>
        <w:t>65</w:t>
      </w:r>
      <w:r w:rsidRPr="003309A0">
        <w:rPr>
          <w:rFonts w:ascii="NewsGotT" w:hAnsi="NewsGotT"/>
          <w:noProof/>
        </w:rPr>
        <w:t>(3), 249–254. https://doi.org/10.1016/j.jpsychores.2008.05.026</w:t>
      </w:r>
    </w:p>
    <w:p w14:paraId="6D6DC22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Lawlor, P. G., Gagnon, B., Mancini, I. L., Pereira, J. L., Hanson, J., Suarez-Almazor, M. E., &amp; Bruera, E. D. (2002). Occurrence, causes, and outcome of delirium in patients with advanced cancer: A </w:t>
      </w:r>
      <w:r w:rsidRPr="003309A0">
        <w:rPr>
          <w:rFonts w:ascii="NewsGotT" w:hAnsi="NewsGotT"/>
          <w:noProof/>
        </w:rPr>
        <w:lastRenderedPageBreak/>
        <w:t xml:space="preserve">prospective study. </w:t>
      </w:r>
      <w:r w:rsidRPr="003309A0">
        <w:rPr>
          <w:rFonts w:ascii="NewsGotT" w:hAnsi="NewsGotT"/>
          <w:i/>
          <w:iCs/>
          <w:noProof/>
        </w:rPr>
        <w:t>Archives of Internal Medicine</w:t>
      </w:r>
      <w:r w:rsidRPr="003309A0">
        <w:rPr>
          <w:rFonts w:ascii="NewsGotT" w:hAnsi="NewsGotT"/>
          <w:noProof/>
        </w:rPr>
        <w:t xml:space="preserve">, </w:t>
      </w:r>
      <w:r w:rsidRPr="003309A0">
        <w:rPr>
          <w:rFonts w:ascii="NewsGotT" w:hAnsi="NewsGotT"/>
          <w:i/>
          <w:iCs/>
          <w:noProof/>
        </w:rPr>
        <w:t>160</w:t>
      </w:r>
      <w:r w:rsidRPr="003309A0">
        <w:rPr>
          <w:rFonts w:ascii="NewsGotT" w:hAnsi="NewsGotT"/>
          <w:noProof/>
        </w:rPr>
        <w:t>(6), 786–794. https://doi.org/10.1001/archinte.160.6.786</w:t>
      </w:r>
    </w:p>
    <w:p w14:paraId="26BF66B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Lee-Archer, P. F., von Ungern-Sternberg, B. S., Reade, M. C., Law, K. C., &amp; Long, D. (2021). An observational study of hypoactive delirium in the post-anesthesia recovery unit of a pediatric hospital. </w:t>
      </w:r>
      <w:r w:rsidRPr="003309A0">
        <w:rPr>
          <w:rFonts w:ascii="NewsGotT" w:hAnsi="NewsGotT"/>
          <w:i/>
          <w:iCs/>
          <w:noProof/>
        </w:rPr>
        <w:t>Paediatric Anaesthesia</w:t>
      </w:r>
      <w:r w:rsidRPr="003309A0">
        <w:rPr>
          <w:rFonts w:ascii="NewsGotT" w:hAnsi="NewsGotT"/>
          <w:noProof/>
        </w:rPr>
        <w:t>, (September 2020), 429–435. https://doi.org/10.1111/pan.14122</w:t>
      </w:r>
    </w:p>
    <w:p w14:paraId="17D3FB4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Lee, S., Mueller, B., Nick Street, W., &amp; M. Carnahan, R. (2021). Machine learning algorithm to predict delirium from emergency department data. </w:t>
      </w:r>
      <w:r w:rsidRPr="003309A0">
        <w:rPr>
          <w:rFonts w:ascii="NewsGotT" w:hAnsi="NewsGotT"/>
          <w:i/>
          <w:iCs/>
          <w:noProof/>
        </w:rPr>
        <w:t>BMJ</w:t>
      </w:r>
      <w:r w:rsidRPr="003309A0">
        <w:rPr>
          <w:rFonts w:ascii="NewsGotT" w:hAnsi="NewsGotT"/>
          <w:noProof/>
        </w:rPr>
        <w:t>. https://doi.org/https://doi.org/10.1101/2021.02.19.21251956</w:t>
      </w:r>
    </w:p>
    <w:p w14:paraId="3A5CB91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Leonard, M. M., Nekolaichuk, C., Meagher, D. J., Barnes, C., Gaudreau, J. D., Watanabe, S., … Lawlor, P. G. (2014). Practical assessment of delirium in palliative care. </w:t>
      </w:r>
      <w:r w:rsidRPr="003309A0">
        <w:rPr>
          <w:rFonts w:ascii="NewsGotT" w:hAnsi="NewsGotT"/>
          <w:i/>
          <w:iCs/>
          <w:noProof/>
        </w:rPr>
        <w:t>Journal of Pain and Symptom Management</w:t>
      </w:r>
      <w:r w:rsidRPr="003309A0">
        <w:rPr>
          <w:rFonts w:ascii="NewsGotT" w:hAnsi="NewsGotT"/>
          <w:noProof/>
        </w:rPr>
        <w:t xml:space="preserve">, </w:t>
      </w:r>
      <w:r w:rsidRPr="003309A0">
        <w:rPr>
          <w:rFonts w:ascii="NewsGotT" w:hAnsi="NewsGotT"/>
          <w:i/>
          <w:iCs/>
          <w:noProof/>
        </w:rPr>
        <w:t>48</w:t>
      </w:r>
      <w:r w:rsidRPr="003309A0">
        <w:rPr>
          <w:rFonts w:ascii="NewsGotT" w:hAnsi="NewsGotT"/>
          <w:noProof/>
        </w:rPr>
        <w:t>(2), 176–190. https://doi.org/10.1016/j.jpainsymman.2013.10.024</w:t>
      </w:r>
    </w:p>
    <w:p w14:paraId="1235E52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3309A0">
        <w:rPr>
          <w:rFonts w:ascii="NewsGotT" w:hAnsi="NewsGotT"/>
          <w:i/>
          <w:iCs/>
          <w:noProof/>
        </w:rPr>
        <w:t>Nursing in Critical Care</w:t>
      </w:r>
      <w:r w:rsidRPr="003309A0">
        <w:rPr>
          <w:rFonts w:ascii="NewsGotT" w:hAnsi="NewsGotT"/>
          <w:noProof/>
        </w:rPr>
        <w:t>, (August), 1–7. https://doi.org/10.1111/nicc.12550</w:t>
      </w:r>
    </w:p>
    <w:p w14:paraId="38A4C05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Libbrecht, M. W., &amp; Noble, W. S. (2015). Machine learning applications in genetics and genomics. </w:t>
      </w:r>
      <w:r w:rsidRPr="003309A0">
        <w:rPr>
          <w:rFonts w:ascii="NewsGotT" w:hAnsi="NewsGotT"/>
          <w:i/>
          <w:iCs/>
          <w:noProof/>
        </w:rPr>
        <w:t>Nature Reviews Genetics</w:t>
      </w:r>
      <w:r w:rsidRPr="003309A0">
        <w:rPr>
          <w:rFonts w:ascii="NewsGotT" w:hAnsi="NewsGotT"/>
          <w:noProof/>
        </w:rPr>
        <w:t xml:space="preserve">, </w:t>
      </w:r>
      <w:r w:rsidRPr="003309A0">
        <w:rPr>
          <w:rFonts w:ascii="NewsGotT" w:hAnsi="NewsGotT"/>
          <w:i/>
          <w:iCs/>
          <w:noProof/>
        </w:rPr>
        <w:t>16</w:t>
      </w:r>
      <w:r w:rsidRPr="003309A0">
        <w:rPr>
          <w:rFonts w:ascii="NewsGotT" w:hAnsi="NewsGotT"/>
          <w:noProof/>
        </w:rPr>
        <w:t>(6), 321–332. https://doi.org/10.1038/nrg3920</w:t>
      </w:r>
    </w:p>
    <w:p w14:paraId="2372B14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Lipowski, Z. J. (1987). Delirium (Acute Confusional State). </w:t>
      </w:r>
      <w:r w:rsidRPr="003309A0">
        <w:rPr>
          <w:rFonts w:ascii="NewsGotT" w:hAnsi="NewsGotT"/>
          <w:i/>
          <w:iCs/>
          <w:noProof/>
        </w:rPr>
        <w:t>JAMA</w:t>
      </w:r>
      <w:r w:rsidRPr="003309A0">
        <w:rPr>
          <w:rFonts w:ascii="NewsGotT" w:hAnsi="NewsGotT"/>
          <w:noProof/>
        </w:rPr>
        <w:t>, 1789–1792. https://doi.org/doi:10.1001/jama.1987.03400130103041</w:t>
      </w:r>
    </w:p>
    <w:p w14:paraId="0207C01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Lipowski, Zbigniew J. (1991). Delirium: How Its Concept Has Developed. </w:t>
      </w:r>
      <w:r w:rsidRPr="003309A0">
        <w:rPr>
          <w:rFonts w:ascii="NewsGotT" w:hAnsi="NewsGotT"/>
          <w:i/>
          <w:iCs/>
          <w:noProof/>
        </w:rPr>
        <w:t>International Psychogeriatrics</w:t>
      </w:r>
      <w:r w:rsidRPr="003309A0">
        <w:rPr>
          <w:rFonts w:ascii="NewsGotT" w:hAnsi="NewsGotT"/>
          <w:noProof/>
        </w:rPr>
        <w:t xml:space="preserve">, </w:t>
      </w:r>
      <w:r w:rsidRPr="003309A0">
        <w:rPr>
          <w:rFonts w:ascii="NewsGotT" w:hAnsi="NewsGotT"/>
          <w:i/>
          <w:iCs/>
          <w:noProof/>
        </w:rPr>
        <w:t>3</w:t>
      </w:r>
      <w:r w:rsidRPr="003309A0">
        <w:rPr>
          <w:rFonts w:ascii="NewsGotT" w:hAnsi="NewsGotT"/>
          <w:noProof/>
        </w:rPr>
        <w:t>(2), 115–120. https://doi.org/10.1017/S1041610291000595</w:t>
      </w:r>
    </w:p>
    <w:p w14:paraId="7E602CC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Lôbo, R. R., Silva Filho, S. R. B., Lima, N. K. C., Ferriolli, E., &amp; Moriguti, J. C. (2010). Delirium. </w:t>
      </w:r>
      <w:r w:rsidRPr="003309A0">
        <w:rPr>
          <w:rFonts w:ascii="NewsGotT" w:hAnsi="NewsGotT"/>
          <w:i/>
          <w:iCs/>
          <w:noProof/>
        </w:rPr>
        <w:t>Medicina (Ribeirao Preto. Online)</w:t>
      </w:r>
      <w:r w:rsidRPr="003309A0">
        <w:rPr>
          <w:rFonts w:ascii="NewsGotT" w:hAnsi="NewsGotT"/>
          <w:noProof/>
        </w:rPr>
        <w:t xml:space="preserve">, </w:t>
      </w:r>
      <w:r w:rsidRPr="003309A0">
        <w:rPr>
          <w:rFonts w:ascii="NewsGotT" w:hAnsi="NewsGotT"/>
          <w:i/>
          <w:iCs/>
          <w:noProof/>
        </w:rPr>
        <w:t>43</w:t>
      </w:r>
      <w:r w:rsidRPr="003309A0">
        <w:rPr>
          <w:rFonts w:ascii="NewsGotT" w:hAnsi="NewsGotT"/>
          <w:noProof/>
        </w:rPr>
        <w:t>(3), 249–257. https://doi.org/10.11606/issn.2176-7262.v43i3p249-257</w:t>
      </w:r>
    </w:p>
    <w:p w14:paraId="4AA1ED7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Lüllmann, H., Mohr, K., &amp; Hein, L. (2018). </w:t>
      </w:r>
      <w:r w:rsidRPr="003309A0">
        <w:rPr>
          <w:rFonts w:ascii="NewsGotT" w:hAnsi="NewsGotT"/>
          <w:i/>
          <w:iCs/>
          <w:noProof/>
        </w:rPr>
        <w:t>Color Atlas of Pharmacology</w:t>
      </w:r>
      <w:r w:rsidRPr="003309A0">
        <w:rPr>
          <w:rFonts w:ascii="NewsGotT" w:hAnsi="NewsGotT"/>
          <w:noProof/>
        </w:rPr>
        <w:t xml:space="preserve"> (Fifth). Thieme.</w:t>
      </w:r>
    </w:p>
    <w:p w14:paraId="4120AB4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MacLullich, A. M. J., Ferguson, K. J., Miller, T., de Rooij, S. E. J. A., &amp; Cunningham, C. (2008). Unravelling the pathophysiology of delirium: A focus on the role of aberrant stress responses. </w:t>
      </w:r>
      <w:r w:rsidRPr="003309A0">
        <w:rPr>
          <w:rFonts w:ascii="NewsGotT" w:hAnsi="NewsGotT"/>
          <w:i/>
          <w:iCs/>
          <w:noProof/>
        </w:rPr>
        <w:t>Journal of Psychosomatic Research</w:t>
      </w:r>
      <w:r w:rsidRPr="003309A0">
        <w:rPr>
          <w:rFonts w:ascii="NewsGotT" w:hAnsi="NewsGotT"/>
          <w:noProof/>
        </w:rPr>
        <w:t xml:space="preserve">, </w:t>
      </w:r>
      <w:r w:rsidRPr="003309A0">
        <w:rPr>
          <w:rFonts w:ascii="NewsGotT" w:hAnsi="NewsGotT"/>
          <w:i/>
          <w:iCs/>
          <w:noProof/>
        </w:rPr>
        <w:t>65</w:t>
      </w:r>
      <w:r w:rsidRPr="003309A0">
        <w:rPr>
          <w:rFonts w:ascii="NewsGotT" w:hAnsi="NewsGotT"/>
          <w:noProof/>
        </w:rPr>
        <w:t>(3), 229–238. https://doi.org/10.1016/j.jpsychores.2008.05.019</w:t>
      </w:r>
    </w:p>
    <w:p w14:paraId="1D56A419"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Maldonado, J. R. (2018). Delirium pathophysiology: An updated hypothesis of the etiology of acute brain failure. </w:t>
      </w:r>
      <w:r w:rsidRPr="003309A0">
        <w:rPr>
          <w:rFonts w:ascii="NewsGotT" w:hAnsi="NewsGotT"/>
          <w:i/>
          <w:iCs/>
          <w:noProof/>
        </w:rPr>
        <w:t>International Journal of Geriatric Psychiatry</w:t>
      </w:r>
      <w:r w:rsidRPr="003309A0">
        <w:rPr>
          <w:rFonts w:ascii="NewsGotT" w:hAnsi="NewsGotT"/>
          <w:noProof/>
        </w:rPr>
        <w:t xml:space="preserve">, </w:t>
      </w:r>
      <w:r w:rsidRPr="003309A0">
        <w:rPr>
          <w:rFonts w:ascii="NewsGotT" w:hAnsi="NewsGotT"/>
          <w:i/>
          <w:iCs/>
          <w:noProof/>
        </w:rPr>
        <w:t>33</w:t>
      </w:r>
      <w:r w:rsidRPr="003309A0">
        <w:rPr>
          <w:rFonts w:ascii="NewsGotT" w:hAnsi="NewsGotT"/>
          <w:noProof/>
        </w:rPr>
        <w:t>(11), 1428–1457. https://doi.org/10.1002/gps.4823</w:t>
      </w:r>
    </w:p>
    <w:p w14:paraId="1FE2118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Martins, S., &amp; Fernandes, L. (2012). Delirium in elderly people: A review. </w:t>
      </w:r>
      <w:r w:rsidRPr="003309A0">
        <w:rPr>
          <w:rFonts w:ascii="NewsGotT" w:hAnsi="NewsGotT"/>
          <w:i/>
          <w:iCs/>
          <w:noProof/>
        </w:rPr>
        <w:t>Frontiers in Neurology</w:t>
      </w:r>
      <w:r w:rsidRPr="003309A0">
        <w:rPr>
          <w:rFonts w:ascii="NewsGotT" w:hAnsi="NewsGotT"/>
          <w:noProof/>
        </w:rPr>
        <w:t xml:space="preserve">, </w:t>
      </w:r>
      <w:r w:rsidRPr="003309A0">
        <w:rPr>
          <w:rFonts w:ascii="NewsGotT" w:hAnsi="NewsGotT"/>
          <w:i/>
          <w:iCs/>
          <w:noProof/>
        </w:rPr>
        <w:t>JUN</w:t>
      </w:r>
      <w:r w:rsidRPr="003309A0">
        <w:rPr>
          <w:rFonts w:ascii="NewsGotT" w:hAnsi="NewsGotT"/>
          <w:noProof/>
        </w:rPr>
        <w:t>(June), 1–12. https://doi.org/10.3389/fneur.2012.00101</w:t>
      </w:r>
    </w:p>
    <w:p w14:paraId="3EC61AB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McCorduck, P. (2004). </w:t>
      </w:r>
      <w:r w:rsidRPr="003309A0">
        <w:rPr>
          <w:rFonts w:ascii="NewsGotT" w:hAnsi="NewsGotT"/>
          <w:i/>
          <w:iCs/>
          <w:noProof/>
        </w:rPr>
        <w:t>Machines Who Think</w:t>
      </w:r>
      <w:r w:rsidRPr="003309A0">
        <w:rPr>
          <w:rFonts w:ascii="NewsGotT" w:hAnsi="NewsGotT"/>
          <w:noProof/>
        </w:rPr>
        <w:t xml:space="preserve">. </w:t>
      </w:r>
      <w:r w:rsidRPr="003309A0">
        <w:rPr>
          <w:rFonts w:ascii="NewsGotT" w:hAnsi="NewsGotT"/>
          <w:i/>
          <w:iCs/>
          <w:noProof/>
        </w:rPr>
        <w:t>A K Peters, Ltd.</w:t>
      </w:r>
      <w:r w:rsidRPr="003309A0">
        <w:rPr>
          <w:rFonts w:ascii="NewsGotT" w:hAnsi="NewsGotT"/>
          <w:noProof/>
        </w:rPr>
        <w:t xml:space="preserve"> Natick, MA: A K Peters, Ltd. https://doi.org/10.1126/science.254.5036.1291-a</w:t>
      </w:r>
    </w:p>
    <w:p w14:paraId="50FCAA3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McCulloch, W. S., &amp; Pits, W. (1943). A LOGICAL CALCULUS OF THE IDEAS IMMANENT IN NERVOUS ACTIVITY. </w:t>
      </w:r>
      <w:r w:rsidRPr="003309A0">
        <w:rPr>
          <w:rFonts w:ascii="NewsGotT" w:hAnsi="NewsGotT"/>
          <w:i/>
          <w:iCs/>
          <w:noProof/>
        </w:rPr>
        <w:t>Bullentin of Mathematical</w:t>
      </w:r>
      <w:r w:rsidRPr="003309A0">
        <w:rPr>
          <w:rFonts w:ascii="NewsGotT" w:hAnsi="NewsGotT"/>
          <w:noProof/>
        </w:rPr>
        <w:t xml:space="preserve">, </w:t>
      </w:r>
      <w:r w:rsidRPr="003309A0">
        <w:rPr>
          <w:rFonts w:ascii="NewsGotT" w:hAnsi="NewsGotT"/>
          <w:i/>
          <w:iCs/>
          <w:noProof/>
        </w:rPr>
        <w:t>5</w:t>
      </w:r>
      <w:r w:rsidRPr="003309A0">
        <w:rPr>
          <w:rFonts w:ascii="NewsGotT" w:hAnsi="NewsGotT"/>
          <w:noProof/>
        </w:rPr>
        <w:t>, 115–133.</w:t>
      </w:r>
    </w:p>
    <w:p w14:paraId="0819D20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Meagher, D. J., MacLullich, A. M. J., &amp; Laurila, J. V. (2008). Defining delirium for the International Classification of Diseases, 11th Revision. </w:t>
      </w:r>
      <w:r w:rsidRPr="003309A0">
        <w:rPr>
          <w:rFonts w:ascii="NewsGotT" w:hAnsi="NewsGotT"/>
          <w:i/>
          <w:iCs/>
          <w:noProof/>
        </w:rPr>
        <w:t>Journal of Psychosomatic Research</w:t>
      </w:r>
      <w:r w:rsidRPr="003309A0">
        <w:rPr>
          <w:rFonts w:ascii="NewsGotT" w:hAnsi="NewsGotT"/>
          <w:noProof/>
        </w:rPr>
        <w:t xml:space="preserve">, </w:t>
      </w:r>
      <w:r w:rsidRPr="003309A0">
        <w:rPr>
          <w:rFonts w:ascii="NewsGotT" w:hAnsi="NewsGotT"/>
          <w:i/>
          <w:iCs/>
          <w:noProof/>
        </w:rPr>
        <w:t>65</w:t>
      </w:r>
      <w:r w:rsidRPr="003309A0">
        <w:rPr>
          <w:rFonts w:ascii="NewsGotT" w:hAnsi="NewsGotT"/>
          <w:noProof/>
        </w:rPr>
        <w:t>(3), 207–214. https://doi.org/10.1016/j.jpsychores.2008.05.015</w:t>
      </w:r>
    </w:p>
    <w:p w14:paraId="619A065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Meltzer, H. Y. (2013). Update on Typical and Atypical Antipsychotic Drugs. </w:t>
      </w:r>
      <w:r w:rsidRPr="003309A0">
        <w:rPr>
          <w:rFonts w:ascii="NewsGotT" w:hAnsi="NewsGotT"/>
          <w:i/>
          <w:iCs/>
          <w:noProof/>
        </w:rPr>
        <w:t>Annual Review of Medicine</w:t>
      </w:r>
      <w:r w:rsidRPr="003309A0">
        <w:rPr>
          <w:rFonts w:ascii="NewsGotT" w:hAnsi="NewsGotT"/>
          <w:noProof/>
        </w:rPr>
        <w:t xml:space="preserve">, </w:t>
      </w:r>
      <w:r w:rsidRPr="003309A0">
        <w:rPr>
          <w:rFonts w:ascii="NewsGotT" w:hAnsi="NewsGotT"/>
          <w:i/>
          <w:iCs/>
          <w:noProof/>
        </w:rPr>
        <w:t>64</w:t>
      </w:r>
      <w:r w:rsidRPr="003309A0">
        <w:rPr>
          <w:rFonts w:ascii="NewsGotT" w:hAnsi="NewsGotT"/>
          <w:noProof/>
        </w:rPr>
        <w:t>(1), 393–406. https://doi.org/10.1146/annurev-med-050911-161504</w:t>
      </w:r>
    </w:p>
    <w:p w14:paraId="6CF133B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Michalski, R. S., Carbonell, J. G., &amp; Mitchell, T. M. (1983). </w:t>
      </w:r>
      <w:r w:rsidRPr="003309A0">
        <w:rPr>
          <w:rFonts w:ascii="NewsGotT" w:hAnsi="NewsGotT"/>
          <w:i/>
          <w:iCs/>
          <w:noProof/>
        </w:rPr>
        <w:t>Machine Learning</w:t>
      </w:r>
      <w:r w:rsidRPr="003309A0">
        <w:rPr>
          <w:rFonts w:ascii="NewsGotT" w:hAnsi="NewsGotT"/>
          <w:noProof/>
        </w:rPr>
        <w:t>. Berlin, Heidelberg: Springer Berlin Heidelberg. https://doi.org/10.1007/978-3-662-12405-5</w:t>
      </w:r>
    </w:p>
    <w:p w14:paraId="7C5A72C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Michaud, L., Büla, C., Berney, A., Camus, V., Voellinger, R., Stiefel, F., &amp; Burnand, B. (2007). Delirium: Guidelines for general hospitals. </w:t>
      </w:r>
      <w:r w:rsidRPr="003309A0">
        <w:rPr>
          <w:rFonts w:ascii="NewsGotT" w:hAnsi="NewsGotT"/>
          <w:i/>
          <w:iCs/>
          <w:noProof/>
        </w:rPr>
        <w:t>Journal of Psychosomatic Research</w:t>
      </w:r>
      <w:r w:rsidRPr="003309A0">
        <w:rPr>
          <w:rFonts w:ascii="NewsGotT" w:hAnsi="NewsGotT"/>
          <w:noProof/>
        </w:rPr>
        <w:t xml:space="preserve">, </w:t>
      </w:r>
      <w:r w:rsidRPr="003309A0">
        <w:rPr>
          <w:rFonts w:ascii="NewsGotT" w:hAnsi="NewsGotT"/>
          <w:i/>
          <w:iCs/>
          <w:noProof/>
        </w:rPr>
        <w:t>62</w:t>
      </w:r>
      <w:r w:rsidRPr="003309A0">
        <w:rPr>
          <w:rFonts w:ascii="NewsGotT" w:hAnsi="NewsGotT"/>
          <w:noProof/>
        </w:rPr>
        <w:t>(3), 371–383. https://doi.org/10.1016/j.jpsychores.2006.10.004</w:t>
      </w:r>
    </w:p>
    <w:p w14:paraId="34F176F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lastRenderedPageBreak/>
        <w:t>Ministério da Saúde. (2006). DL n</w:t>
      </w:r>
      <w:r w:rsidRPr="003309A0">
        <w:rPr>
          <w:rFonts w:ascii="NewsGotT" w:hAnsi="NewsGotT"/>
          <w:noProof/>
          <w:vertAlign w:val="superscript"/>
        </w:rPr>
        <w:t>o</w:t>
      </w:r>
      <w:r w:rsidRPr="003309A0">
        <w:rPr>
          <w:rFonts w:ascii="NewsGotT" w:hAnsi="NewsGotT"/>
          <w:noProof/>
        </w:rPr>
        <w:t xml:space="preserve"> 176/2006 de 30 de agosto. </w:t>
      </w:r>
      <w:r w:rsidRPr="003309A0">
        <w:rPr>
          <w:rFonts w:ascii="NewsGotT" w:hAnsi="NewsGotT"/>
          <w:i/>
          <w:iCs/>
          <w:noProof/>
        </w:rPr>
        <w:t>Diário Da República 1</w:t>
      </w:r>
      <w:r w:rsidRPr="003309A0">
        <w:rPr>
          <w:rFonts w:ascii="NewsGotT" w:hAnsi="NewsGotT"/>
          <w:i/>
          <w:iCs/>
          <w:noProof/>
          <w:vertAlign w:val="superscript"/>
        </w:rPr>
        <w:t>a</w:t>
      </w:r>
      <w:r w:rsidRPr="003309A0">
        <w:rPr>
          <w:rFonts w:ascii="NewsGotT" w:hAnsi="NewsGotT"/>
          <w:i/>
          <w:iCs/>
          <w:noProof/>
        </w:rPr>
        <w:t xml:space="preserve"> Série</w:t>
      </w:r>
      <w:r w:rsidRPr="003309A0">
        <w:rPr>
          <w:rFonts w:ascii="NewsGotT" w:hAnsi="NewsGotT"/>
          <w:noProof/>
        </w:rPr>
        <w:t>, 6297–6303. Retrieved from http://www.portaldasaude.pt/NR/rdonlyres/D2D959FC-A937-4850-B0DC-B60E04F2108B/0/62976383.pdf</w:t>
      </w:r>
    </w:p>
    <w:p w14:paraId="2E6E7AC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Mitchell, T. M. (1999). Machine learning and data mining. </w:t>
      </w:r>
      <w:r w:rsidRPr="003309A0">
        <w:rPr>
          <w:rFonts w:ascii="NewsGotT" w:hAnsi="NewsGotT"/>
          <w:i/>
          <w:iCs/>
          <w:noProof/>
        </w:rPr>
        <w:t>Communications of the ACM</w:t>
      </w:r>
      <w:r w:rsidRPr="003309A0">
        <w:rPr>
          <w:rFonts w:ascii="NewsGotT" w:hAnsi="NewsGotT"/>
          <w:noProof/>
        </w:rPr>
        <w:t xml:space="preserve">, </w:t>
      </w:r>
      <w:r w:rsidRPr="003309A0">
        <w:rPr>
          <w:rFonts w:ascii="NewsGotT" w:hAnsi="NewsGotT"/>
          <w:i/>
          <w:iCs/>
          <w:noProof/>
        </w:rPr>
        <w:t>42</w:t>
      </w:r>
      <w:r w:rsidRPr="003309A0">
        <w:rPr>
          <w:rFonts w:ascii="NewsGotT" w:hAnsi="NewsGotT"/>
          <w:noProof/>
        </w:rPr>
        <w:t>(11), 30–46. https://doi.org/10.1145/319382.319388</w:t>
      </w:r>
    </w:p>
    <w:p w14:paraId="5F6957A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Mitchell, Tom M. (1997). </w:t>
      </w:r>
      <w:r w:rsidRPr="003309A0">
        <w:rPr>
          <w:rFonts w:ascii="NewsGotT" w:hAnsi="NewsGotT"/>
          <w:i/>
          <w:iCs/>
          <w:noProof/>
        </w:rPr>
        <w:t>Machine Learning</w:t>
      </w:r>
      <w:r w:rsidRPr="003309A0">
        <w:rPr>
          <w:rFonts w:ascii="NewsGotT" w:hAnsi="NewsGotT"/>
          <w:noProof/>
        </w:rPr>
        <w:t>. McGraw-Hill Science/Engineering/Math.</w:t>
      </w:r>
    </w:p>
    <w:p w14:paraId="6755357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Mittal, V., Muralee, S., Williamson, D., McEnerney, N., Thomas, J., Cash, M., &amp; Tampi, R. R. (2011). Delirium in the elderly: A comprehensive review. </w:t>
      </w:r>
      <w:r w:rsidRPr="003309A0">
        <w:rPr>
          <w:rFonts w:ascii="NewsGotT" w:hAnsi="NewsGotT"/>
          <w:i/>
          <w:iCs/>
          <w:noProof/>
        </w:rPr>
        <w:t>American Journal of Alzheimer’s Disease and Other Dementias</w:t>
      </w:r>
      <w:r w:rsidRPr="003309A0">
        <w:rPr>
          <w:rFonts w:ascii="NewsGotT" w:hAnsi="NewsGotT"/>
          <w:noProof/>
        </w:rPr>
        <w:t xml:space="preserve">, </w:t>
      </w:r>
      <w:r w:rsidRPr="003309A0">
        <w:rPr>
          <w:rFonts w:ascii="NewsGotT" w:hAnsi="NewsGotT"/>
          <w:i/>
          <w:iCs/>
          <w:noProof/>
        </w:rPr>
        <w:t>26</w:t>
      </w:r>
      <w:r w:rsidRPr="003309A0">
        <w:rPr>
          <w:rFonts w:ascii="NewsGotT" w:hAnsi="NewsGotT"/>
          <w:noProof/>
        </w:rPr>
        <w:t>(2), 97–109. https://doi.org/10.1177/1533317510397331</w:t>
      </w:r>
    </w:p>
    <w:p w14:paraId="4AF17AE9"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3309A0">
        <w:rPr>
          <w:rFonts w:ascii="NewsGotT" w:hAnsi="NewsGotT"/>
          <w:i/>
          <w:iCs/>
          <w:noProof/>
        </w:rPr>
        <w:t>Intensive Care Medicine</w:t>
      </w:r>
      <w:r w:rsidRPr="003309A0">
        <w:rPr>
          <w:rFonts w:ascii="NewsGotT" w:hAnsi="NewsGotT"/>
          <w:noProof/>
        </w:rPr>
        <w:t xml:space="preserve">, </w:t>
      </w:r>
      <w:r w:rsidRPr="003309A0">
        <w:rPr>
          <w:rFonts w:ascii="NewsGotT" w:hAnsi="NewsGotT"/>
          <w:i/>
          <w:iCs/>
          <w:noProof/>
        </w:rPr>
        <w:t>34</w:t>
      </w:r>
      <w:r w:rsidRPr="003309A0">
        <w:rPr>
          <w:rFonts w:ascii="NewsGotT" w:hAnsi="NewsGotT"/>
          <w:noProof/>
        </w:rPr>
        <w:t>(10), 1907–1915. https://doi.org/10.1007/s00134-008-1177-6</w:t>
      </w:r>
    </w:p>
    <w:p w14:paraId="2D05249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Murphy, K. P. (2012). </w:t>
      </w:r>
      <w:r w:rsidRPr="003309A0">
        <w:rPr>
          <w:rFonts w:ascii="NewsGotT" w:hAnsi="NewsGotT"/>
          <w:i/>
          <w:iCs/>
          <w:noProof/>
        </w:rPr>
        <w:t>Machine learning: A Probabilistic Perspective</w:t>
      </w:r>
      <w:r w:rsidRPr="003309A0">
        <w:rPr>
          <w:rFonts w:ascii="NewsGotT" w:hAnsi="NewsGotT"/>
          <w:noProof/>
        </w:rPr>
        <w:t xml:space="preserve">. </w:t>
      </w:r>
      <w:r w:rsidRPr="003309A0">
        <w:rPr>
          <w:rFonts w:ascii="NewsGotT" w:hAnsi="NewsGotT"/>
          <w:i/>
          <w:iCs/>
          <w:noProof/>
        </w:rPr>
        <w:t>Expert Systems</w:t>
      </w:r>
      <w:r w:rsidRPr="003309A0">
        <w:rPr>
          <w:rFonts w:ascii="NewsGotT" w:hAnsi="NewsGotT"/>
          <w:noProof/>
        </w:rPr>
        <w:t xml:space="preserve"> (Vol. 5). The MIT Press. https://doi.org/10.1111/j.1468-0394.1988.tb00341.x</w:t>
      </w:r>
    </w:p>
    <w:p w14:paraId="3958CC6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Nagari, N., &amp; Suresh Babu, M. (2019). Assessment of risk factors and precipitating factors of delirium in patients admitted to intensive care unit of a tertiary care hospital. </w:t>
      </w:r>
      <w:r w:rsidRPr="003309A0">
        <w:rPr>
          <w:rFonts w:ascii="NewsGotT" w:hAnsi="NewsGotT"/>
          <w:i/>
          <w:iCs/>
          <w:noProof/>
        </w:rPr>
        <w:t>British Journal of Medical Practitioners</w:t>
      </w:r>
      <w:r w:rsidRPr="003309A0">
        <w:rPr>
          <w:rFonts w:ascii="NewsGotT" w:hAnsi="NewsGotT"/>
          <w:noProof/>
        </w:rPr>
        <w:t xml:space="preserve">, </w:t>
      </w:r>
      <w:r w:rsidRPr="003309A0">
        <w:rPr>
          <w:rFonts w:ascii="NewsGotT" w:hAnsi="NewsGotT"/>
          <w:i/>
          <w:iCs/>
          <w:noProof/>
        </w:rPr>
        <w:t>12</w:t>
      </w:r>
      <w:r w:rsidRPr="003309A0">
        <w:rPr>
          <w:rFonts w:ascii="NewsGotT" w:hAnsi="NewsGotT"/>
          <w:noProof/>
        </w:rPr>
        <w:t>(2).</w:t>
      </w:r>
    </w:p>
    <w:p w14:paraId="1EA683A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Nemati, S., Holder, A., Razmi, F., Stanley, M. D., Clifford, G. D., &amp; Buchman, T. G. (2018). An Interpretable Machine Learning Model for Accurate Prediction of Sepsis in the ICU. </w:t>
      </w:r>
      <w:r w:rsidRPr="003309A0">
        <w:rPr>
          <w:rFonts w:ascii="NewsGotT" w:hAnsi="NewsGotT"/>
          <w:i/>
          <w:iCs/>
          <w:noProof/>
        </w:rPr>
        <w:t>Critical Care Medicine</w:t>
      </w:r>
      <w:r w:rsidRPr="003309A0">
        <w:rPr>
          <w:rFonts w:ascii="NewsGotT" w:hAnsi="NewsGotT"/>
          <w:noProof/>
        </w:rPr>
        <w:t xml:space="preserve">, </w:t>
      </w:r>
      <w:r w:rsidRPr="003309A0">
        <w:rPr>
          <w:rFonts w:ascii="NewsGotT" w:hAnsi="NewsGotT"/>
          <w:i/>
          <w:iCs/>
          <w:noProof/>
        </w:rPr>
        <w:t>46</w:t>
      </w:r>
      <w:r w:rsidRPr="003309A0">
        <w:rPr>
          <w:rFonts w:ascii="NewsGotT" w:hAnsi="NewsGotT"/>
          <w:noProof/>
        </w:rPr>
        <w:t>(4), 547–553. https://doi.org/10.1097/CCM.0000000000002936</w:t>
      </w:r>
    </w:p>
    <w:p w14:paraId="7516722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Nikam, S. S. (2015). A Comparative Study of Classification Techniques in Data Mining Algorithms. </w:t>
      </w:r>
      <w:r w:rsidRPr="003309A0">
        <w:rPr>
          <w:rFonts w:ascii="NewsGotT" w:hAnsi="NewsGotT"/>
          <w:i/>
          <w:iCs/>
          <w:noProof/>
        </w:rPr>
        <w:t>ORIENTAL JOURNAL OF COMPUTER SCIENCE &amp; TECHNOLOGY</w:t>
      </w:r>
      <w:r w:rsidRPr="003309A0">
        <w:rPr>
          <w:rFonts w:ascii="NewsGotT" w:hAnsi="NewsGotT"/>
          <w:noProof/>
        </w:rPr>
        <w:t xml:space="preserve">, </w:t>
      </w:r>
      <w:r w:rsidRPr="003309A0">
        <w:rPr>
          <w:rFonts w:ascii="NewsGotT" w:hAnsi="NewsGotT"/>
          <w:i/>
          <w:iCs/>
          <w:noProof/>
        </w:rPr>
        <w:t>8</w:t>
      </w:r>
      <w:r w:rsidRPr="003309A0">
        <w:rPr>
          <w:rFonts w:ascii="NewsGotT" w:hAnsi="NewsGotT"/>
          <w:noProof/>
        </w:rPr>
        <w:t>(1), 13–19.</w:t>
      </w:r>
    </w:p>
    <w:p w14:paraId="7925B74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Nitchingham, A., Kumar, V., Shenkin, S., Ferguson, K. J., &amp; Caplan, G. A. (2018). A systematic review of neuroimaging in delirium: predictors, correlates and consequences. </w:t>
      </w:r>
      <w:r w:rsidRPr="003309A0">
        <w:rPr>
          <w:rFonts w:ascii="NewsGotT" w:hAnsi="NewsGotT"/>
          <w:i/>
          <w:iCs/>
          <w:noProof/>
        </w:rPr>
        <w:t>International Journal of Geriatric Psychiatry</w:t>
      </w:r>
      <w:r w:rsidRPr="003309A0">
        <w:rPr>
          <w:rFonts w:ascii="NewsGotT" w:hAnsi="NewsGotT"/>
          <w:noProof/>
        </w:rPr>
        <w:t xml:space="preserve">, </w:t>
      </w:r>
      <w:r w:rsidRPr="003309A0">
        <w:rPr>
          <w:rFonts w:ascii="NewsGotT" w:hAnsi="NewsGotT"/>
          <w:i/>
          <w:iCs/>
          <w:noProof/>
        </w:rPr>
        <w:t>33</w:t>
      </w:r>
      <w:r w:rsidRPr="003309A0">
        <w:rPr>
          <w:rFonts w:ascii="NewsGotT" w:hAnsi="NewsGotT"/>
          <w:noProof/>
        </w:rPr>
        <w:t>(11), 1458–1478. https://doi.org/10.1002/gps.4724</w:t>
      </w:r>
    </w:p>
    <w:p w14:paraId="36F5F84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Nussey, S., &amp; Whitehead, S. (2001). </w:t>
      </w:r>
      <w:r w:rsidRPr="003309A0">
        <w:rPr>
          <w:rFonts w:ascii="NewsGotT" w:hAnsi="NewsGotT"/>
          <w:i/>
          <w:iCs/>
          <w:noProof/>
        </w:rPr>
        <w:t>Endocrinology: An Integrated Approach</w:t>
      </w:r>
      <w:r w:rsidRPr="003309A0">
        <w:rPr>
          <w:rFonts w:ascii="NewsGotT" w:hAnsi="NewsGotT"/>
          <w:noProof/>
        </w:rPr>
        <w:t>. Informa HealthCare 2001. Retrieved from https://www.ncbi.nlm.nih.gov/books/NBK20/#A10</w:t>
      </w:r>
    </w:p>
    <w:p w14:paraId="1542F75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ONU, P. (2021). Envelhecimento. Retrieved May 31, 2021, from https://unric.org/pt/envelhecimento/</w:t>
      </w:r>
    </w:p>
    <w:p w14:paraId="451790E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Pedregosa, F., Varoquaux, G., Gramfort, A., Michel, V., Thirion, B., Grisel, O., … Duchesnay, É. (2011). Scikit-learn: Machine Learning in Python. </w:t>
      </w:r>
      <w:r w:rsidRPr="003309A0">
        <w:rPr>
          <w:rFonts w:ascii="NewsGotT" w:hAnsi="NewsGotT"/>
          <w:i/>
          <w:iCs/>
          <w:noProof/>
        </w:rPr>
        <w:t>Journal of Machine Learning Research</w:t>
      </w:r>
      <w:r w:rsidRPr="003309A0">
        <w:rPr>
          <w:rFonts w:ascii="NewsGotT" w:hAnsi="NewsGotT"/>
          <w:noProof/>
        </w:rPr>
        <w:t xml:space="preserve">, </w:t>
      </w:r>
      <w:r w:rsidRPr="003309A0">
        <w:rPr>
          <w:rFonts w:ascii="NewsGotT" w:hAnsi="NewsGotT"/>
          <w:i/>
          <w:iCs/>
          <w:noProof/>
        </w:rPr>
        <w:t>12</w:t>
      </w:r>
      <w:r w:rsidRPr="003309A0">
        <w:rPr>
          <w:rFonts w:ascii="NewsGotT" w:hAnsi="NewsGotT"/>
          <w:noProof/>
        </w:rPr>
        <w:t>, 2825–2830.</w:t>
      </w:r>
    </w:p>
    <w:p w14:paraId="341E047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Pérez-Ros, P., &amp; Martínez-Arnau, F. (2019). Delirium Assessment in Older People in Emergency Departments. A Literature Review. </w:t>
      </w:r>
      <w:r w:rsidRPr="003309A0">
        <w:rPr>
          <w:rFonts w:ascii="NewsGotT" w:hAnsi="NewsGotT"/>
          <w:i/>
          <w:iCs/>
          <w:noProof/>
        </w:rPr>
        <w:t>Diseases</w:t>
      </w:r>
      <w:r w:rsidRPr="003309A0">
        <w:rPr>
          <w:rFonts w:ascii="NewsGotT" w:hAnsi="NewsGotT"/>
          <w:noProof/>
        </w:rPr>
        <w:t xml:space="preserve">, </w:t>
      </w:r>
      <w:r w:rsidRPr="003309A0">
        <w:rPr>
          <w:rFonts w:ascii="NewsGotT" w:hAnsi="NewsGotT"/>
          <w:i/>
          <w:iCs/>
          <w:noProof/>
        </w:rPr>
        <w:t>7</w:t>
      </w:r>
      <w:r w:rsidRPr="003309A0">
        <w:rPr>
          <w:rFonts w:ascii="NewsGotT" w:hAnsi="NewsGotT"/>
          <w:noProof/>
        </w:rPr>
        <w:t>(1), 14. https://doi.org/10.3390/diseases7010014</w:t>
      </w:r>
    </w:p>
    <w:p w14:paraId="7E9F402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Pfizer. (2010). RESUMO DAS CARACTERÍSTICAS DO MEDICAMENTO: Lorenin. Retrieved July 21, 2021, from http://labeling.pfizer.com/ShowLabeling.aspx?id=5194</w:t>
      </w:r>
    </w:p>
    <w:p w14:paraId="3E6DAF2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Pfizer. (2021). RESUMO DAS CARACTERÍSTICAS: Alprazolam. Retrieved July 21, 2021, from http://labeling.pfizer.com/ShowLabeling.aspx?id=4838</w:t>
      </w:r>
    </w:p>
    <w:p w14:paraId="10E4420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Prayce, R., Quaresma, F., &amp; Neto, I. G. (2018). Delirium: O 7</w:t>
      </w:r>
      <w:r w:rsidRPr="003309A0">
        <w:rPr>
          <w:rFonts w:ascii="NewsGotT" w:hAnsi="NewsGotT"/>
          <w:noProof/>
          <w:vertAlign w:val="superscript"/>
        </w:rPr>
        <w:t>o</w:t>
      </w:r>
      <w:r w:rsidRPr="003309A0">
        <w:rPr>
          <w:rFonts w:ascii="NewsGotT" w:hAnsi="NewsGotT"/>
          <w:noProof/>
        </w:rPr>
        <w:t xml:space="preserve"> Parâmetro Vital? </w:t>
      </w:r>
      <w:r w:rsidRPr="003309A0">
        <w:rPr>
          <w:rFonts w:ascii="NewsGotT" w:hAnsi="NewsGotT"/>
          <w:i/>
          <w:iCs/>
          <w:noProof/>
        </w:rPr>
        <w:t>Acta Médica Portuguesa</w:t>
      </w:r>
      <w:r w:rsidRPr="003309A0">
        <w:rPr>
          <w:rFonts w:ascii="NewsGotT" w:hAnsi="NewsGotT"/>
          <w:noProof/>
        </w:rPr>
        <w:t xml:space="preserve">, </w:t>
      </w:r>
      <w:r w:rsidRPr="003309A0">
        <w:rPr>
          <w:rFonts w:ascii="NewsGotT" w:hAnsi="NewsGotT"/>
          <w:i/>
          <w:iCs/>
          <w:noProof/>
        </w:rPr>
        <w:t>31</w:t>
      </w:r>
      <w:r w:rsidRPr="003309A0">
        <w:rPr>
          <w:rFonts w:ascii="NewsGotT" w:hAnsi="NewsGotT"/>
          <w:noProof/>
        </w:rPr>
        <w:t>(1), 51. https://doi.org/10.20344/amp.9670</w:t>
      </w:r>
    </w:p>
    <w:p w14:paraId="1FC6EE5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Quinlan, J. R. (1986). Induction of decision trees. </w:t>
      </w:r>
      <w:r w:rsidRPr="003309A0">
        <w:rPr>
          <w:rFonts w:ascii="NewsGotT" w:hAnsi="NewsGotT"/>
          <w:i/>
          <w:iCs/>
          <w:noProof/>
        </w:rPr>
        <w:t>Machine Learning</w:t>
      </w:r>
      <w:r w:rsidRPr="003309A0">
        <w:rPr>
          <w:rFonts w:ascii="NewsGotT" w:hAnsi="NewsGotT"/>
          <w:noProof/>
        </w:rPr>
        <w:t xml:space="preserve">, </w:t>
      </w:r>
      <w:r w:rsidRPr="003309A0">
        <w:rPr>
          <w:rFonts w:ascii="NewsGotT" w:hAnsi="NewsGotT"/>
          <w:i/>
          <w:iCs/>
          <w:noProof/>
        </w:rPr>
        <w:t>1</w:t>
      </w:r>
      <w:r w:rsidRPr="003309A0">
        <w:rPr>
          <w:rFonts w:ascii="NewsGotT" w:hAnsi="NewsGotT"/>
          <w:noProof/>
        </w:rPr>
        <w:t>(1), 81–106. https://doi.org/10.1007/bf00116251</w:t>
      </w:r>
    </w:p>
    <w:p w14:paraId="2DB2AF5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Robinson, T. N., Raeburn, C. D., Tran, Z. V., Brenner, L. A., &amp; Moss, M. (2011). Motor subtypes of postoperative delirium in older adults. </w:t>
      </w:r>
      <w:r w:rsidRPr="003309A0">
        <w:rPr>
          <w:rFonts w:ascii="NewsGotT" w:hAnsi="NewsGotT"/>
          <w:i/>
          <w:iCs/>
          <w:noProof/>
        </w:rPr>
        <w:t>Archives of Surgery</w:t>
      </w:r>
      <w:r w:rsidRPr="003309A0">
        <w:rPr>
          <w:rFonts w:ascii="NewsGotT" w:hAnsi="NewsGotT"/>
          <w:noProof/>
        </w:rPr>
        <w:t xml:space="preserve">, </w:t>
      </w:r>
      <w:r w:rsidRPr="003309A0">
        <w:rPr>
          <w:rFonts w:ascii="NewsGotT" w:hAnsi="NewsGotT"/>
          <w:i/>
          <w:iCs/>
          <w:noProof/>
        </w:rPr>
        <w:t>146</w:t>
      </w:r>
      <w:r w:rsidRPr="003309A0">
        <w:rPr>
          <w:rFonts w:ascii="NewsGotT" w:hAnsi="NewsGotT"/>
          <w:noProof/>
        </w:rPr>
        <w:t>(3), 295–300. https://doi.org/10.1001/archsurg.2011.14</w:t>
      </w:r>
    </w:p>
    <w:p w14:paraId="3AFC67E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Rosenblatt, F. (1958). The perceptron: A probabilistic model for information storage and organization in the brain. </w:t>
      </w:r>
      <w:r w:rsidRPr="003309A0">
        <w:rPr>
          <w:rFonts w:ascii="NewsGotT" w:hAnsi="NewsGotT"/>
          <w:i/>
          <w:iCs/>
          <w:noProof/>
        </w:rPr>
        <w:t>Psychological Review</w:t>
      </w:r>
      <w:r w:rsidRPr="003309A0">
        <w:rPr>
          <w:rFonts w:ascii="NewsGotT" w:hAnsi="NewsGotT"/>
          <w:noProof/>
        </w:rPr>
        <w:t xml:space="preserve">, </w:t>
      </w:r>
      <w:r w:rsidRPr="003309A0">
        <w:rPr>
          <w:rFonts w:ascii="NewsGotT" w:hAnsi="NewsGotT"/>
          <w:i/>
          <w:iCs/>
          <w:noProof/>
        </w:rPr>
        <w:t>65</w:t>
      </w:r>
      <w:r w:rsidRPr="003309A0">
        <w:rPr>
          <w:rFonts w:ascii="NewsGotT" w:hAnsi="NewsGotT"/>
          <w:noProof/>
        </w:rPr>
        <w:t>(6), 386–408. https://doi.org/10.1037/h0042519</w:t>
      </w:r>
    </w:p>
    <w:p w14:paraId="0029F81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Rossi Varallo, F., Maicon de Oliveira, A., Cristina Barboza Zanetti, A., Carneiro Capucho, H., Régis Leira </w:t>
      </w:r>
      <w:r w:rsidRPr="003309A0">
        <w:rPr>
          <w:rFonts w:ascii="NewsGotT" w:hAnsi="NewsGotT"/>
          <w:noProof/>
        </w:rPr>
        <w:lastRenderedPageBreak/>
        <w:t xml:space="preserve">Pereira, L., Borges Pereira, L., … Detoni Lopes, V. (2021). Drug-Induced Delirium among Older People. In </w:t>
      </w:r>
      <w:r w:rsidRPr="003309A0">
        <w:rPr>
          <w:rFonts w:ascii="NewsGotT" w:hAnsi="NewsGotT"/>
          <w:i/>
          <w:iCs/>
          <w:noProof/>
        </w:rPr>
        <w:t>New Insights into the Future of Pharmacoepidemiology and Drug Safety [Working Title]</w:t>
      </w:r>
      <w:r w:rsidRPr="003309A0">
        <w:rPr>
          <w:rFonts w:ascii="NewsGotT" w:hAnsi="NewsGotT"/>
          <w:noProof/>
        </w:rPr>
        <w:t xml:space="preserve"> (Vol. 32, pp. 137–144). IntechOpen. https://doi.org/10.5772/intechopen.95470</w:t>
      </w:r>
    </w:p>
    <w:p w14:paraId="651F133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3309A0">
        <w:rPr>
          <w:rFonts w:ascii="NewsGotT" w:hAnsi="NewsGotT"/>
          <w:i/>
          <w:iCs/>
          <w:noProof/>
        </w:rPr>
        <w:t>Interactive CardioVascular and Thoracic Surgery</w:t>
      </w:r>
      <w:r w:rsidRPr="003309A0">
        <w:rPr>
          <w:rFonts w:ascii="NewsGotT" w:hAnsi="NewsGotT"/>
          <w:noProof/>
        </w:rPr>
        <w:t xml:space="preserve">, </w:t>
      </w:r>
      <w:r w:rsidRPr="003309A0">
        <w:rPr>
          <w:rFonts w:ascii="NewsGotT" w:hAnsi="NewsGotT"/>
          <w:i/>
          <w:iCs/>
          <w:noProof/>
        </w:rPr>
        <w:t>10</w:t>
      </w:r>
      <w:r w:rsidRPr="003309A0">
        <w:rPr>
          <w:rFonts w:ascii="NewsGotT" w:hAnsi="NewsGotT"/>
          <w:noProof/>
        </w:rPr>
        <w:t>(1), 58–62. https://doi.org/10.1510/icvts.2009.217562</w:t>
      </w:r>
    </w:p>
    <w:p w14:paraId="74304FA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Rudberg, M. A., Pompei, P., Foreman, M. D., Ross, R. E., &amp; Cassel, C. K. (1997). The natural history of delirium in older hospitalized patients: A syndrome of heterogeneity. </w:t>
      </w:r>
      <w:r w:rsidRPr="003309A0">
        <w:rPr>
          <w:rFonts w:ascii="NewsGotT" w:hAnsi="NewsGotT"/>
          <w:i/>
          <w:iCs/>
          <w:noProof/>
        </w:rPr>
        <w:t>Age and Ageing</w:t>
      </w:r>
      <w:r w:rsidRPr="003309A0">
        <w:rPr>
          <w:rFonts w:ascii="NewsGotT" w:hAnsi="NewsGotT"/>
          <w:noProof/>
        </w:rPr>
        <w:t xml:space="preserve">, </w:t>
      </w:r>
      <w:r w:rsidRPr="003309A0">
        <w:rPr>
          <w:rFonts w:ascii="NewsGotT" w:hAnsi="NewsGotT"/>
          <w:i/>
          <w:iCs/>
          <w:noProof/>
        </w:rPr>
        <w:t>26</w:t>
      </w:r>
      <w:r w:rsidRPr="003309A0">
        <w:rPr>
          <w:rFonts w:ascii="NewsGotT" w:hAnsi="NewsGotT"/>
          <w:noProof/>
        </w:rPr>
        <w:t>(3), 169–174. https://doi.org/10.1093/ageing/26.3.169</w:t>
      </w:r>
    </w:p>
    <w:p w14:paraId="7C6C0CB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Salluh, J. I. F., Wang, H., Schneider, E. B., Nagaraja, N., Yenokyan, G., Damluji, A., … Stevens, R. D. (2015). Outcome of delirium in critically ill patients: Systematic review and meta-analysis. </w:t>
      </w:r>
      <w:r w:rsidRPr="003309A0">
        <w:rPr>
          <w:rFonts w:ascii="NewsGotT" w:hAnsi="NewsGotT"/>
          <w:i/>
          <w:iCs/>
          <w:noProof/>
        </w:rPr>
        <w:t>BMJ (Online)</w:t>
      </w:r>
      <w:r w:rsidRPr="003309A0">
        <w:rPr>
          <w:rFonts w:ascii="NewsGotT" w:hAnsi="NewsGotT"/>
          <w:noProof/>
        </w:rPr>
        <w:t xml:space="preserve">, </w:t>
      </w:r>
      <w:r w:rsidRPr="003309A0">
        <w:rPr>
          <w:rFonts w:ascii="NewsGotT" w:hAnsi="NewsGotT"/>
          <w:i/>
          <w:iCs/>
          <w:noProof/>
        </w:rPr>
        <w:t>350</w:t>
      </w:r>
      <w:r w:rsidRPr="003309A0">
        <w:rPr>
          <w:rFonts w:ascii="NewsGotT" w:hAnsi="NewsGotT"/>
          <w:noProof/>
        </w:rPr>
        <w:t>, 1–10. https://doi.org/10.1136/bmj.h2538</w:t>
      </w:r>
    </w:p>
    <w:p w14:paraId="58307C8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Samuel, A. L. (1959). Some Studies in Machine Learning. </w:t>
      </w:r>
      <w:r w:rsidRPr="003309A0">
        <w:rPr>
          <w:rFonts w:ascii="NewsGotT" w:hAnsi="NewsGotT"/>
          <w:i/>
          <w:iCs/>
          <w:noProof/>
        </w:rPr>
        <w:t>IBM Journal of Research and Development</w:t>
      </w:r>
      <w:r w:rsidRPr="003309A0">
        <w:rPr>
          <w:rFonts w:ascii="NewsGotT" w:hAnsi="NewsGotT"/>
          <w:noProof/>
        </w:rPr>
        <w:t xml:space="preserve">, </w:t>
      </w:r>
      <w:r w:rsidRPr="003309A0">
        <w:rPr>
          <w:rFonts w:ascii="NewsGotT" w:hAnsi="NewsGotT"/>
          <w:i/>
          <w:iCs/>
          <w:noProof/>
        </w:rPr>
        <w:t>3</w:t>
      </w:r>
      <w:r w:rsidRPr="003309A0">
        <w:rPr>
          <w:rFonts w:ascii="NewsGotT" w:hAnsi="NewsGotT"/>
          <w:noProof/>
        </w:rPr>
        <w:t>(3), 210–229. Retrieved from https://ieeexplore.ieee.org/stamp/stamp.jsp?tp=&amp;arnumber=5392560</w:t>
      </w:r>
    </w:p>
    <w:p w14:paraId="572736B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Saraiva, C. B., &amp; Cerejeira, J. (2014). </w:t>
      </w:r>
      <w:r w:rsidRPr="003309A0">
        <w:rPr>
          <w:rFonts w:ascii="NewsGotT" w:hAnsi="NewsGotT"/>
          <w:i/>
          <w:iCs/>
          <w:noProof/>
        </w:rPr>
        <w:t>Psiquiatria fundamental</w:t>
      </w:r>
      <w:r w:rsidRPr="003309A0">
        <w:rPr>
          <w:rFonts w:ascii="NewsGotT" w:hAnsi="NewsGotT"/>
          <w:noProof/>
        </w:rPr>
        <w:t>. Lisboa: Lidel. Retrieved from http://id.bnportugal.gov.pt/bib/bibnacional/1938223</w:t>
      </w:r>
    </w:p>
    <w:p w14:paraId="166AF03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Schröer, C., Kruse, F., &amp; Gómez, J. M. (2021). A Systematic Literature Review on Applying CRISP-DM Process Model. </w:t>
      </w:r>
      <w:r w:rsidRPr="003309A0">
        <w:rPr>
          <w:rFonts w:ascii="NewsGotT" w:hAnsi="NewsGotT"/>
          <w:i/>
          <w:iCs/>
          <w:noProof/>
        </w:rPr>
        <w:t>Procedia Computer Science</w:t>
      </w:r>
      <w:r w:rsidRPr="003309A0">
        <w:rPr>
          <w:rFonts w:ascii="NewsGotT" w:hAnsi="NewsGotT"/>
          <w:noProof/>
        </w:rPr>
        <w:t xml:space="preserve">, </w:t>
      </w:r>
      <w:r w:rsidRPr="003309A0">
        <w:rPr>
          <w:rFonts w:ascii="NewsGotT" w:hAnsi="NewsGotT"/>
          <w:i/>
          <w:iCs/>
          <w:noProof/>
        </w:rPr>
        <w:t>181</w:t>
      </w:r>
      <w:r w:rsidRPr="003309A0">
        <w:rPr>
          <w:rFonts w:ascii="NewsGotT" w:hAnsi="NewsGotT"/>
          <w:noProof/>
        </w:rPr>
        <w:t>(2019), 526–534. https://doi.org/10.1016/j.procs.2021.01.199</w:t>
      </w:r>
    </w:p>
    <w:p w14:paraId="1F8EFAE7"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Shen, W. W. (1999). A history of antipsychotic drug development. </w:t>
      </w:r>
      <w:r w:rsidRPr="003309A0">
        <w:rPr>
          <w:rFonts w:ascii="NewsGotT" w:hAnsi="NewsGotT"/>
          <w:i/>
          <w:iCs/>
          <w:noProof/>
        </w:rPr>
        <w:t>Comprehensive Psychiatry</w:t>
      </w:r>
      <w:r w:rsidRPr="003309A0">
        <w:rPr>
          <w:rFonts w:ascii="NewsGotT" w:hAnsi="NewsGotT"/>
          <w:noProof/>
        </w:rPr>
        <w:t xml:space="preserve">, </w:t>
      </w:r>
      <w:r w:rsidRPr="003309A0">
        <w:rPr>
          <w:rFonts w:ascii="NewsGotT" w:hAnsi="NewsGotT"/>
          <w:i/>
          <w:iCs/>
          <w:noProof/>
        </w:rPr>
        <w:t>40</w:t>
      </w:r>
      <w:r w:rsidRPr="003309A0">
        <w:rPr>
          <w:rFonts w:ascii="NewsGotT" w:hAnsi="NewsGotT"/>
          <w:noProof/>
        </w:rPr>
        <w:t>(6), 407–414. https://doi.org/10.1016/S0010-440X(99)90082-2</w:t>
      </w:r>
    </w:p>
    <w:p w14:paraId="4B3C1FD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Siddiqi, N., House, A. O., &amp; Holmes, J. D. (2006). Occurrence and outcome of delirium in medical in-patients: A systematic literature review. </w:t>
      </w:r>
      <w:r w:rsidRPr="003309A0">
        <w:rPr>
          <w:rFonts w:ascii="NewsGotT" w:hAnsi="NewsGotT"/>
          <w:i/>
          <w:iCs/>
          <w:noProof/>
        </w:rPr>
        <w:t>Age and Ageing</w:t>
      </w:r>
      <w:r w:rsidRPr="003309A0">
        <w:rPr>
          <w:rFonts w:ascii="NewsGotT" w:hAnsi="NewsGotT"/>
          <w:noProof/>
        </w:rPr>
        <w:t xml:space="preserve">, </w:t>
      </w:r>
      <w:r w:rsidRPr="003309A0">
        <w:rPr>
          <w:rFonts w:ascii="NewsGotT" w:hAnsi="NewsGotT"/>
          <w:i/>
          <w:iCs/>
          <w:noProof/>
        </w:rPr>
        <w:t>35</w:t>
      </w:r>
      <w:r w:rsidRPr="003309A0">
        <w:rPr>
          <w:rFonts w:ascii="NewsGotT" w:hAnsi="NewsGotT"/>
          <w:noProof/>
        </w:rPr>
        <w:t>(4), 350–364. https://doi.org/10.1093/ageing/afl005</w:t>
      </w:r>
    </w:p>
    <w:p w14:paraId="5C9F917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Slooter, A. J. C., Otte, W. M., Devlin, J. W., Arora, R. C., Bleck, T. P., Claassen, J., … Stevens, R. D. (2020). Updated nomenclature of delirium and acute encephalopathy: statement of ten Societies. </w:t>
      </w:r>
      <w:r w:rsidRPr="003309A0">
        <w:rPr>
          <w:rFonts w:ascii="NewsGotT" w:hAnsi="NewsGotT"/>
          <w:i/>
          <w:iCs/>
          <w:noProof/>
        </w:rPr>
        <w:t>Intensive Care Medicine</w:t>
      </w:r>
      <w:r w:rsidRPr="003309A0">
        <w:rPr>
          <w:rFonts w:ascii="NewsGotT" w:hAnsi="NewsGotT"/>
          <w:noProof/>
        </w:rPr>
        <w:t xml:space="preserve">, </w:t>
      </w:r>
      <w:r w:rsidRPr="003309A0">
        <w:rPr>
          <w:rFonts w:ascii="NewsGotT" w:hAnsi="NewsGotT"/>
          <w:i/>
          <w:iCs/>
          <w:noProof/>
        </w:rPr>
        <w:t>46</w:t>
      </w:r>
      <w:r w:rsidRPr="003309A0">
        <w:rPr>
          <w:rFonts w:ascii="NewsGotT" w:hAnsi="NewsGotT"/>
          <w:noProof/>
        </w:rPr>
        <w:t>(5), 1020–1022. https://doi.org/10.1007/s00134-019-05907-4</w:t>
      </w:r>
    </w:p>
    <w:p w14:paraId="709B7750"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3309A0">
        <w:rPr>
          <w:rFonts w:ascii="NewsGotT" w:hAnsi="NewsGotT"/>
          <w:i/>
          <w:iCs/>
          <w:noProof/>
        </w:rPr>
        <w:t>International Journal of Geriatric Psychiatry</w:t>
      </w:r>
      <w:r w:rsidRPr="003309A0">
        <w:rPr>
          <w:rFonts w:ascii="NewsGotT" w:hAnsi="NewsGotT"/>
          <w:noProof/>
        </w:rPr>
        <w:t xml:space="preserve">, </w:t>
      </w:r>
      <w:r w:rsidRPr="003309A0">
        <w:rPr>
          <w:rFonts w:ascii="NewsGotT" w:hAnsi="NewsGotT"/>
          <w:i/>
          <w:iCs/>
          <w:noProof/>
        </w:rPr>
        <w:t>32</w:t>
      </w:r>
      <w:r w:rsidRPr="003309A0">
        <w:rPr>
          <w:rFonts w:ascii="NewsGotT" w:hAnsi="NewsGotT"/>
          <w:noProof/>
        </w:rPr>
        <w:t>(4), 386–396. https://doi.org/10.1002/gps.4655</w:t>
      </w:r>
    </w:p>
    <w:p w14:paraId="173D1B0C"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Souza, I. T., Wildner, D. P. da S., Gazdzichi, A. K., &amp; Nink, R. F. O. (2020). THE EVOLUTION OF PSYCHOPHARMACES IN THE TREATMENT OF DEPRESSION. </w:t>
      </w:r>
      <w:r w:rsidRPr="003309A0">
        <w:rPr>
          <w:rFonts w:ascii="NewsGotT" w:hAnsi="NewsGotT"/>
          <w:i/>
          <w:iCs/>
          <w:noProof/>
        </w:rPr>
        <w:t>Brazilian Journal of Surgery and Clinical Research – BJSCR</w:t>
      </w:r>
      <w:r w:rsidRPr="003309A0">
        <w:rPr>
          <w:rFonts w:ascii="NewsGotT" w:hAnsi="NewsGotT"/>
          <w:noProof/>
        </w:rPr>
        <w:t xml:space="preserve">, </w:t>
      </w:r>
      <w:r w:rsidRPr="003309A0">
        <w:rPr>
          <w:rFonts w:ascii="NewsGotT" w:hAnsi="NewsGotT"/>
          <w:i/>
          <w:iCs/>
          <w:noProof/>
        </w:rPr>
        <w:t>33</w:t>
      </w:r>
      <w:r w:rsidRPr="003309A0">
        <w:rPr>
          <w:rFonts w:ascii="NewsGotT" w:hAnsi="NewsGotT"/>
          <w:noProof/>
        </w:rPr>
        <w:t>(2), 109–114. Retrieved from http://www.mastereditora.com.br/bjscr</w:t>
      </w:r>
    </w:p>
    <w:p w14:paraId="1E434CE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Stahl, S. M., Grady, M. M., Moret, C., &amp; Briley, M. (2005). SNRIs: The Pharmacology, Clinical Efficacy, and Tolerability in Comparison with Other Classes of Antidepressants. </w:t>
      </w:r>
      <w:r w:rsidRPr="003309A0">
        <w:rPr>
          <w:rFonts w:ascii="NewsGotT" w:hAnsi="NewsGotT"/>
          <w:i/>
          <w:iCs/>
          <w:noProof/>
        </w:rPr>
        <w:t>CNS Spectrums</w:t>
      </w:r>
      <w:r w:rsidRPr="003309A0">
        <w:rPr>
          <w:rFonts w:ascii="NewsGotT" w:hAnsi="NewsGotT"/>
          <w:noProof/>
        </w:rPr>
        <w:t xml:space="preserve">, </w:t>
      </w:r>
      <w:r w:rsidRPr="003309A0">
        <w:rPr>
          <w:rFonts w:ascii="NewsGotT" w:hAnsi="NewsGotT"/>
          <w:i/>
          <w:iCs/>
          <w:noProof/>
        </w:rPr>
        <w:t>10</w:t>
      </w:r>
      <w:r w:rsidRPr="003309A0">
        <w:rPr>
          <w:rFonts w:ascii="NewsGotT" w:hAnsi="NewsGotT"/>
          <w:noProof/>
        </w:rPr>
        <w:t>(9), 732–747. https://doi.org/10.1017/S1092852900019726</w:t>
      </w:r>
    </w:p>
    <w:p w14:paraId="16E97CC8"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Stewart, J., Sprivulis, P., &amp; Dwivedi, G. (2018). Artificial intelligence and machine learning in emergency medicine. </w:t>
      </w:r>
      <w:r w:rsidRPr="003309A0">
        <w:rPr>
          <w:rFonts w:ascii="NewsGotT" w:hAnsi="NewsGotT"/>
          <w:i/>
          <w:iCs/>
          <w:noProof/>
        </w:rPr>
        <w:t>EMA - Emergency Medicine Australasia</w:t>
      </w:r>
      <w:r w:rsidRPr="003309A0">
        <w:rPr>
          <w:rFonts w:ascii="NewsGotT" w:hAnsi="NewsGotT"/>
          <w:noProof/>
        </w:rPr>
        <w:t xml:space="preserve">, </w:t>
      </w:r>
      <w:r w:rsidRPr="003309A0">
        <w:rPr>
          <w:rFonts w:ascii="NewsGotT" w:hAnsi="NewsGotT"/>
          <w:i/>
          <w:iCs/>
          <w:noProof/>
        </w:rPr>
        <w:t>30</w:t>
      </w:r>
      <w:r w:rsidRPr="003309A0">
        <w:rPr>
          <w:rFonts w:ascii="NewsGotT" w:hAnsi="NewsGotT"/>
          <w:noProof/>
        </w:rPr>
        <w:t>(6), 870–874. https://doi.org/10.1111/1742-6723.13145</w:t>
      </w:r>
    </w:p>
    <w:p w14:paraId="1664AFB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Stoltzfus, J. C. (2011). Logistic regression: A brief primer. </w:t>
      </w:r>
      <w:r w:rsidRPr="003309A0">
        <w:rPr>
          <w:rFonts w:ascii="NewsGotT" w:hAnsi="NewsGotT"/>
          <w:i/>
          <w:iCs/>
          <w:noProof/>
        </w:rPr>
        <w:t>Academic Emergency Medicine</w:t>
      </w:r>
      <w:r w:rsidRPr="003309A0">
        <w:rPr>
          <w:rFonts w:ascii="NewsGotT" w:hAnsi="NewsGotT"/>
          <w:noProof/>
        </w:rPr>
        <w:t xml:space="preserve">, </w:t>
      </w:r>
      <w:r w:rsidRPr="003309A0">
        <w:rPr>
          <w:rFonts w:ascii="NewsGotT" w:hAnsi="NewsGotT"/>
          <w:i/>
          <w:iCs/>
          <w:noProof/>
        </w:rPr>
        <w:t>18</w:t>
      </w:r>
      <w:r w:rsidRPr="003309A0">
        <w:rPr>
          <w:rFonts w:ascii="NewsGotT" w:hAnsi="NewsGotT"/>
          <w:noProof/>
        </w:rPr>
        <w:t>(10), 1099–1104. https://doi.org/10.1111/j.1553-2712.2011.01185.x</w:t>
      </w:r>
    </w:p>
    <w:p w14:paraId="2FB6D08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Swart, L. M., van der Zanden, V., Spies, P. E., de Rooij, S. E., &amp; van Munster, B. C. (2017). The Comparative Risk of Delirium with Different Opioids: A Systematic Review. </w:t>
      </w:r>
      <w:r w:rsidRPr="003309A0">
        <w:rPr>
          <w:rFonts w:ascii="NewsGotT" w:hAnsi="NewsGotT"/>
          <w:i/>
          <w:iCs/>
          <w:noProof/>
        </w:rPr>
        <w:t>Drugs &amp; Aging</w:t>
      </w:r>
      <w:r w:rsidRPr="003309A0">
        <w:rPr>
          <w:rFonts w:ascii="NewsGotT" w:hAnsi="NewsGotT"/>
          <w:noProof/>
        </w:rPr>
        <w:t xml:space="preserve">, </w:t>
      </w:r>
      <w:r w:rsidRPr="003309A0">
        <w:rPr>
          <w:rFonts w:ascii="NewsGotT" w:hAnsi="NewsGotT"/>
          <w:i/>
          <w:iCs/>
          <w:noProof/>
        </w:rPr>
        <w:t>34</w:t>
      </w:r>
      <w:r w:rsidRPr="003309A0">
        <w:rPr>
          <w:rFonts w:ascii="NewsGotT" w:hAnsi="NewsGotT"/>
          <w:noProof/>
        </w:rPr>
        <w:t>(6), 437–443. https://doi.org/10.1007/s40266-017-0455-9</w:t>
      </w:r>
    </w:p>
    <w:p w14:paraId="1369E5D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lastRenderedPageBreak/>
        <w:t xml:space="preserve">Taylor, R. A., &amp; Haimovich, A. D. (2021). Machine Learning in Emergency Medicine: Keys to Future Success. </w:t>
      </w:r>
      <w:r w:rsidRPr="003309A0">
        <w:rPr>
          <w:rFonts w:ascii="NewsGotT" w:hAnsi="NewsGotT"/>
          <w:i/>
          <w:iCs/>
          <w:noProof/>
        </w:rPr>
        <w:t>Academic Emergency Medicine</w:t>
      </w:r>
      <w:r w:rsidRPr="003309A0">
        <w:rPr>
          <w:rFonts w:ascii="NewsGotT" w:hAnsi="NewsGotT"/>
          <w:noProof/>
        </w:rPr>
        <w:t xml:space="preserve">, </w:t>
      </w:r>
      <w:r w:rsidRPr="003309A0">
        <w:rPr>
          <w:rFonts w:ascii="NewsGotT" w:hAnsi="NewsGotT"/>
          <w:i/>
          <w:iCs/>
          <w:noProof/>
        </w:rPr>
        <w:t>28</w:t>
      </w:r>
      <w:r w:rsidRPr="003309A0">
        <w:rPr>
          <w:rFonts w:ascii="NewsGotT" w:hAnsi="NewsGotT"/>
          <w:noProof/>
        </w:rPr>
        <w:t>(2), 263–267. https://doi.org/10.1111/acem.14189</w:t>
      </w:r>
    </w:p>
    <w:p w14:paraId="60A24D8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Telles-Correia, D., Guerreiro, D. F., Oliveira, S., &amp; Figueira, M. L. (2007). Diferenças farmacodinâmicas e farmacocinéticas entre os SSRI: Implicações na prática clínica. </w:t>
      </w:r>
      <w:r w:rsidRPr="003309A0">
        <w:rPr>
          <w:rFonts w:ascii="NewsGotT" w:hAnsi="NewsGotT"/>
          <w:i/>
          <w:iCs/>
          <w:noProof/>
        </w:rPr>
        <w:t>Acta Medica Portuguesa</w:t>
      </w:r>
      <w:r w:rsidRPr="003309A0">
        <w:rPr>
          <w:rFonts w:ascii="NewsGotT" w:hAnsi="NewsGotT"/>
          <w:noProof/>
        </w:rPr>
        <w:t xml:space="preserve">, </w:t>
      </w:r>
      <w:r w:rsidRPr="003309A0">
        <w:rPr>
          <w:rFonts w:ascii="NewsGotT" w:hAnsi="NewsGotT"/>
          <w:i/>
          <w:iCs/>
          <w:noProof/>
        </w:rPr>
        <w:t>20</w:t>
      </w:r>
      <w:r w:rsidRPr="003309A0">
        <w:rPr>
          <w:rFonts w:ascii="NewsGotT" w:hAnsi="NewsGotT"/>
          <w:noProof/>
        </w:rPr>
        <w:t>(2), 167–174.</w:t>
      </w:r>
    </w:p>
    <w:p w14:paraId="4D861721"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Thom, R. P., Levy-Carrick, N. C., Bui, M., &amp; Silbersweig, D. (2019). Delirium. </w:t>
      </w:r>
      <w:r w:rsidRPr="003309A0">
        <w:rPr>
          <w:rFonts w:ascii="NewsGotT" w:hAnsi="NewsGotT"/>
          <w:i/>
          <w:iCs/>
          <w:noProof/>
        </w:rPr>
        <w:t>American Journal of Psychiatry</w:t>
      </w:r>
      <w:r w:rsidRPr="003309A0">
        <w:rPr>
          <w:rFonts w:ascii="NewsGotT" w:hAnsi="NewsGotT"/>
          <w:noProof/>
        </w:rPr>
        <w:t xml:space="preserve">, </w:t>
      </w:r>
      <w:r w:rsidRPr="003309A0">
        <w:rPr>
          <w:rFonts w:ascii="NewsGotT" w:hAnsi="NewsGotT"/>
          <w:i/>
          <w:iCs/>
          <w:noProof/>
        </w:rPr>
        <w:t>176</w:t>
      </w:r>
      <w:r w:rsidRPr="003309A0">
        <w:rPr>
          <w:rFonts w:ascii="NewsGotT" w:hAnsi="NewsGotT"/>
          <w:noProof/>
        </w:rPr>
        <w:t>(10), 785–793. https://doi.org/10.1176/appi.ajp.2018.18070893</w:t>
      </w:r>
    </w:p>
    <w:p w14:paraId="2C321EF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Timmermans, S., Souffriau, J., &amp; Libert, C. (2019). A General Introduction to Glucocorticoid Biology. </w:t>
      </w:r>
      <w:r w:rsidRPr="003309A0">
        <w:rPr>
          <w:rFonts w:ascii="NewsGotT" w:hAnsi="NewsGotT"/>
          <w:i/>
          <w:iCs/>
          <w:noProof/>
        </w:rPr>
        <w:t>Frontiers in Immunology</w:t>
      </w:r>
      <w:r w:rsidRPr="003309A0">
        <w:rPr>
          <w:rFonts w:ascii="NewsGotT" w:hAnsi="NewsGotT"/>
          <w:noProof/>
        </w:rPr>
        <w:t xml:space="preserve">, </w:t>
      </w:r>
      <w:r w:rsidRPr="003309A0">
        <w:rPr>
          <w:rFonts w:ascii="NewsGotT" w:hAnsi="NewsGotT"/>
          <w:i/>
          <w:iCs/>
          <w:noProof/>
        </w:rPr>
        <w:t>10</w:t>
      </w:r>
      <w:r w:rsidRPr="003309A0">
        <w:rPr>
          <w:rFonts w:ascii="NewsGotT" w:hAnsi="NewsGotT"/>
          <w:noProof/>
        </w:rPr>
        <w:t>(JULY). https://doi.org/10.3389/fimmu.2019.01545</w:t>
      </w:r>
    </w:p>
    <w:p w14:paraId="19DA9245"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309A0">
        <w:rPr>
          <w:rFonts w:ascii="NewsGotT" w:hAnsi="NewsGotT"/>
          <w:i/>
          <w:iCs/>
          <w:noProof/>
        </w:rPr>
        <w:t>BMJ (Online)</w:t>
      </w:r>
      <w:r w:rsidRPr="003309A0">
        <w:rPr>
          <w:rFonts w:ascii="NewsGotT" w:hAnsi="NewsGotT"/>
          <w:noProof/>
        </w:rPr>
        <w:t xml:space="preserve">, </w:t>
      </w:r>
      <w:r w:rsidRPr="003309A0">
        <w:rPr>
          <w:rFonts w:ascii="NewsGotT" w:hAnsi="NewsGotT"/>
          <w:i/>
          <w:iCs/>
          <w:noProof/>
        </w:rPr>
        <w:t>344</w:t>
      </w:r>
      <w:r w:rsidRPr="003309A0">
        <w:rPr>
          <w:rFonts w:ascii="NewsGotT" w:hAnsi="NewsGotT"/>
          <w:noProof/>
        </w:rPr>
        <w:t>(7845), 17. https://doi.org/10.1136/bmj.e420</w:t>
      </w:r>
    </w:p>
    <w:p w14:paraId="712A1EC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Van Eijk, M. M. J., Van Marum, R. J., Klijn, I. A. M., De Wit, N., Kesecioglu, J., &amp; Slooter, A. J. C. (2009). Comparison of delirium assessment tools in a mixed intensive care unit. </w:t>
      </w:r>
      <w:r w:rsidRPr="003309A0">
        <w:rPr>
          <w:rFonts w:ascii="NewsGotT" w:hAnsi="NewsGotT"/>
          <w:i/>
          <w:iCs/>
          <w:noProof/>
        </w:rPr>
        <w:t>Critical Care Medicine</w:t>
      </w:r>
      <w:r w:rsidRPr="003309A0">
        <w:rPr>
          <w:rFonts w:ascii="NewsGotT" w:hAnsi="NewsGotT"/>
          <w:noProof/>
        </w:rPr>
        <w:t xml:space="preserve">, </w:t>
      </w:r>
      <w:r w:rsidRPr="003309A0">
        <w:rPr>
          <w:rFonts w:ascii="NewsGotT" w:hAnsi="NewsGotT"/>
          <w:i/>
          <w:iCs/>
          <w:noProof/>
        </w:rPr>
        <w:t>37</w:t>
      </w:r>
      <w:r w:rsidRPr="003309A0">
        <w:rPr>
          <w:rFonts w:ascii="NewsGotT" w:hAnsi="NewsGotT"/>
          <w:noProof/>
        </w:rPr>
        <w:t>(6), 1881–1885. https://doi.org/10.1097/CCM.0b013e3181a00118</w:t>
      </w:r>
    </w:p>
    <w:p w14:paraId="77ECB87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Vapnik, V. N. (2000). </w:t>
      </w:r>
      <w:r w:rsidRPr="003309A0">
        <w:rPr>
          <w:rFonts w:ascii="NewsGotT" w:hAnsi="NewsGotT"/>
          <w:i/>
          <w:iCs/>
          <w:noProof/>
        </w:rPr>
        <w:t>The Nature of Statistical Learning Theory</w:t>
      </w:r>
      <w:r w:rsidRPr="003309A0">
        <w:rPr>
          <w:rFonts w:ascii="NewsGotT" w:hAnsi="NewsGotT"/>
          <w:noProof/>
        </w:rPr>
        <w:t xml:space="preserve">. </w:t>
      </w:r>
      <w:r w:rsidRPr="003309A0">
        <w:rPr>
          <w:rFonts w:ascii="NewsGotT" w:hAnsi="NewsGotT"/>
          <w:i/>
          <w:iCs/>
          <w:noProof/>
        </w:rPr>
        <w:t>Statistics for Engineering and Information Science</w:t>
      </w:r>
      <w:r w:rsidRPr="003309A0">
        <w:rPr>
          <w:rFonts w:ascii="NewsGotT" w:hAnsi="NewsGotT"/>
          <w:noProof/>
        </w:rPr>
        <w:t xml:space="preserve"> (2nd ed.). Springer New York. Retrieved from https://ci.nii.ac.jp/naid/10020951890</w:t>
      </w:r>
    </w:p>
    <w:p w14:paraId="4F6CF81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309A0">
        <w:rPr>
          <w:rFonts w:ascii="NewsGotT" w:hAnsi="NewsGotT"/>
          <w:i/>
          <w:iCs/>
          <w:noProof/>
        </w:rPr>
        <w:t>Nutrition</w:t>
      </w:r>
      <w:r w:rsidRPr="003309A0">
        <w:rPr>
          <w:rFonts w:ascii="NewsGotT" w:hAnsi="NewsGotT"/>
          <w:noProof/>
        </w:rPr>
        <w:t xml:space="preserve">, </w:t>
      </w:r>
      <w:r w:rsidRPr="003309A0">
        <w:rPr>
          <w:rFonts w:ascii="NewsGotT" w:hAnsi="NewsGotT"/>
          <w:i/>
          <w:iCs/>
          <w:noProof/>
        </w:rPr>
        <w:t>66</w:t>
      </w:r>
      <w:r w:rsidRPr="003309A0">
        <w:rPr>
          <w:rFonts w:ascii="NewsGotT" w:hAnsi="NewsGotT"/>
          <w:noProof/>
        </w:rPr>
        <w:t>, 227–232. https://doi.org/10.1016/j.nut.2019.06.006</w:t>
      </w:r>
    </w:p>
    <w:p w14:paraId="2277060B"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Vellido, A. (2020). The importance of interpretability and visualization in machine learning for applications in medicine and health care. </w:t>
      </w:r>
      <w:r w:rsidRPr="003309A0">
        <w:rPr>
          <w:rFonts w:ascii="NewsGotT" w:hAnsi="NewsGotT"/>
          <w:i/>
          <w:iCs/>
          <w:noProof/>
        </w:rPr>
        <w:t>Neural Computing and Applications</w:t>
      </w:r>
      <w:r w:rsidRPr="003309A0">
        <w:rPr>
          <w:rFonts w:ascii="NewsGotT" w:hAnsi="NewsGotT"/>
          <w:noProof/>
        </w:rPr>
        <w:t xml:space="preserve">, </w:t>
      </w:r>
      <w:r w:rsidRPr="003309A0">
        <w:rPr>
          <w:rFonts w:ascii="NewsGotT" w:hAnsi="NewsGotT"/>
          <w:i/>
          <w:iCs/>
          <w:noProof/>
        </w:rPr>
        <w:t>32</w:t>
      </w:r>
      <w:r w:rsidRPr="003309A0">
        <w:rPr>
          <w:rFonts w:ascii="NewsGotT" w:hAnsi="NewsGotT"/>
          <w:noProof/>
        </w:rPr>
        <w:t>(24), 18069–18083. https://doi.org/10.1007/s00521-019-04051-w</w:t>
      </w:r>
    </w:p>
    <w:p w14:paraId="4B2F8C7E"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Wang, H. R., Woo, Y. S., &amp; Bahk, W.-M. (2013). Atypical antipsychotics in the treatment of delirium. </w:t>
      </w:r>
      <w:r w:rsidRPr="003309A0">
        <w:rPr>
          <w:rFonts w:ascii="NewsGotT" w:hAnsi="NewsGotT"/>
          <w:i/>
          <w:iCs/>
          <w:noProof/>
        </w:rPr>
        <w:t>Psychiatry and Clinical Neurosciences</w:t>
      </w:r>
      <w:r w:rsidRPr="003309A0">
        <w:rPr>
          <w:rFonts w:ascii="NewsGotT" w:hAnsi="NewsGotT"/>
          <w:noProof/>
        </w:rPr>
        <w:t xml:space="preserve">, </w:t>
      </w:r>
      <w:r w:rsidRPr="003309A0">
        <w:rPr>
          <w:rFonts w:ascii="NewsGotT" w:hAnsi="NewsGotT"/>
          <w:i/>
          <w:iCs/>
          <w:noProof/>
        </w:rPr>
        <w:t>67</w:t>
      </w:r>
      <w:r w:rsidRPr="003309A0">
        <w:rPr>
          <w:rFonts w:ascii="NewsGotT" w:hAnsi="NewsGotT"/>
          <w:noProof/>
        </w:rPr>
        <w:t>(5), 323–331. https://doi.org/10.1111/pcn.12066</w:t>
      </w:r>
    </w:p>
    <w:p w14:paraId="7A2D95F6"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Wassenaar, A., Van Den Boogaard, M., Schoonhoven, L., Donders, R., &amp; Pickkers, P. (2017). Delirium prediction in the intensive care unit: Head to head comparison of two delirium prediction models. </w:t>
      </w:r>
      <w:r w:rsidRPr="003309A0">
        <w:rPr>
          <w:rFonts w:ascii="NewsGotT" w:hAnsi="NewsGotT"/>
          <w:i/>
          <w:iCs/>
          <w:noProof/>
        </w:rPr>
        <w:t>Intensive Care Medicine Experimental</w:t>
      </w:r>
      <w:r w:rsidRPr="003309A0">
        <w:rPr>
          <w:rFonts w:ascii="NewsGotT" w:hAnsi="NewsGotT"/>
          <w:noProof/>
        </w:rPr>
        <w:t xml:space="preserve">, </w:t>
      </w:r>
      <w:r w:rsidRPr="003309A0">
        <w:rPr>
          <w:rFonts w:ascii="NewsGotT" w:hAnsi="NewsGotT"/>
          <w:i/>
          <w:iCs/>
          <w:noProof/>
        </w:rPr>
        <w:t>5</w:t>
      </w:r>
      <w:r w:rsidRPr="003309A0">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1DEF68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3309A0">
        <w:rPr>
          <w:rFonts w:ascii="NewsGotT" w:hAnsi="NewsGotT"/>
          <w:i/>
          <w:iCs/>
          <w:noProof/>
        </w:rPr>
        <w:t>Intensive Care Medicine</w:t>
      </w:r>
      <w:r w:rsidRPr="003309A0">
        <w:rPr>
          <w:rFonts w:ascii="NewsGotT" w:hAnsi="NewsGotT"/>
          <w:noProof/>
        </w:rPr>
        <w:t xml:space="preserve">, </w:t>
      </w:r>
      <w:r w:rsidRPr="003309A0">
        <w:rPr>
          <w:rFonts w:ascii="NewsGotT" w:hAnsi="NewsGotT"/>
          <w:i/>
          <w:iCs/>
          <w:noProof/>
        </w:rPr>
        <w:t>41</w:t>
      </w:r>
      <w:r w:rsidRPr="003309A0">
        <w:rPr>
          <w:rFonts w:ascii="NewsGotT" w:hAnsi="NewsGotT"/>
          <w:noProof/>
        </w:rPr>
        <w:t>(6), 1048–1056. https://doi.org/10.1007/s00134-015-3777-2</w:t>
      </w:r>
    </w:p>
    <w:p w14:paraId="21A5668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WHO, &amp; EMRO. (2005). </w:t>
      </w:r>
      <w:r w:rsidRPr="003309A0">
        <w:rPr>
          <w:rFonts w:ascii="NewsGotT" w:hAnsi="NewsGotT"/>
          <w:i/>
          <w:iCs/>
          <w:noProof/>
        </w:rPr>
        <w:t>Clinical guidelines for the management od hypertension</w:t>
      </w:r>
      <w:r w:rsidRPr="003309A0">
        <w:rPr>
          <w:rFonts w:ascii="NewsGotT" w:hAnsi="NewsGotT"/>
          <w:noProof/>
        </w:rPr>
        <w:t>. Retrieved from https://apps.who.int/iris/handle/10665/119738</w:t>
      </w:r>
    </w:p>
    <w:p w14:paraId="615BF534"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Wilson, J. E., Mart, M. F., Cunningham, C., Shehabi, Y., Girard, T. D., MacLullich, A. M. J., … Ely, E. W. (2020). Delirium. </w:t>
      </w:r>
      <w:r w:rsidRPr="003309A0">
        <w:rPr>
          <w:rFonts w:ascii="NewsGotT" w:hAnsi="NewsGotT"/>
          <w:i/>
          <w:iCs/>
          <w:noProof/>
        </w:rPr>
        <w:t>Nature Reviews Disease Primers</w:t>
      </w:r>
      <w:r w:rsidRPr="003309A0">
        <w:rPr>
          <w:rFonts w:ascii="NewsGotT" w:hAnsi="NewsGotT"/>
          <w:noProof/>
        </w:rPr>
        <w:t xml:space="preserve">, </w:t>
      </w:r>
      <w:r w:rsidRPr="003309A0">
        <w:rPr>
          <w:rFonts w:ascii="NewsGotT" w:hAnsi="NewsGotT"/>
          <w:i/>
          <w:iCs/>
          <w:noProof/>
        </w:rPr>
        <w:t>6</w:t>
      </w:r>
      <w:r w:rsidRPr="003309A0">
        <w:rPr>
          <w:rFonts w:ascii="NewsGotT" w:hAnsi="NewsGotT"/>
          <w:noProof/>
        </w:rPr>
        <w:t>(1), 90. https://doi.org/10.1038/s41572-020-00223-4</w:t>
      </w:r>
    </w:p>
    <w:p w14:paraId="1FDABEC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Wilson, K., Broadhurst, C., Diver, M., Jackson, M., &amp; Mottram, P. (2005). Plasma insulin growth factor - 1 and incident delirium in older people. </w:t>
      </w:r>
      <w:r w:rsidRPr="003309A0">
        <w:rPr>
          <w:rFonts w:ascii="NewsGotT" w:hAnsi="NewsGotT"/>
          <w:i/>
          <w:iCs/>
          <w:noProof/>
        </w:rPr>
        <w:t>International Journal of Geriatric Psychiatry</w:t>
      </w:r>
      <w:r w:rsidRPr="003309A0">
        <w:rPr>
          <w:rFonts w:ascii="NewsGotT" w:hAnsi="NewsGotT"/>
          <w:noProof/>
        </w:rPr>
        <w:t xml:space="preserve">, </w:t>
      </w:r>
      <w:r w:rsidRPr="003309A0">
        <w:rPr>
          <w:rFonts w:ascii="NewsGotT" w:hAnsi="NewsGotT"/>
          <w:i/>
          <w:iCs/>
          <w:noProof/>
        </w:rPr>
        <w:t>20</w:t>
      </w:r>
      <w:r w:rsidRPr="003309A0">
        <w:rPr>
          <w:rFonts w:ascii="NewsGotT" w:hAnsi="NewsGotT"/>
          <w:noProof/>
        </w:rPr>
        <w:t>(2), 154–159. https://doi.org/10.1002/gps.1265</w:t>
      </w:r>
    </w:p>
    <w:p w14:paraId="25D4DD6A"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lastRenderedPageBreak/>
        <w:t>Wirth, R., &amp; Hipp, J. (2000). CRISP-DM</w:t>
      </w:r>
      <w:r w:rsidRPr="003309A0">
        <w:rPr>
          <w:noProof/>
        </w:rPr>
        <w:t> </w:t>
      </w:r>
      <w:r w:rsidRPr="003309A0">
        <w:rPr>
          <w:rFonts w:ascii="NewsGotT" w:hAnsi="NewsGotT"/>
          <w:noProof/>
        </w:rPr>
        <w:t xml:space="preserve">: Towards a Standard Process Model for Data Mining. </w:t>
      </w:r>
      <w:r w:rsidRPr="003309A0">
        <w:rPr>
          <w:rFonts w:ascii="NewsGotT" w:hAnsi="NewsGotT"/>
          <w:i/>
          <w:iCs/>
          <w:noProof/>
        </w:rPr>
        <w:t>Proceedings of the Fourth International Conference on the Practical Application of Knowledge Discovery and Data Mining</w:t>
      </w:r>
      <w:r w:rsidRPr="003309A0">
        <w:rPr>
          <w:rFonts w:ascii="NewsGotT" w:hAnsi="NewsGotT"/>
          <w:noProof/>
        </w:rPr>
        <w:t>, (24959), 29–39.</w:t>
      </w:r>
    </w:p>
    <w:p w14:paraId="723EE32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3309A0">
        <w:rPr>
          <w:rFonts w:ascii="NewsGotT" w:hAnsi="NewsGotT"/>
          <w:i/>
          <w:iCs/>
          <w:noProof/>
        </w:rPr>
        <w:t>JAMA - Journal of the American Medical Association</w:t>
      </w:r>
      <w:r w:rsidRPr="003309A0">
        <w:rPr>
          <w:rFonts w:ascii="NewsGotT" w:hAnsi="NewsGotT"/>
          <w:noProof/>
        </w:rPr>
        <w:t xml:space="preserve">, </w:t>
      </w:r>
      <w:r w:rsidRPr="003309A0">
        <w:rPr>
          <w:rFonts w:ascii="NewsGotT" w:hAnsi="NewsGotT"/>
          <w:i/>
          <w:iCs/>
          <w:noProof/>
        </w:rPr>
        <w:t>304</w:t>
      </w:r>
      <w:r w:rsidRPr="003309A0">
        <w:rPr>
          <w:rFonts w:ascii="NewsGotT" w:hAnsi="NewsGotT"/>
          <w:noProof/>
        </w:rPr>
        <w:t>(4), 443–451. https://doi.org/10.1001/jama.2010.1013</w:t>
      </w:r>
    </w:p>
    <w:p w14:paraId="719E33F9"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309A0">
        <w:rPr>
          <w:rFonts w:ascii="NewsGotT" w:hAnsi="NewsGotT"/>
          <w:i/>
          <w:iCs/>
          <w:noProof/>
        </w:rPr>
        <w:t>JAMA Network Open</w:t>
      </w:r>
      <w:r w:rsidRPr="003309A0">
        <w:rPr>
          <w:rFonts w:ascii="NewsGotT" w:hAnsi="NewsGotT"/>
          <w:noProof/>
        </w:rPr>
        <w:t xml:space="preserve">, </w:t>
      </w:r>
      <w:r w:rsidRPr="003309A0">
        <w:rPr>
          <w:rFonts w:ascii="NewsGotT" w:hAnsi="NewsGotT"/>
          <w:i/>
          <w:iCs/>
          <w:noProof/>
        </w:rPr>
        <w:t>1</w:t>
      </w:r>
      <w:r w:rsidRPr="003309A0">
        <w:rPr>
          <w:rFonts w:ascii="NewsGotT" w:hAnsi="NewsGotT"/>
          <w:noProof/>
        </w:rPr>
        <w:t>(4), e181018. https://doi.org/10.1001/jamanetworkopen.2018.1018</w:t>
      </w:r>
    </w:p>
    <w:p w14:paraId="5D3CD6C2"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Wong, C. L., Holroyd-Leduc, J., Simel, D. L., &amp; Straus, S. E. (2010). Does this patient have delirium?: value of bedside instruments. </w:t>
      </w:r>
      <w:r w:rsidRPr="003309A0">
        <w:rPr>
          <w:rFonts w:ascii="NewsGotT" w:hAnsi="NewsGotT"/>
          <w:i/>
          <w:iCs/>
          <w:noProof/>
        </w:rPr>
        <w:t>Jama</w:t>
      </w:r>
      <w:r w:rsidRPr="003309A0">
        <w:rPr>
          <w:rFonts w:ascii="NewsGotT" w:hAnsi="NewsGotT"/>
          <w:noProof/>
        </w:rPr>
        <w:t xml:space="preserve">, </w:t>
      </w:r>
      <w:r w:rsidRPr="003309A0">
        <w:rPr>
          <w:rFonts w:ascii="NewsGotT" w:hAnsi="NewsGotT"/>
          <w:i/>
          <w:iCs/>
          <w:noProof/>
        </w:rPr>
        <w:t>304</w:t>
      </w:r>
      <w:r w:rsidRPr="003309A0">
        <w:rPr>
          <w:rFonts w:ascii="NewsGotT" w:hAnsi="NewsGotT"/>
          <w:noProof/>
        </w:rPr>
        <w:t>(7), 779–786.</w:t>
      </w:r>
    </w:p>
    <w:p w14:paraId="0207C1B3"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Xia, H., Wang, C., Yan, L., Dong, X., &amp; Wang, Y. (2019). Machine Learning Based Medicine Distribution System. In </w:t>
      </w:r>
      <w:r w:rsidRPr="003309A0">
        <w:rPr>
          <w:rFonts w:ascii="NewsGotT" w:hAnsi="NewsGotT"/>
          <w:i/>
          <w:iCs/>
          <w:noProof/>
        </w:rPr>
        <w:t>Proceedings of the 2019 10th IEEE International Conference on Intelligent Data Acquisition and Advanced Computing Systems: Technology and Applications, IDAACS 2019</w:t>
      </w:r>
      <w:r w:rsidRPr="003309A0">
        <w:rPr>
          <w:rFonts w:ascii="NewsGotT" w:hAnsi="NewsGotT"/>
          <w:noProof/>
        </w:rPr>
        <w:t xml:space="preserve"> (Vol. 2, pp. 912–915). IEEE. https://doi.org/10.1109/IDAACS.2019.8924236</w:t>
      </w:r>
    </w:p>
    <w:p w14:paraId="7E9E8EBF"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3309A0">
        <w:rPr>
          <w:rFonts w:ascii="NewsGotT" w:hAnsi="NewsGotT"/>
          <w:i/>
          <w:iCs/>
          <w:noProof/>
        </w:rPr>
        <w:t>JAMA Network Open</w:t>
      </w:r>
      <w:r w:rsidRPr="003309A0">
        <w:rPr>
          <w:rFonts w:ascii="NewsGotT" w:hAnsi="NewsGotT"/>
          <w:noProof/>
        </w:rPr>
        <w:t xml:space="preserve">, </w:t>
      </w:r>
      <w:r w:rsidRPr="003309A0">
        <w:rPr>
          <w:rFonts w:ascii="NewsGotT" w:hAnsi="NewsGotT"/>
          <w:i/>
          <w:iCs/>
          <w:noProof/>
        </w:rPr>
        <w:t>4</w:t>
      </w:r>
      <w:r w:rsidRPr="003309A0">
        <w:rPr>
          <w:rFonts w:ascii="NewsGotT" w:hAnsi="NewsGotT"/>
          <w:noProof/>
        </w:rPr>
        <w:t>(3), e212240. https://doi.org/10.1001/jamanetworkopen.2021.2240</w:t>
      </w:r>
    </w:p>
    <w:p w14:paraId="23D7215D" w14:textId="77777777" w:rsidR="003309A0" w:rsidRPr="003309A0" w:rsidRDefault="003309A0" w:rsidP="003309A0">
      <w:pPr>
        <w:widowControl w:val="0"/>
        <w:autoSpaceDE w:val="0"/>
        <w:autoSpaceDN w:val="0"/>
        <w:adjustRightInd w:val="0"/>
        <w:ind w:left="480" w:hanging="480"/>
        <w:rPr>
          <w:rFonts w:ascii="NewsGotT" w:hAnsi="NewsGotT"/>
          <w:noProof/>
        </w:rPr>
      </w:pPr>
      <w:r w:rsidRPr="003309A0">
        <w:rPr>
          <w:rFonts w:ascii="NewsGotT" w:hAnsi="NewsGotT"/>
          <w:noProof/>
        </w:rPr>
        <w:t xml:space="preserve">Yanagihara, H., Kamo, K. I., Imori, S., &amp; Satoh, K. (2012). Bias-corrected AIC for selecting variables in multinomial logistic regression models. </w:t>
      </w:r>
      <w:r w:rsidRPr="003309A0">
        <w:rPr>
          <w:rFonts w:ascii="NewsGotT" w:hAnsi="NewsGotT"/>
          <w:i/>
          <w:iCs/>
          <w:noProof/>
        </w:rPr>
        <w:t>Linear Algebra and Its Applications</w:t>
      </w:r>
      <w:r w:rsidRPr="003309A0">
        <w:rPr>
          <w:rFonts w:ascii="NewsGotT" w:hAnsi="NewsGotT"/>
          <w:noProof/>
        </w:rPr>
        <w:t xml:space="preserve">, </w:t>
      </w:r>
      <w:r w:rsidRPr="003309A0">
        <w:rPr>
          <w:rFonts w:ascii="NewsGotT" w:hAnsi="NewsGotT"/>
          <w:i/>
          <w:iCs/>
          <w:noProof/>
        </w:rPr>
        <w:t>436</w:t>
      </w:r>
      <w:r w:rsidRPr="003309A0">
        <w:rPr>
          <w:rFonts w:ascii="NewsGotT" w:hAnsi="NewsGotT"/>
          <w:noProof/>
        </w:rPr>
        <w:t>(11), 4329–4341. https://doi.org/10.1016/j.laa.2012.01.018</w:t>
      </w:r>
    </w:p>
    <w:p w14:paraId="4439A721" w14:textId="0F27AD74" w:rsidR="00C75460" w:rsidRPr="001264D6" w:rsidRDefault="00C75460" w:rsidP="003309A0">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5" w:name="_Hlk23718301"/>
      <w:bookmarkStart w:id="96" w:name="_Toc79180402"/>
      <w:r w:rsidRPr="001264D6">
        <w:rPr>
          <w:lang w:val="en-GB"/>
        </w:rPr>
        <w:lastRenderedPageBreak/>
        <w:t>A</w:t>
      </w:r>
      <w:r w:rsidR="00E13EF4" w:rsidRPr="001264D6">
        <w:rPr>
          <w:lang w:val="en-GB"/>
        </w:rPr>
        <w:t xml:space="preserve">pêndice </w:t>
      </w:r>
      <w:r w:rsidRPr="001264D6">
        <w:rPr>
          <w:lang w:val="en-GB"/>
        </w:rPr>
        <w:t>I –</w:t>
      </w:r>
      <w:r w:rsidR="00E13EF4" w:rsidRPr="001264D6">
        <w:rPr>
          <w:lang w:val="en-GB"/>
        </w:rPr>
        <w:t xml:space="preserve"> </w:t>
      </w:r>
      <w:bookmarkEnd w:id="95"/>
      <w:r w:rsidR="00E13EF4" w:rsidRPr="001264D6">
        <w:rPr>
          <w:lang w:val="en-GB"/>
        </w:rPr>
        <w:t>Título do Apêndice</w:t>
      </w:r>
      <w:bookmarkEnd w:id="96"/>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7" w:name="_Ref68863761"/>
      <w:bookmarkStart w:id="98"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7"/>
      <w:bookmarkEnd w:id="98"/>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behavior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C. (If present or abnormal) Please describe this behavior:</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9" w:name="_Ref68873954"/>
      <w:bookmarkStart w:id="100"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9"/>
      <w:bookmarkEnd w:id="100"/>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D903C" w14:textId="77777777" w:rsidR="002A2011" w:rsidRDefault="002A2011" w:rsidP="00E21F02">
      <w:r>
        <w:separator/>
      </w:r>
    </w:p>
  </w:endnote>
  <w:endnote w:type="continuationSeparator" w:id="0">
    <w:p w14:paraId="5FE3562C" w14:textId="77777777" w:rsidR="002A2011" w:rsidRDefault="002A201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0888F" w14:textId="77777777" w:rsidR="002A2011" w:rsidRDefault="002A2011" w:rsidP="00E21F02">
      <w:r>
        <w:separator/>
      </w:r>
    </w:p>
  </w:footnote>
  <w:footnote w:type="continuationSeparator" w:id="0">
    <w:p w14:paraId="59B88E32" w14:textId="77777777" w:rsidR="002A2011" w:rsidRDefault="002A201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011"/>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1CA"/>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7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105</Pages>
  <Words>133262</Words>
  <Characters>782254</Characters>
  <Application>Microsoft Office Word</Application>
  <DocSecurity>0</DocSecurity>
  <Lines>23007</Lines>
  <Paragraphs>10172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905344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214</cp:revision>
  <cp:lastPrinted>2021-08-06T22:21:00Z</cp:lastPrinted>
  <dcterms:created xsi:type="dcterms:W3CDTF">2021-08-06T22:21:00Z</dcterms:created>
  <dcterms:modified xsi:type="dcterms:W3CDTF">2021-08-26T21:27:00Z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