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AF46CA">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AF46CA">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AF46CA">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AF46CA">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AF46CA">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AF46CA">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AF46CA">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AF46CA">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AF46CA">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AF46CA">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AF46CA">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AF46CA">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AF46CA">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AF46CA">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AF46CA">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AF46CA">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AF46CA">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AF46CA">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AF46CA">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AF46CA">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AF46CA">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AF46CA">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AF46CA">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AF46CA">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AF46CA">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AF46CA">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AF46CA">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AF46CA">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AF46CA">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AF46CA">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AF46CA">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AF46CA">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AF46CA">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AF46CA">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AF46CA">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AF46CA">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AF46CA">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AF46CA">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AF46CA">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AF46CA">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AF46CA">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2680DD9C"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132B17">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58BA4C04"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Pr>
                <w:rFonts w:ascii="NewsGotT" w:hAnsi="NewsGotT"/>
                <w:lang w:val="pt-PT" w:eastAsia="x-none"/>
              </w:rPr>
              <w:t xml:space="preserve">, </w:t>
            </w:r>
            <w:r w:rsidRPr="00AF13CF">
              <w:rPr>
                <w:rFonts w:ascii="NewsGotT" w:hAnsi="NewsGotT"/>
                <w:lang w:val="pt-PT" w:eastAsia="x-none"/>
              </w:rPr>
              <w:t>insónias</w:t>
            </w:r>
            <w:r>
              <w:rPr>
                <w:rFonts w:ascii="NewsGotT" w:hAnsi="NewsGotT"/>
                <w:lang w:val="pt-PT" w:eastAsia="x-none"/>
              </w:rPr>
              <w:t xml:space="preserve">, </w:t>
            </w:r>
            <w:r w:rsidRPr="00AF13CF">
              <w:rPr>
                <w:rFonts w:ascii="NewsGotT" w:hAnsi="NewsGotT"/>
                <w:lang w:val="pt-PT" w:eastAsia="x-none"/>
              </w:rPr>
              <w:t>alterações do pensamento</w:t>
            </w:r>
            <w:r>
              <w:rPr>
                <w:rFonts w:ascii="NewsGotT" w:hAnsi="NewsGotT"/>
                <w:lang w:val="pt-PT" w:eastAsia="x-none"/>
              </w:rPr>
              <w:t xml:space="preserve">, agitação, cefaleias, sonolência, boca seca, </w:t>
            </w:r>
            <w:proofErr w:type="spellStart"/>
            <w:r>
              <w:rPr>
                <w:rFonts w:ascii="NewsGotT" w:hAnsi="NewsGotT"/>
                <w:lang w:val="pt-PT" w:eastAsia="x-none"/>
              </w:rPr>
              <w:t>náseas</w:t>
            </w:r>
            <w:proofErr w:type="spellEnd"/>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6" w:name="_Toc77944169"/>
      <w:r>
        <w:rPr>
          <w:rFonts w:ascii="NewsGotT" w:hAnsi="NewsGotT"/>
          <w:lang w:val="pt-PT"/>
        </w:rPr>
        <w:t>Psicofármacos</w:t>
      </w:r>
      <w:bookmarkEnd w:id="66"/>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7" w:name="_Ref77779957"/>
      <w:bookmarkStart w:id="68"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7"/>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8"/>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lastRenderedPageBreak/>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 xml:space="preserve">taxia, disartria, fala indistinta, cefaleias, tremor, </w:t>
            </w:r>
            <w:r w:rsidRPr="00C45173">
              <w:rPr>
                <w:rFonts w:ascii="NewsGotT" w:hAnsi="NewsGotT"/>
                <w:lang w:val="pt-PT" w:eastAsia="x-none"/>
              </w:rPr>
              <w:lastRenderedPageBreak/>
              <w:t>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69" w:name="_Ref77932842"/>
      <w:bookmarkStart w:id="70"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69"/>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0"/>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lastRenderedPageBreak/>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6968616D"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xml:space="preserve">, sudação e retenção </w:t>
      </w:r>
      <w:r w:rsidR="005A240E" w:rsidRPr="00343CFA">
        <w:rPr>
          <w:rFonts w:ascii="NewsGotT" w:hAnsi="NewsGotT"/>
          <w:lang w:val="pt-PT"/>
        </w:rPr>
        <w:lastRenderedPageBreak/>
        <w:t>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06D8CDA2" w:rsidR="00EE3551" w:rsidRPr="00343CFA" w:rsidRDefault="00EE3551" w:rsidP="00EE3551">
      <w:pPr>
        <w:pStyle w:val="Caption"/>
        <w:keepNext/>
        <w:rPr>
          <w:lang w:val="pt-BR"/>
        </w:rPr>
      </w:pPr>
      <w:bookmarkStart w:id="71"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1"/>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xml:space="preserve">, </w:t>
            </w:r>
            <w:r>
              <w:rPr>
                <w:rFonts w:ascii="NewsGotT" w:hAnsi="NewsGotT"/>
                <w:lang w:val="pt-PT"/>
              </w:rPr>
              <w:lastRenderedPageBreak/>
              <w:t>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33B280D5"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lastRenderedPageBreak/>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0152910"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B536F">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7777777"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3F0D3D">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1873C928" w14:textId="554B16A4" w:rsidR="005A2539"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longa e também marcada por descobertas ocasionais. </w:t>
      </w:r>
      <w:r w:rsidR="00211B8C" w:rsidRPr="00211B8C">
        <w:rPr>
          <w:rFonts w:ascii="NewsGotT" w:hAnsi="NewsGotT"/>
          <w:lang w:val="pt-PT"/>
        </w:rPr>
        <w:t xml:space="preserve">Em </w:t>
      </w:r>
      <w:r w:rsidR="00211B8C" w:rsidRPr="00211B8C">
        <w:rPr>
          <w:rFonts w:ascii="NewsGotT" w:hAnsi="NewsGotT"/>
          <w:lang w:val="pt-PT"/>
        </w:rPr>
        <w:lastRenderedPageBreak/>
        <w:t xml:space="preserve">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a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proofErr w:type="spellStart"/>
      <w:r w:rsidR="00211B8C" w:rsidRPr="00211B8C">
        <w:rPr>
          <w:rFonts w:ascii="NewsGotT" w:hAnsi="NewsGotT"/>
          <w:lang w:val="pt-PT"/>
        </w:rPr>
        <w:t>clorpromazina</w:t>
      </w:r>
      <w:proofErr w:type="spellEnd"/>
      <w:r w:rsidR="00211B8C" w:rsidRPr="00211B8C">
        <w:rPr>
          <w:rFonts w:ascii="NewsGotT" w:hAnsi="NewsGotT"/>
          <w:lang w:val="pt-PT"/>
        </w:rPr>
        <w:t xml:space="preserve">, aos 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w:t>
      </w:r>
      <w:proofErr w:type="spellStart"/>
      <w:r w:rsidR="00211B8C" w:rsidRPr="00211B8C">
        <w:rPr>
          <w:rFonts w:ascii="NewsGotT" w:hAnsi="NewsGotT"/>
          <w:lang w:val="pt-PT"/>
        </w:rPr>
        <w:t>antipsicótica</w:t>
      </w:r>
      <w:proofErr w:type="spellEnd"/>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 xml:space="preserve">deixando de ser a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de segunda geração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quetiapina</w:t>
      </w:r>
      <w:proofErr w:type="spellEnd"/>
      <w:r w:rsidR="004E02CC" w:rsidRPr="008567C8">
        <w:rPr>
          <w:rFonts w:ascii="NewsGotT" w:hAnsi="NewsGotT"/>
          <w:lang w:val="pt-PT"/>
        </w:rPr>
        <w:t xml:space="preserve"> </w:t>
      </w:r>
      <w:r w:rsidR="004E02CC">
        <w:rPr>
          <w:rFonts w:ascii="NewsGotT" w:hAnsi="NewsGotT"/>
          <w:lang w:val="pt-PT"/>
        </w:rPr>
        <w:t>ou o</w:t>
      </w:r>
      <w:r w:rsidR="004E02CC" w:rsidRPr="008567C8">
        <w:rPr>
          <w:rFonts w:ascii="NewsGotT" w:hAnsi="NewsGotT"/>
          <w:lang w:val="pt-PT"/>
        </w:rPr>
        <w:t xml:space="preserve"> </w:t>
      </w:r>
      <w:proofErr w:type="spellStart"/>
      <w:r w:rsidR="004E02CC" w:rsidRPr="008567C8">
        <w:rPr>
          <w:rFonts w:ascii="NewsGotT" w:hAnsi="NewsGotT"/>
          <w:lang w:val="pt-PT"/>
        </w:rPr>
        <w:t>aripiprazol</w:t>
      </w:r>
      <w:proofErr w:type="spellEnd"/>
      <w:r w:rsidR="004E02CC">
        <w:rPr>
          <w:rFonts w:ascii="NewsGotT" w:hAnsi="NewsGotT"/>
          <w:lang w:val="pt-PT"/>
        </w:rPr>
        <w:t xml:space="preserve">. </w:t>
      </w:r>
    </w:p>
    <w:p w14:paraId="0644A7A3" w14:textId="23B047E4" w:rsidR="004E02CC" w:rsidRDefault="005A2539" w:rsidP="0090704C">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de mais 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 xml:space="preserve">geração. Esta distinção tem por base essencialmente diferenças a nível dos efeitos adversos, particularmente </w:t>
      </w:r>
      <w:r w:rsidR="004E02CC">
        <w:rPr>
          <w:rFonts w:ascii="NewsGotT" w:hAnsi="NewsGotT"/>
          <w:lang w:val="pt-BR"/>
        </w:rPr>
        <w:t>n</w:t>
      </w:r>
      <w:r w:rsidR="004E02CC" w:rsidRPr="008567C8">
        <w:rPr>
          <w:rFonts w:ascii="NewsGotT" w:hAnsi="NewsGotT"/>
          <w:lang w:val="pt-BR"/>
        </w:rPr>
        <w:t xml:space="preserve">a indução de efeitos extrapiramidais mas também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4E02CC" w:rsidRPr="008567C8">
        <w:rPr>
          <w:rFonts w:ascii="NewsGotT" w:hAnsi="NewsGotT"/>
          <w:lang w:val="pt-BR"/>
        </w:rPr>
        <w:t>recetores</w:t>
      </w:r>
      <w:proofErr w:type="spellEnd"/>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9F5C90">
        <w:rPr>
          <w:rFonts w:ascii="NewsGotT" w:hAnsi="NewsGotT"/>
          <w:lang w:val="pt-BR"/>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90704C">
        <w:rPr>
          <w:rFonts w:ascii="NewsGotT" w:hAnsi="NewsGotT"/>
          <w:lang w:val="pt-BR"/>
        </w:rPr>
        <w:fldChar w:fldCharType="separate"/>
      </w:r>
      <w:r w:rsidR="0090704C" w:rsidRPr="0090704C">
        <w:rPr>
          <w:rFonts w:ascii="NewsGotT" w:hAnsi="NewsGotT"/>
          <w:noProof/>
          <w:lang w:val="pt-BR"/>
        </w:rPr>
        <w:t>(Caramona et al., 2013)</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2B2CD78" w14:textId="10813329" w:rsidR="009F5C90" w:rsidRDefault="009F5C90" w:rsidP="0090704C">
      <w:pPr>
        <w:spacing w:line="360" w:lineRule="auto"/>
        <w:ind w:firstLine="720"/>
        <w:jc w:val="both"/>
        <w:rPr>
          <w:rFonts w:ascii="NewsGotT" w:hAnsi="NewsGotT"/>
          <w:lang w:val="pt-BR"/>
        </w:rPr>
      </w:pPr>
    </w:p>
    <w:p w14:paraId="47947912" w14:textId="7BC84EA1" w:rsidR="009F5C90" w:rsidRDefault="009F5C90" w:rsidP="0090704C">
      <w:pPr>
        <w:spacing w:line="360" w:lineRule="auto"/>
        <w:ind w:firstLine="720"/>
        <w:jc w:val="both"/>
        <w:rPr>
          <w:rFonts w:ascii="NewsGotT" w:hAnsi="NewsGotT"/>
          <w:lang w:val="pt-BR"/>
        </w:rPr>
      </w:pPr>
      <w:r w:rsidRPr="009F5C90">
        <w:rPr>
          <w:rFonts w:ascii="NewsGotT" w:hAnsi="NewsGotT"/>
          <w:lang w:val="pt-BR"/>
        </w:rPr>
        <w:t xml:space="preserve">A lista das reações adversas inclui sintomas e sinais extrapiramidais (movimentos </w:t>
      </w:r>
      <w:proofErr w:type="spellStart"/>
      <w:r w:rsidRPr="009F5C90">
        <w:rPr>
          <w:rFonts w:ascii="NewsGotT" w:hAnsi="NewsGotT"/>
          <w:lang w:val="pt-BR"/>
        </w:rPr>
        <w:t>distónicos</w:t>
      </w:r>
      <w:proofErr w:type="spellEnd"/>
      <w:r w:rsidRPr="009F5C90">
        <w:rPr>
          <w:rFonts w:ascii="NewsGotT" w:hAnsi="NewsGotT"/>
          <w:lang w:val="pt-BR"/>
        </w:rPr>
        <w:t xml:space="preserve">, crises </w:t>
      </w:r>
      <w:proofErr w:type="spellStart"/>
      <w:r w:rsidRPr="009F5C90">
        <w:rPr>
          <w:rFonts w:ascii="NewsGotT" w:hAnsi="NewsGotT"/>
          <w:lang w:val="pt-BR"/>
        </w:rPr>
        <w:t>oculogiras</w:t>
      </w:r>
      <w:proofErr w:type="spellEnd"/>
      <w:r w:rsidRPr="009F5C90">
        <w:rPr>
          <w:rFonts w:ascii="NewsGotT" w:hAnsi="NewsGotT"/>
          <w:lang w:val="pt-BR"/>
        </w:rPr>
        <w:t xml:space="preserve">, síndromes </w:t>
      </w:r>
      <w:proofErr w:type="spellStart"/>
      <w:r w:rsidRPr="009F5C90">
        <w:rPr>
          <w:rFonts w:ascii="NewsGotT" w:hAnsi="NewsGotT"/>
          <w:lang w:val="pt-BR"/>
        </w:rPr>
        <w:t>parkinsónicos</w:t>
      </w:r>
      <w:proofErr w:type="spellEnd"/>
      <w:r w:rsidRPr="009F5C90">
        <w:rPr>
          <w:rFonts w:ascii="NewsGotT" w:hAnsi="NewsGotT"/>
          <w:lang w:val="pt-BR"/>
        </w:rPr>
        <w:t xml:space="preserve">) desde </w:t>
      </w:r>
      <w:proofErr w:type="spellStart"/>
      <w:r w:rsidRPr="009F5C90">
        <w:rPr>
          <w:rFonts w:ascii="NewsGotT" w:hAnsi="NewsGotT"/>
          <w:lang w:val="pt-BR"/>
        </w:rPr>
        <w:t>acatísia</w:t>
      </w:r>
      <w:proofErr w:type="spellEnd"/>
      <w:r w:rsidRPr="009F5C90">
        <w:rPr>
          <w:rFonts w:ascii="NewsGotT" w:hAnsi="NewsGotT"/>
          <w:lang w:val="pt-BR"/>
        </w:rPr>
        <w:t xml:space="preserve"> no início da terapêutica até </w:t>
      </w:r>
      <w:proofErr w:type="spellStart"/>
      <w:r w:rsidRPr="009F5C90">
        <w:rPr>
          <w:rFonts w:ascii="NewsGotT" w:hAnsi="NewsGotT"/>
          <w:lang w:val="pt-BR"/>
        </w:rPr>
        <w:t>discinésias</w:t>
      </w:r>
      <w:proofErr w:type="spellEnd"/>
      <w:r w:rsidRPr="009F5C90">
        <w:rPr>
          <w:rFonts w:ascii="NewsGotT" w:hAnsi="NewsGotT"/>
          <w:lang w:val="pt-BR"/>
        </w:rPr>
        <w:t xml:space="preserve"> tardias após terapêutica prolongada</w:t>
      </w:r>
      <w:r>
        <w:rPr>
          <w:rFonts w:ascii="NewsGotT" w:hAnsi="NewsGotT"/>
          <w:lang w:val="pt-BR"/>
        </w:rPr>
        <w:t xml:space="preserve">. </w:t>
      </w:r>
      <w:r w:rsidRPr="009F5C90">
        <w:rPr>
          <w:rFonts w:ascii="NewsGotT" w:hAnsi="NewsGotT"/>
          <w:lang w:val="pt-BR"/>
        </w:rPr>
        <w:t xml:space="preserve">Produzem, em graus variáveis, sedação e efeitos anticolinérgicos, </w:t>
      </w:r>
      <w:r w:rsidRPr="009F5C90">
        <w:rPr>
          <w:rFonts w:ascii="NewsGotT" w:hAnsi="NewsGotT"/>
          <w:lang w:val="pt-BR"/>
        </w:rPr>
        <w:lastRenderedPageBreak/>
        <w:t xml:space="preserve">hipotensão ortostática e arritmias; registam-se também náuseas, vómitos, dores abdominais, irritação gástrica, crises convulsivas, alterações endócrinas, alterações hematológicas, erupções cutâneas e alterações idiossincráticas das transaminases e por vezes icterícia </w:t>
      </w:r>
      <w:proofErr w:type="spellStart"/>
      <w:r w:rsidRPr="009F5C90">
        <w:rPr>
          <w:rFonts w:ascii="NewsGotT" w:hAnsi="NewsGotT"/>
          <w:lang w:val="pt-BR"/>
        </w:rPr>
        <w:t>colestática</w:t>
      </w:r>
      <w:proofErr w:type="spellEnd"/>
      <w:r>
        <w:rPr>
          <w:rFonts w:ascii="NewsGotT" w:hAnsi="NewsGotT"/>
          <w:lang w:val="pt-BR"/>
        </w:rPr>
        <w:t xml:space="preserve"> </w:t>
      </w:r>
      <w:r>
        <w:rPr>
          <w:rFonts w:ascii="NewsGotT" w:hAnsi="NewsGotT"/>
          <w:lang w:val="pt-BR"/>
        </w:rPr>
        <w:fldChar w:fldCharType="begin" w:fldLock="1"/>
      </w:r>
      <w:r w:rsidR="00B77D84">
        <w:rPr>
          <w:rFonts w:ascii="NewsGotT" w:hAnsi="NewsGotT"/>
          <w:lang w:val="pt-BR"/>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Pr>
          <w:rFonts w:ascii="NewsGotT" w:hAnsi="NewsGotT"/>
          <w:lang w:val="pt-BR"/>
        </w:rPr>
        <w:fldChar w:fldCharType="separate"/>
      </w:r>
      <w:r w:rsidRPr="009F5C90">
        <w:rPr>
          <w:rFonts w:ascii="NewsGotT" w:hAnsi="NewsGotT"/>
          <w:noProof/>
          <w:lang w:val="pt-BR"/>
        </w:rPr>
        <w:t>(Caramona et al., 2013)</w:t>
      </w:r>
      <w:r>
        <w:rPr>
          <w:rFonts w:ascii="NewsGotT" w:hAnsi="NewsGotT"/>
          <w:lang w:val="pt-BR"/>
        </w:rPr>
        <w:fldChar w:fldCharType="end"/>
      </w:r>
      <w:r w:rsidRPr="009F5C90">
        <w:rPr>
          <w:rFonts w:ascii="NewsGotT" w:hAnsi="NewsGotT"/>
          <w:lang w:val="pt-BR"/>
        </w:rPr>
        <w:t>.</w:t>
      </w:r>
      <w:r>
        <w:rPr>
          <w:rFonts w:ascii="NewsGotT" w:hAnsi="NewsGotT"/>
          <w:lang w:val="pt-BR"/>
        </w:rPr>
        <w:t xml:space="preserve"> As reações adversas mais frequentes d</w:t>
      </w:r>
      <w:r w:rsidR="00826B6F">
        <w:rPr>
          <w:rFonts w:ascii="NewsGotT" w:hAnsi="NewsGotT"/>
          <w:lang w:val="pt-BR"/>
        </w:rPr>
        <w:t>e cada</w:t>
      </w:r>
      <w:r>
        <w:rPr>
          <w:rFonts w:ascii="NewsGotT" w:hAnsi="NewsGotT"/>
          <w:lang w:val="pt-BR"/>
        </w:rPr>
        <w:t xml:space="preserve"> substância ativa</w:t>
      </w:r>
      <w:r w:rsidR="00826B6F">
        <w:rPr>
          <w:rFonts w:ascii="NewsGotT" w:hAnsi="NewsGotT"/>
          <w:lang w:val="pt-BR"/>
        </w:rPr>
        <w:t xml:space="preserve"> desta categoria de </w:t>
      </w:r>
      <w:proofErr w:type="spellStart"/>
      <w:r w:rsidR="00826B6F">
        <w:rPr>
          <w:rFonts w:ascii="NewsGotT" w:hAnsi="NewsGotT"/>
          <w:lang w:val="pt-BR"/>
        </w:rPr>
        <w:t>psicofármacos</w:t>
      </w:r>
      <w:proofErr w:type="spellEnd"/>
      <w:r>
        <w:rPr>
          <w:rFonts w:ascii="NewsGotT" w:hAnsi="NewsGotT"/>
          <w:lang w:val="pt-BR"/>
        </w:rPr>
        <w:t xml:space="preserve"> estão </w:t>
      </w:r>
      <w:r w:rsidRPr="00C82F6B">
        <w:rPr>
          <w:rFonts w:ascii="NewsGotT" w:hAnsi="NewsGotT"/>
          <w:lang w:val="pt-BR"/>
        </w:rPr>
        <w:t xml:space="preserve">expostos na </w:t>
      </w:r>
      <w:r w:rsidR="00C82F6B" w:rsidRPr="00C82F6B">
        <w:rPr>
          <w:rFonts w:ascii="NewsGotT" w:hAnsi="NewsGotT"/>
          <w:lang w:val="pt-BR"/>
        </w:rPr>
        <w:fldChar w:fldCharType="begin"/>
      </w:r>
      <w:r w:rsidR="00C82F6B" w:rsidRPr="00C82F6B">
        <w:rPr>
          <w:rFonts w:ascii="NewsGotT" w:hAnsi="NewsGotT"/>
          <w:lang w:val="pt-BR"/>
        </w:rPr>
        <w:instrText xml:space="preserve"> REF _Ref78564491 \h </w:instrText>
      </w:r>
      <w:r w:rsidR="00C82F6B" w:rsidRPr="00C82F6B">
        <w:rPr>
          <w:rFonts w:ascii="NewsGotT" w:hAnsi="NewsGotT"/>
          <w:lang w:val="pt-BR"/>
        </w:rPr>
      </w:r>
      <w:r w:rsidR="00C82F6B">
        <w:rPr>
          <w:rFonts w:ascii="NewsGotT" w:hAnsi="NewsGotT"/>
          <w:lang w:val="pt-BR"/>
        </w:rPr>
        <w:instrText xml:space="preserve"> \* MERGEFORMAT </w:instrText>
      </w:r>
      <w:r w:rsidR="00C82F6B" w:rsidRPr="00C82F6B">
        <w:rPr>
          <w:rFonts w:ascii="NewsGotT" w:hAnsi="NewsGotT"/>
          <w:lang w:val="pt-BR"/>
        </w:rPr>
        <w:fldChar w:fldCharType="separate"/>
      </w:r>
      <w:r w:rsidR="00C82F6B" w:rsidRPr="00C82F6B">
        <w:rPr>
          <w:rFonts w:ascii="NewsGotT" w:hAnsi="NewsGotT"/>
          <w:lang w:val="pt-BR"/>
        </w:rPr>
        <w:t xml:space="preserve">Tabela </w:t>
      </w:r>
      <w:r w:rsidR="00C82F6B" w:rsidRPr="00C82F6B">
        <w:rPr>
          <w:rFonts w:ascii="NewsGotT" w:hAnsi="NewsGotT"/>
          <w:noProof/>
          <w:lang w:val="pt-BR"/>
        </w:rPr>
        <w:t>9</w:t>
      </w:r>
      <w:r w:rsidR="00C82F6B" w:rsidRPr="00C82F6B">
        <w:rPr>
          <w:rFonts w:ascii="NewsGotT" w:hAnsi="NewsGotT"/>
          <w:lang w:val="pt-BR"/>
        </w:rPr>
        <w:fldChar w:fldCharType="end"/>
      </w:r>
      <w:r w:rsidR="00C82F6B">
        <w:rPr>
          <w:rFonts w:ascii="NewsGotT" w:hAnsi="NewsGotT"/>
          <w:lang w:val="pt-BR"/>
        </w:rPr>
        <w:t xml:space="preserve">. </w:t>
      </w:r>
    </w:p>
    <w:p w14:paraId="2D29BC60" w14:textId="352C6D71" w:rsidR="002807FF" w:rsidRDefault="002807FF" w:rsidP="0090704C">
      <w:pPr>
        <w:spacing w:line="360" w:lineRule="auto"/>
        <w:ind w:firstLine="720"/>
        <w:jc w:val="both"/>
        <w:rPr>
          <w:rFonts w:ascii="NewsGotT" w:hAnsi="NewsGotT"/>
          <w:lang w:val="pt-BR"/>
        </w:rPr>
      </w:pPr>
    </w:p>
    <w:p w14:paraId="046F553B" w14:textId="77777777" w:rsidR="002807FF" w:rsidRPr="008567C8" w:rsidRDefault="002807FF" w:rsidP="0090704C">
      <w:pPr>
        <w:spacing w:line="360" w:lineRule="auto"/>
        <w:ind w:firstLine="720"/>
        <w:jc w:val="both"/>
        <w:rPr>
          <w:rFonts w:ascii="NewsGotT" w:hAnsi="NewsGotT"/>
          <w:lang w:val="pt-BR"/>
        </w:rPr>
      </w:pPr>
    </w:p>
    <w:p w14:paraId="7A65912B" w14:textId="12DFC28D" w:rsidR="00211B8C" w:rsidRPr="004E02CC" w:rsidRDefault="00211B8C" w:rsidP="00211B8C">
      <w:pPr>
        <w:spacing w:line="360" w:lineRule="auto"/>
        <w:ind w:firstLine="720"/>
        <w:jc w:val="both"/>
        <w:rPr>
          <w:rFonts w:ascii="NewsGotT" w:hAnsi="NewsGotT"/>
          <w:lang w:val="pt-BR"/>
        </w:rPr>
      </w:pPr>
    </w:p>
    <w:p w14:paraId="4DE28342" w14:textId="05D26381" w:rsidR="004E02CC" w:rsidRDefault="004E02CC" w:rsidP="00211B8C">
      <w:pPr>
        <w:spacing w:line="360" w:lineRule="auto"/>
        <w:ind w:firstLine="720"/>
        <w:jc w:val="both"/>
        <w:rPr>
          <w:rFonts w:ascii="NewsGotT" w:hAnsi="NewsGotT"/>
          <w:lang w:val="pt-PT"/>
        </w:rPr>
      </w:pPr>
    </w:p>
    <w:p w14:paraId="73400E3F" w14:textId="77777777" w:rsidR="004E02CC" w:rsidRDefault="004E02CC" w:rsidP="00211B8C">
      <w:pPr>
        <w:spacing w:line="360" w:lineRule="auto"/>
        <w:ind w:firstLine="720"/>
        <w:jc w:val="both"/>
        <w:rPr>
          <w:rFonts w:ascii="NewsGotT" w:hAnsi="NewsGotT"/>
          <w:lang w:val="pt-PT"/>
        </w:rPr>
      </w:pPr>
    </w:p>
    <w:p w14:paraId="17950493" w14:textId="77777777" w:rsidR="00211B8C" w:rsidRDefault="00211B8C" w:rsidP="00211B8C">
      <w:pPr>
        <w:spacing w:line="360" w:lineRule="auto"/>
        <w:ind w:firstLine="720"/>
        <w:jc w:val="both"/>
        <w:rPr>
          <w:rFonts w:ascii="NewsGotT" w:hAnsi="NewsGotT"/>
          <w:lang w:val="pt-PT"/>
        </w:rPr>
      </w:pPr>
    </w:p>
    <w:p w14:paraId="430D5B9F" w14:textId="257F16A8" w:rsidR="00211B8C" w:rsidRDefault="00211B8C" w:rsidP="00211B8C">
      <w:pPr>
        <w:spacing w:line="360" w:lineRule="auto"/>
        <w:ind w:firstLine="720"/>
        <w:jc w:val="both"/>
        <w:rPr>
          <w:rFonts w:ascii="NewsGotT" w:hAnsi="NewsGotT"/>
          <w:lang w:val="pt-PT"/>
        </w:rPr>
      </w:pPr>
      <w:r w:rsidRPr="00211B8C">
        <w:rPr>
          <w:rFonts w:ascii="NewsGotT" w:hAnsi="NewsGotT"/>
          <w:lang w:val="pt-PT"/>
        </w:rPr>
        <w:t xml:space="preserve">Entre 1954 e 1975, cerca de 15 medicamentos antipsicóticos foram introduzidos nos Estados Unidos e cerca de 40 em todo o mundo. Posteriormente, houve um hiato no desenvolvimento de antipsicóticos até que a introdução do tratamento com </w:t>
      </w:r>
      <w:proofErr w:type="spellStart"/>
      <w:r w:rsidRPr="00211B8C">
        <w:rPr>
          <w:rFonts w:ascii="NewsGotT" w:hAnsi="NewsGotT"/>
          <w:lang w:val="pt-PT"/>
        </w:rPr>
        <w:t>clozapina</w:t>
      </w:r>
      <w:proofErr w:type="spellEnd"/>
      <w:r w:rsidRPr="00211B8C">
        <w:rPr>
          <w:rFonts w:ascii="NewsGotT" w:hAnsi="NewsGotT"/>
          <w:lang w:val="pt-PT"/>
        </w:rPr>
        <w:t xml:space="preserve"> nos Estados Unidos em 1990 abriu a era dos medicamentos antipsicóticos "atípicos", que mostram um potencial reduzido para induzir sintomas extrapiramidais (EPS), uma eficácia aumentada para os sintomas negativos da esquizofrenia, nenhuma elevação da prolactina após utilização crónica (</w:t>
      </w:r>
      <w:proofErr w:type="spellStart"/>
      <w:r w:rsidRPr="00211B8C">
        <w:rPr>
          <w:rFonts w:ascii="NewsGotT" w:hAnsi="NewsGotT"/>
          <w:lang w:val="pt-PT"/>
        </w:rPr>
        <w:t>excepto</w:t>
      </w:r>
      <w:proofErr w:type="spellEnd"/>
      <w:r w:rsidRPr="00211B8C">
        <w:rPr>
          <w:rFonts w:ascii="NewsGotT" w:hAnsi="NewsGotT"/>
          <w:lang w:val="pt-PT"/>
        </w:rPr>
        <w:t xml:space="preserve"> </w:t>
      </w:r>
      <w:proofErr w:type="spellStart"/>
      <w:r w:rsidRPr="00211B8C">
        <w:rPr>
          <w:rFonts w:ascii="NewsGotT" w:hAnsi="NewsGotT"/>
          <w:lang w:val="pt-PT"/>
        </w:rPr>
        <w:t>risperidona</w:t>
      </w:r>
      <w:proofErr w:type="spellEnd"/>
      <w:r w:rsidRPr="00211B8C">
        <w:rPr>
          <w:rFonts w:ascii="NewsGotT" w:hAnsi="NewsGotT"/>
          <w:lang w:val="pt-PT"/>
        </w:rPr>
        <w:t xml:space="preserve">), e, pelo menos para a </w:t>
      </w:r>
      <w:proofErr w:type="spellStart"/>
      <w:r w:rsidRPr="00211B8C">
        <w:rPr>
          <w:rFonts w:ascii="NewsGotT" w:hAnsi="NewsGotT"/>
          <w:lang w:val="pt-PT"/>
        </w:rPr>
        <w:t>clozapina</w:t>
      </w:r>
      <w:proofErr w:type="spellEnd"/>
      <w:r w:rsidRPr="00211B8C">
        <w:rPr>
          <w:rFonts w:ascii="NewsGotT" w:hAnsi="NewsGotT"/>
          <w:lang w:val="pt-PT"/>
        </w:rPr>
        <w:t>, eficácia em alguns pacientes anteriormente considerados como trata-</w:t>
      </w:r>
      <w:proofErr w:type="spellStart"/>
      <w:r w:rsidRPr="00211B8C">
        <w:rPr>
          <w:rFonts w:ascii="NewsGotT" w:hAnsi="NewsGotT"/>
          <w:lang w:val="pt-PT"/>
        </w:rPr>
        <w:t>refractários</w:t>
      </w:r>
      <w:proofErr w:type="spellEnd"/>
      <w:r w:rsidRPr="00211B8C">
        <w:rPr>
          <w:rFonts w:ascii="NewsGotT" w:hAnsi="NewsGotT"/>
          <w:lang w:val="pt-PT"/>
        </w:rPr>
        <w:t>. Esta revisão descreve os medicamentos antipsicóticos atípicos disponíveis e as suas características, e conclui destacando os que se encontram no "pipeline" farmacêutico.</w:t>
      </w:r>
    </w:p>
    <w:p w14:paraId="3FDF316E" w14:textId="77777777" w:rsidR="00211B8C" w:rsidRDefault="00211B8C" w:rsidP="00552771">
      <w:pPr>
        <w:spacing w:line="360" w:lineRule="auto"/>
        <w:jc w:val="both"/>
        <w:rPr>
          <w:rFonts w:ascii="NewsGotT" w:hAnsi="NewsGotT"/>
          <w:lang w:val="pt-PT"/>
        </w:rPr>
      </w:pPr>
    </w:p>
    <w:p w14:paraId="25597792" w14:textId="744CECA9" w:rsidR="003F0D3D" w:rsidRDefault="003F0D3D" w:rsidP="003F3AE8">
      <w:pPr>
        <w:spacing w:line="360" w:lineRule="auto"/>
        <w:ind w:firstLine="720"/>
        <w:jc w:val="both"/>
        <w:rPr>
          <w:rFonts w:ascii="NewsGotT" w:hAnsi="NewsGotT"/>
          <w:lang w:val="pt-PT"/>
        </w:rPr>
      </w:pPr>
    </w:p>
    <w:p w14:paraId="60544559" w14:textId="41DE183E" w:rsidR="00552771" w:rsidRDefault="00552771" w:rsidP="00552771">
      <w:pPr>
        <w:pStyle w:val="Caption"/>
        <w:keepNext/>
      </w:pPr>
      <w:bookmarkStart w:id="72" w:name="_Ref78564491"/>
      <w:proofErr w:type="spellStart"/>
      <w:r>
        <w:t>Tabela</w:t>
      </w:r>
      <w:proofErr w:type="spellEnd"/>
      <w:r>
        <w:t xml:space="preserve"> </w:t>
      </w:r>
      <w:r>
        <w:fldChar w:fldCharType="begin"/>
      </w:r>
      <w:r>
        <w:instrText xml:space="preserve"> SEQ Tabela \* ARABIC </w:instrText>
      </w:r>
      <w:r>
        <w:fldChar w:fldCharType="separate"/>
      </w:r>
      <w:r>
        <w:rPr>
          <w:noProof/>
        </w:rPr>
        <w:t>9</w:t>
      </w:r>
      <w:r>
        <w:fldChar w:fldCharType="end"/>
      </w:r>
      <w:bookmarkEnd w:id="72"/>
      <w:r>
        <w:t xml:space="preserve"> - Antipsicóticos:</w:t>
      </w:r>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ratamento agudo do 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7884E50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proofErr w:type="spellStart"/>
            <w:r w:rsidR="00F20BA7">
              <w:rPr>
                <w:rFonts w:ascii="NewsGotT" w:hAnsi="NewsGotT"/>
                <w:lang w:val="pt-BR"/>
              </w:rPr>
              <w:t>i</w:t>
            </w:r>
            <w:r w:rsidRPr="00017887">
              <w:rPr>
                <w:rFonts w:ascii="NewsGotT" w:hAnsi="NewsGotT"/>
                <w:lang w:val="pt-BR"/>
              </w:rPr>
              <w:t>rrequietud</w:t>
            </w:r>
            <w:r>
              <w:rPr>
                <w:rFonts w:ascii="NewsGotT" w:hAnsi="NewsGotT"/>
                <w:lang w:val="pt-BR"/>
              </w:rPr>
              <w:t>e</w:t>
            </w:r>
            <w:proofErr w:type="spellEnd"/>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xml:space="preserve">; </w:t>
            </w:r>
            <w:r>
              <w:rPr>
                <w:rFonts w:ascii="NewsGotT" w:hAnsi="NewsGotT"/>
                <w:lang w:val="pt-BR"/>
              </w:rPr>
              <w:lastRenderedPageBreak/>
              <w:t>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lastRenderedPageBreak/>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177135EA"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 xml:space="preserve">sintomas extrapiramidais; </w:t>
            </w:r>
            <w:proofErr w:type="spellStart"/>
            <w:r w:rsidR="00132B17">
              <w:rPr>
                <w:rFonts w:ascii="NewsGotT" w:hAnsi="NewsGotT"/>
                <w:lang w:val="pt-BR"/>
              </w:rPr>
              <w:t>disartria</w:t>
            </w:r>
            <w:proofErr w:type="spellEnd"/>
            <w:r w:rsidR="00132B17">
              <w:rPr>
                <w:rFonts w:ascii="NewsGotT" w:hAnsi="NewsGotT"/>
                <w:lang w:val="pt-BR"/>
              </w:rPr>
              <w:t xml:space="preserve">; palpitações; xerostomia;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132B17">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6B9DAC6F" w14:textId="77777777" w:rsidR="002807FF"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125A9997" w14:textId="77777777" w:rsidR="00B26081" w:rsidRDefault="00B26081" w:rsidP="002807FF">
            <w:pPr>
              <w:spacing w:line="360" w:lineRule="auto"/>
              <w:jc w:val="both"/>
              <w:rPr>
                <w:rFonts w:ascii="NewsGotT" w:hAnsi="NewsGotT"/>
                <w:lang w:val="pt-PT"/>
              </w:rPr>
            </w:pP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59F2C10D" w14:textId="5FD42911" w:rsidR="006274CC" w:rsidRPr="006274CC" w:rsidRDefault="006274CC" w:rsidP="006274CC">
            <w:pPr>
              <w:spacing w:line="360" w:lineRule="auto"/>
              <w:jc w:val="both"/>
              <w:rPr>
                <w:rFonts w:ascii="NewsGotT" w:hAnsi="NewsGotT"/>
                <w:lang w:val="pt-BR"/>
              </w:rPr>
            </w:pPr>
            <w:r>
              <w:rPr>
                <w:rFonts w:ascii="NewsGotT" w:hAnsi="NewsGotT"/>
                <w:lang w:val="pt-PT"/>
              </w:rPr>
              <w:t>I</w:t>
            </w:r>
            <w:r w:rsidRPr="006274CC">
              <w:rPr>
                <w:rFonts w:ascii="NewsGotT" w:hAnsi="NewsGotT"/>
                <w:lang w:val="pt-PT"/>
              </w:rPr>
              <w:t>nsónias, agitação</w:t>
            </w:r>
            <w:r>
              <w:rPr>
                <w:rFonts w:ascii="NewsGotT" w:hAnsi="NewsGotT"/>
                <w:lang w:val="pt-PT"/>
              </w:rPr>
              <w:t>; distúrbios do sono; depressão: ansiedade;</w:t>
            </w:r>
            <w:r w:rsidRPr="006274CC">
              <w:rPr>
                <w:rFonts w:ascii="NewsGotT" w:hAnsi="NewsGotT"/>
                <w:lang w:val="pt-PT"/>
              </w:rPr>
              <w:t xml:space="preserve"> medo</w:t>
            </w:r>
            <w:r>
              <w:rPr>
                <w:rFonts w:ascii="NewsGotT" w:hAnsi="NewsGotT"/>
                <w:lang w:val="pt-PT"/>
              </w:rPr>
              <w:t xml:space="preserve">; cefaleias; sudação; </w:t>
            </w:r>
            <w:proofErr w:type="spellStart"/>
            <w:r w:rsidRPr="006274CC">
              <w:rPr>
                <w:rFonts w:ascii="NewsGotT" w:hAnsi="NewsGotT"/>
                <w:lang w:val="pt-BR"/>
              </w:rPr>
              <w:t>hiperprolactinemia</w:t>
            </w:r>
            <w:proofErr w:type="spellEnd"/>
            <w:r>
              <w:rPr>
                <w:rFonts w:ascii="NewsGotT" w:hAnsi="NewsGotT"/>
                <w:lang w:val="pt-BR"/>
              </w:rPr>
              <w:t>; sedação/sonolência; xerostomia; hipertensão; taquicardia</w:t>
            </w:r>
          </w:p>
          <w:p w14:paraId="17F8A53C" w14:textId="50E4F95F" w:rsidR="002807FF" w:rsidRDefault="002807FF" w:rsidP="002807FF">
            <w:pPr>
              <w:spacing w:line="360" w:lineRule="auto"/>
              <w:jc w:val="both"/>
              <w:rPr>
                <w:rFonts w:ascii="NewsGotT" w:hAnsi="NewsGotT"/>
                <w:lang w:val="pt-PT"/>
              </w:rPr>
            </w:pP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461FFA51" w14:textId="04C2C0B7" w:rsidR="003F0D3D" w:rsidRDefault="003F0D3D" w:rsidP="008567C8">
      <w:pPr>
        <w:spacing w:line="360" w:lineRule="auto"/>
        <w:ind w:firstLine="720"/>
        <w:jc w:val="both"/>
        <w:rPr>
          <w:rFonts w:ascii="NewsGotT" w:hAnsi="NewsGotT"/>
          <w:lang w:val="pt-PT"/>
        </w:rPr>
      </w:pPr>
    </w:p>
    <w:p w14:paraId="5EB4B4E9" w14:textId="77777777" w:rsidR="003F0D3D" w:rsidRDefault="003F0D3D" w:rsidP="003F0D3D">
      <w:pPr>
        <w:spacing w:line="360" w:lineRule="auto"/>
        <w:ind w:firstLine="720"/>
        <w:jc w:val="both"/>
        <w:rPr>
          <w:rFonts w:ascii="NewsGotT" w:hAnsi="NewsGotT"/>
          <w:lang w:val="pt-PT"/>
        </w:rPr>
      </w:pPr>
    </w:p>
    <w:p w14:paraId="5B702C40" w14:textId="4DF42B21" w:rsidR="000E2B9D" w:rsidRDefault="003F0D3D" w:rsidP="003F0D3D">
      <w:pPr>
        <w:spacing w:line="360" w:lineRule="auto"/>
        <w:ind w:firstLine="720"/>
        <w:jc w:val="both"/>
        <w:rPr>
          <w:rFonts w:ascii="NewsGotT" w:hAnsi="NewsGotT"/>
          <w:lang w:val="pt-PT"/>
        </w:rPr>
      </w:pPr>
      <w:r>
        <w:rPr>
          <w:rFonts w:ascii="NewsGotT" w:hAnsi="NewsGotT"/>
          <w:lang w:val="pt-PT"/>
        </w:rPr>
        <w:t>s experiências começaram por</w:t>
      </w:r>
      <w:r w:rsidR="00945158">
        <w:rPr>
          <w:rFonts w:ascii="NewsGotT" w:hAnsi="NewsGotT"/>
          <w:lang w:val="pt-PT"/>
        </w:rPr>
        <w:t xml:space="preserve"> volta </w:t>
      </w:r>
      <w:r w:rsidR="00593E8F">
        <w:rPr>
          <w:rFonts w:ascii="NewsGotT" w:hAnsi="NewsGotT"/>
          <w:lang w:val="pt-PT"/>
        </w:rPr>
        <w:t>da década de 1950</w:t>
      </w:r>
      <w:r>
        <w:rPr>
          <w:rFonts w:ascii="NewsGotT" w:hAnsi="NewsGotT"/>
          <w:lang w:val="pt-PT"/>
        </w:rPr>
        <w:t xml:space="preserve">, em que foi introduzido o primeiro fármaco antipsicóticos, a </w:t>
      </w:r>
      <w:proofErr w:type="spellStart"/>
      <w:r w:rsidRPr="003F0D3D">
        <w:rPr>
          <w:rFonts w:ascii="NewsGotT" w:hAnsi="NewsGotT"/>
          <w:lang w:val="pt-PT"/>
        </w:rPr>
        <w:t>cloropromazina</w:t>
      </w:r>
      <w:proofErr w:type="spellEnd"/>
      <w:r w:rsidRPr="003F0D3D">
        <w:rPr>
          <w:rFonts w:ascii="NewsGotT" w:hAnsi="NewsGotT"/>
          <w:lang w:val="pt-PT"/>
        </w:rPr>
        <w:t>,</w:t>
      </w:r>
    </w:p>
    <w:p w14:paraId="2B2760F0" w14:textId="20BEA9C3" w:rsidR="003F0D3D" w:rsidRDefault="003F0D3D" w:rsidP="003F0D3D">
      <w:pPr>
        <w:spacing w:line="360" w:lineRule="auto"/>
        <w:ind w:firstLine="720"/>
        <w:jc w:val="both"/>
        <w:rPr>
          <w:rFonts w:ascii="NewsGotT" w:hAnsi="NewsGotT"/>
          <w:lang w:val="pt-PT"/>
        </w:rPr>
      </w:pPr>
    </w:p>
    <w:p w14:paraId="4D8357C2" w14:textId="5EFFFC49" w:rsidR="003F0D3D" w:rsidRDefault="003F0D3D" w:rsidP="003F0D3D">
      <w:pPr>
        <w:spacing w:line="360" w:lineRule="auto"/>
        <w:ind w:firstLine="720"/>
        <w:jc w:val="both"/>
        <w:rPr>
          <w:rFonts w:ascii="NewsGotT" w:hAnsi="NewsGotT"/>
          <w:lang w:val="pt-PT"/>
        </w:rPr>
      </w:pPr>
      <w:r w:rsidRPr="003F0D3D">
        <w:rPr>
          <w:rFonts w:ascii="NewsGotT" w:hAnsi="NewsGotT"/>
          <w:lang w:val="pt-PT"/>
        </w:rPr>
        <w:t>A indução de efeitos extrapiramidais acaba exatamente por ser o principal efeito adverso ao uso das</w:t>
      </w:r>
      <w:r>
        <w:rPr>
          <w:rFonts w:ascii="NewsGotT" w:hAnsi="NewsGotT"/>
          <w:lang w:val="pt-PT"/>
        </w:rPr>
        <w:t xml:space="preserve"> </w:t>
      </w:r>
      <w:proofErr w:type="spellStart"/>
      <w:r w:rsidRPr="003F0D3D">
        <w:rPr>
          <w:rFonts w:ascii="NewsGotT" w:hAnsi="NewsGotT"/>
          <w:lang w:val="pt-PT"/>
        </w:rPr>
        <w:t>fenotiazinas</w:t>
      </w:r>
      <w:proofErr w:type="spellEnd"/>
      <w:r w:rsidRPr="003F0D3D">
        <w:rPr>
          <w:rFonts w:ascii="NewsGotT" w:hAnsi="NewsGotT"/>
          <w:lang w:val="pt-PT"/>
        </w:rPr>
        <w:t xml:space="preserve">, reserpina e </w:t>
      </w:r>
      <w:proofErr w:type="spellStart"/>
      <w:r w:rsidRPr="003F0D3D">
        <w:rPr>
          <w:rFonts w:ascii="NewsGotT" w:hAnsi="NewsGotT"/>
          <w:lang w:val="pt-PT"/>
        </w:rPr>
        <w:t>butirofenonas</w:t>
      </w:r>
      <w:proofErr w:type="spellEnd"/>
      <w:r w:rsidRPr="003F0D3D">
        <w:rPr>
          <w:rFonts w:ascii="NewsGotT" w:hAnsi="NewsGotT"/>
          <w:lang w:val="pt-PT"/>
        </w:rPr>
        <w:t xml:space="preserve"> (fármacos da família do </w:t>
      </w:r>
      <w:proofErr w:type="spellStart"/>
      <w:r w:rsidRPr="003F0D3D">
        <w:rPr>
          <w:rFonts w:ascii="NewsGotT" w:hAnsi="NewsGotT"/>
          <w:lang w:val="pt-PT"/>
        </w:rPr>
        <w:t>haloperidol</w:t>
      </w:r>
      <w:proofErr w:type="spellEnd"/>
      <w:r w:rsidRPr="003F0D3D">
        <w:rPr>
          <w:rFonts w:ascii="NewsGotT" w:hAnsi="NewsGotT"/>
          <w:lang w:val="pt-PT"/>
        </w:rPr>
        <w:t>) e uma das razões de maior</w:t>
      </w:r>
      <w:r>
        <w:rPr>
          <w:rFonts w:ascii="NewsGotT" w:hAnsi="NewsGotT"/>
          <w:lang w:val="pt-PT"/>
        </w:rPr>
        <w:t xml:space="preserve"> </w:t>
      </w:r>
      <w:r w:rsidRPr="003F0D3D">
        <w:rPr>
          <w:rFonts w:ascii="NewsGotT" w:hAnsi="NewsGotT"/>
          <w:lang w:val="pt-PT"/>
        </w:rPr>
        <w:t>preocupação associada ao uso destes antipsicóticos.</w:t>
      </w:r>
    </w:p>
    <w:p w14:paraId="36D699AA" w14:textId="77777777" w:rsidR="000E2B9D" w:rsidRDefault="000E2B9D" w:rsidP="00F4003F">
      <w:pPr>
        <w:spacing w:line="360" w:lineRule="auto"/>
        <w:ind w:firstLine="720"/>
        <w:jc w:val="both"/>
        <w:rPr>
          <w:rFonts w:ascii="NewsGotT" w:hAnsi="NewsGotT"/>
          <w:lang w:val="pt-PT"/>
        </w:rPr>
      </w:pPr>
    </w:p>
    <w:p w14:paraId="304FA927" w14:textId="795E6F09" w:rsidR="002C6AD9" w:rsidRDefault="002C6AD9" w:rsidP="00F4003F">
      <w:pPr>
        <w:spacing w:line="360" w:lineRule="auto"/>
        <w:ind w:firstLine="720"/>
        <w:jc w:val="both"/>
        <w:rPr>
          <w:rFonts w:ascii="NewsGotT" w:hAnsi="NewsGotT"/>
          <w:lang w:val="pt-PT"/>
        </w:rPr>
      </w:pPr>
      <w:r>
        <w:rPr>
          <w:rFonts w:ascii="NewsGotT" w:hAnsi="NewsGotT"/>
          <w:lang w:val="pt-PT"/>
        </w:rPr>
        <w:t xml:space="preserve">A terapêutica farmacológica tem </w:t>
      </w:r>
    </w:p>
    <w:p w14:paraId="0C1D51F5" w14:textId="4BDB1F61" w:rsidR="00CA188B" w:rsidRDefault="008E778A" w:rsidP="00F4003F">
      <w:pPr>
        <w:spacing w:line="360" w:lineRule="auto"/>
        <w:ind w:firstLine="720"/>
        <w:jc w:val="both"/>
        <w:rPr>
          <w:rFonts w:ascii="NewsGotT" w:hAnsi="NewsGotT"/>
          <w:lang w:val="pt-PT"/>
        </w:rPr>
      </w:pPr>
      <w:r>
        <w:rPr>
          <w:rFonts w:ascii="NewsGotT" w:hAnsi="NewsGotT"/>
          <w:lang w:val="pt-PT"/>
        </w:rPr>
        <w:t xml:space="preserve">Alucinações, discurso desorganizado, comportamento anormal, normalmente são encontrados individualmente em todos os transtornos psicóticos e geralmente são responsivos à farmacologia. A hipótese da hiperatividade da dopamina levou ao desenvolvimento da classe terapêutica, atualmente conhecida por antipsicóticos típicos ou de primeira geração.  </w:t>
      </w:r>
    </w:p>
    <w:p w14:paraId="7BE25357" w14:textId="34A4281E" w:rsidR="00B2781B" w:rsidRDefault="00B2781B" w:rsidP="00F4003F">
      <w:pPr>
        <w:spacing w:line="360" w:lineRule="auto"/>
        <w:ind w:firstLine="720"/>
        <w:jc w:val="both"/>
        <w:rPr>
          <w:rFonts w:ascii="NewsGotT" w:hAnsi="NewsGotT"/>
          <w:lang w:val="pt-PT"/>
        </w:rPr>
      </w:pPr>
    </w:p>
    <w:p w14:paraId="18A3D5F3" w14:textId="605396F4" w:rsidR="00B2781B" w:rsidRDefault="00B2781B" w:rsidP="00F4003F">
      <w:pPr>
        <w:spacing w:line="360" w:lineRule="auto"/>
        <w:ind w:firstLine="720"/>
        <w:jc w:val="both"/>
        <w:rPr>
          <w:rFonts w:ascii="NewsGotT" w:hAnsi="NewsGotT"/>
          <w:lang w:val="pt-PT"/>
        </w:rPr>
      </w:pPr>
    </w:p>
    <w:p w14:paraId="01D2FA04" w14:textId="00709682" w:rsidR="00B2781B" w:rsidRDefault="00B2781B" w:rsidP="00F4003F">
      <w:pPr>
        <w:spacing w:line="360" w:lineRule="auto"/>
        <w:ind w:firstLine="720"/>
        <w:jc w:val="both"/>
        <w:rPr>
          <w:rFonts w:ascii="NewsGotT" w:hAnsi="NewsGotT"/>
          <w:lang w:val="pt-PT"/>
        </w:rPr>
      </w:pPr>
      <w:proofErr w:type="spellStart"/>
      <w:r>
        <w:rPr>
          <w:rFonts w:ascii="NewsGotT" w:hAnsi="NewsGotT"/>
          <w:lang w:val="pt-PT"/>
        </w:rPr>
        <w:t>Atipicos</w:t>
      </w:r>
      <w:proofErr w:type="spellEnd"/>
    </w:p>
    <w:p w14:paraId="19889575" w14:textId="768D0BDA" w:rsidR="00B2781B" w:rsidRPr="007905EF" w:rsidRDefault="00B2781B" w:rsidP="00B2781B">
      <w:pPr>
        <w:spacing w:line="360" w:lineRule="auto"/>
        <w:jc w:val="both"/>
        <w:rPr>
          <w:rFonts w:ascii="NewsGotT" w:hAnsi="NewsGotT"/>
          <w:lang w:val="pt-PT"/>
        </w:rPr>
      </w:pPr>
      <w:r w:rsidRPr="00B2781B">
        <w:rPr>
          <w:rFonts w:ascii="NewsGotT" w:hAnsi="NewsGotT"/>
          <w:lang w:val="pt-PT"/>
        </w:rPr>
        <w:t>Os antipsic</w:t>
      </w:r>
      <w:r w:rsidRPr="00B2781B">
        <w:rPr>
          <w:rFonts w:ascii="NewsGotT" w:hAnsi="NewsGotT"/>
          <w:lang w:val="pt-PT"/>
        </w:rPr>
        <w:t>ó</w:t>
      </w:r>
      <w:r w:rsidRPr="00B2781B">
        <w:rPr>
          <w:rFonts w:ascii="NewsGotT" w:hAnsi="NewsGotT"/>
          <w:lang w:val="pt-PT"/>
        </w:rPr>
        <w:t>ticos mais modernos</w:t>
      </w:r>
      <w:r w:rsidR="007905EF">
        <w:rPr>
          <w:rFonts w:ascii="NewsGotT" w:hAnsi="NewsGotT"/>
          <w:lang w:val="pt-PT"/>
        </w:rPr>
        <w:t xml:space="preserve"> também</w:t>
      </w:r>
      <w:r w:rsidRPr="00B2781B">
        <w:rPr>
          <w:rFonts w:ascii="NewsGotT" w:hAnsi="NewsGotT"/>
          <w:lang w:val="pt-PT"/>
        </w:rPr>
        <w:t xml:space="preserve"> classificados</w:t>
      </w:r>
      <w:r w:rsidRPr="00B2781B">
        <w:rPr>
          <w:rFonts w:ascii="NewsGotT" w:hAnsi="NewsGotT"/>
          <w:lang w:val="pt-PT"/>
        </w:rPr>
        <w:t xml:space="preserve"> </w:t>
      </w:r>
      <w:r w:rsidRPr="00B2781B">
        <w:rPr>
          <w:rFonts w:ascii="NewsGotT" w:hAnsi="NewsGotT"/>
          <w:lang w:val="pt-PT"/>
        </w:rPr>
        <w:t>como "at</w:t>
      </w:r>
      <w:r w:rsidRPr="00B2781B">
        <w:rPr>
          <w:rFonts w:ascii="NewsGotT" w:hAnsi="NewsGotT"/>
          <w:lang w:val="pt-PT"/>
        </w:rPr>
        <w:t>í</w:t>
      </w:r>
      <w:r w:rsidRPr="00B2781B">
        <w:rPr>
          <w:rFonts w:ascii="NewsGotT" w:hAnsi="NewsGotT"/>
          <w:lang w:val="pt-PT"/>
        </w:rPr>
        <w:t>picos" caracteriz</w:t>
      </w:r>
      <w:r w:rsidR="007905EF">
        <w:rPr>
          <w:rFonts w:ascii="NewsGotT" w:hAnsi="NewsGotT"/>
          <w:lang w:val="pt-PT"/>
        </w:rPr>
        <w:t>am-se</w:t>
      </w:r>
      <w:r w:rsidRPr="00B2781B">
        <w:rPr>
          <w:rFonts w:ascii="NewsGotT" w:hAnsi="NewsGotT"/>
          <w:lang w:val="pt-PT"/>
        </w:rPr>
        <w:t xml:space="preserve"> </w:t>
      </w:r>
      <w:r w:rsidR="007905EF">
        <w:rPr>
          <w:rFonts w:ascii="NewsGotT" w:hAnsi="NewsGotT"/>
          <w:lang w:val="pt-PT"/>
        </w:rPr>
        <w:t>pela</w:t>
      </w:r>
      <w:r w:rsidRPr="00B2781B">
        <w:rPr>
          <w:rFonts w:ascii="NewsGotT" w:hAnsi="NewsGotT"/>
          <w:lang w:val="pt-PT"/>
        </w:rPr>
        <w:t xml:space="preserve"> sua baixa propens</w:t>
      </w:r>
      <w:r w:rsidRPr="00B2781B">
        <w:rPr>
          <w:rFonts w:ascii="NewsGotT" w:hAnsi="NewsGotT"/>
          <w:lang w:val="pt-PT"/>
        </w:rPr>
        <w:t>ã</w:t>
      </w:r>
      <w:r w:rsidRPr="00B2781B">
        <w:rPr>
          <w:rFonts w:ascii="NewsGotT" w:hAnsi="NewsGotT"/>
          <w:lang w:val="pt-PT"/>
        </w:rPr>
        <w:t>o a</w:t>
      </w:r>
      <w:r w:rsidRPr="00B2781B">
        <w:rPr>
          <w:rFonts w:ascii="NewsGotT" w:hAnsi="NewsGotT"/>
          <w:lang w:val="pt-PT"/>
        </w:rPr>
        <w:t xml:space="preserve"> </w:t>
      </w:r>
      <w:r w:rsidRPr="007905EF">
        <w:rPr>
          <w:rFonts w:ascii="NewsGotT" w:hAnsi="NewsGotT"/>
          <w:lang w:val="pt-PT"/>
        </w:rPr>
        <w:t>causar efeitos adversos extrapiramidais, tamb</w:t>
      </w:r>
      <w:r w:rsidRPr="007905EF">
        <w:rPr>
          <w:rFonts w:ascii="NewsGotT" w:hAnsi="NewsGotT"/>
          <w:lang w:val="pt-PT"/>
        </w:rPr>
        <w:t>é</w:t>
      </w:r>
      <w:r w:rsidRPr="007905EF">
        <w:rPr>
          <w:rFonts w:ascii="NewsGotT" w:hAnsi="NewsGotT"/>
          <w:lang w:val="pt-PT"/>
        </w:rPr>
        <w:t>m incluem f</w:t>
      </w:r>
      <w:r w:rsidRPr="007905EF">
        <w:rPr>
          <w:rFonts w:ascii="NewsGotT" w:hAnsi="NewsGotT"/>
          <w:lang w:val="pt-PT"/>
        </w:rPr>
        <w:t>á</w:t>
      </w:r>
      <w:r w:rsidRPr="007905EF">
        <w:rPr>
          <w:rFonts w:ascii="NewsGotT" w:hAnsi="NewsGotT"/>
          <w:lang w:val="pt-PT"/>
        </w:rPr>
        <w:t>rmacos</w:t>
      </w:r>
      <w:r w:rsidRPr="007905EF">
        <w:rPr>
          <w:rFonts w:ascii="NewsGotT" w:hAnsi="NewsGotT"/>
          <w:lang w:val="pt-PT"/>
        </w:rPr>
        <w:t xml:space="preserve"> </w:t>
      </w:r>
      <w:r w:rsidRPr="007905EF">
        <w:rPr>
          <w:rFonts w:ascii="NewsGotT" w:hAnsi="NewsGotT"/>
          <w:lang w:val="pt-PT"/>
        </w:rPr>
        <w:t>que s</w:t>
      </w:r>
      <w:r w:rsidRPr="007905EF">
        <w:rPr>
          <w:rFonts w:ascii="NewsGotT" w:hAnsi="NewsGotT"/>
          <w:lang w:val="pt-PT"/>
        </w:rPr>
        <w:t>ã</w:t>
      </w:r>
      <w:r w:rsidRPr="007905EF">
        <w:rPr>
          <w:rFonts w:ascii="NewsGotT" w:hAnsi="NewsGotT"/>
          <w:lang w:val="pt-PT"/>
        </w:rPr>
        <w:t xml:space="preserve">o antagonistas potentes dos </w:t>
      </w:r>
      <w:r w:rsidR="006432C1"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Em particular,</w:t>
      </w:r>
      <w:r w:rsidRPr="007905EF">
        <w:rPr>
          <w:rFonts w:ascii="NewsGotT" w:hAnsi="NewsGotT"/>
          <w:lang w:val="pt-PT"/>
        </w:rPr>
        <w:t xml:space="preserve"> </w:t>
      </w:r>
      <w:r w:rsidRPr="007905EF">
        <w:rPr>
          <w:rFonts w:ascii="NewsGotT" w:hAnsi="NewsGotT"/>
          <w:lang w:val="pt-PT"/>
        </w:rPr>
        <w:t xml:space="preserve">a </w:t>
      </w:r>
      <w:proofErr w:type="spellStart"/>
      <w:r w:rsidRPr="007905EF">
        <w:rPr>
          <w:rFonts w:ascii="NewsGotT" w:hAnsi="NewsGotT"/>
          <w:lang w:val="pt-PT"/>
        </w:rPr>
        <w:t>clozapina</w:t>
      </w:r>
      <w:proofErr w:type="spellEnd"/>
      <w:r w:rsidRPr="007905EF">
        <w:rPr>
          <w:rFonts w:ascii="NewsGotT" w:hAnsi="NewsGotT"/>
          <w:lang w:val="pt-PT"/>
        </w:rPr>
        <w:t xml:space="preserve"> liga-se aos </w:t>
      </w:r>
      <w:r w:rsidR="007905EF"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do c</w:t>
      </w:r>
      <w:r w:rsidRPr="007905EF">
        <w:rPr>
          <w:rFonts w:ascii="NewsGotT" w:hAnsi="NewsGotT"/>
          <w:lang w:val="pt-PT"/>
        </w:rPr>
        <w:t>é</w:t>
      </w:r>
      <w:r w:rsidRPr="007905EF">
        <w:rPr>
          <w:rFonts w:ascii="NewsGotT" w:hAnsi="NewsGotT"/>
          <w:lang w:val="pt-PT"/>
        </w:rPr>
        <w:t>rebro</w:t>
      </w:r>
      <w:r w:rsidRPr="007905EF">
        <w:rPr>
          <w:rFonts w:ascii="NewsGotT" w:hAnsi="NewsGotT"/>
          <w:lang w:val="pt-PT"/>
        </w:rPr>
        <w:t xml:space="preserve"> </w:t>
      </w:r>
      <w:r w:rsidRPr="007905EF">
        <w:rPr>
          <w:rFonts w:ascii="NewsGotT" w:hAnsi="NewsGotT"/>
          <w:lang w:val="pt-PT"/>
        </w:rPr>
        <w:t xml:space="preserve">humano com alta afinidade (1 O </w:t>
      </w:r>
      <w:proofErr w:type="spellStart"/>
      <w:r w:rsidRPr="007905EF">
        <w:rPr>
          <w:rFonts w:ascii="NewsGotT" w:hAnsi="NewsGotT"/>
          <w:lang w:val="pt-PT"/>
        </w:rPr>
        <w:t>nM</w:t>
      </w:r>
      <w:proofErr w:type="spellEnd"/>
      <w:r w:rsidRPr="007905EF">
        <w:rPr>
          <w:rFonts w:ascii="NewsGotT" w:hAnsi="NewsGotT"/>
          <w:lang w:val="pt-PT"/>
        </w:rPr>
        <w:t xml:space="preserve">, comparado com 1-2 </w:t>
      </w:r>
      <w:proofErr w:type="spellStart"/>
      <w:r w:rsidRPr="007905EF">
        <w:rPr>
          <w:rFonts w:ascii="NewsGotT" w:hAnsi="NewsGotT"/>
          <w:lang w:val="pt-PT"/>
        </w:rPr>
        <w:t>nM</w:t>
      </w:r>
      <w:proofErr w:type="spellEnd"/>
      <w:r w:rsidRPr="007905EF">
        <w:rPr>
          <w:rFonts w:ascii="NewsGotT" w:hAnsi="NewsGotT"/>
          <w:lang w:val="pt-PT"/>
        </w:rPr>
        <w:t xml:space="preserve"> da atropina);</w:t>
      </w:r>
    </w:p>
    <w:p w14:paraId="0551D238" w14:textId="1C0C9964" w:rsidR="00B2781B" w:rsidRDefault="00B2781B" w:rsidP="00B2781B">
      <w:pPr>
        <w:spacing w:line="360" w:lineRule="auto"/>
        <w:jc w:val="both"/>
        <w:rPr>
          <w:rFonts w:ascii="NewsGotT" w:hAnsi="NewsGotT"/>
          <w:lang w:val="pt-PT"/>
        </w:rPr>
      </w:pPr>
      <w:r w:rsidRPr="007905EF">
        <w:rPr>
          <w:rFonts w:ascii="NewsGotT" w:hAnsi="NewsGotT"/>
          <w:lang w:val="pt-PT"/>
        </w:rPr>
        <w:t xml:space="preserve">a </w:t>
      </w:r>
      <w:proofErr w:type="spellStart"/>
      <w:r w:rsidRPr="007905EF">
        <w:rPr>
          <w:rFonts w:ascii="NewsGotT" w:hAnsi="NewsGotT"/>
          <w:lang w:val="pt-PT"/>
        </w:rPr>
        <w:t>olanzapina</w:t>
      </w:r>
      <w:proofErr w:type="spellEnd"/>
      <w:r w:rsidRPr="007905EF">
        <w:rPr>
          <w:rFonts w:ascii="NewsGotT" w:hAnsi="NewsGotT"/>
          <w:lang w:val="pt-PT"/>
        </w:rPr>
        <w:t xml:space="preserve"> tamb</w:t>
      </w:r>
      <w:r w:rsidRPr="007905EF">
        <w:rPr>
          <w:rFonts w:ascii="NewsGotT" w:hAnsi="NewsGotT"/>
          <w:lang w:val="pt-PT"/>
        </w:rPr>
        <w:t>é</w:t>
      </w:r>
      <w:r w:rsidRPr="007905EF">
        <w:rPr>
          <w:rFonts w:ascii="NewsGotT" w:hAnsi="NewsGotT"/>
          <w:lang w:val="pt-PT"/>
        </w:rPr>
        <w:t>m</w:t>
      </w:r>
      <w:r w:rsidRPr="007905EF">
        <w:rPr>
          <w:lang w:val="pt-PT"/>
        </w:rPr>
        <w:t> </w:t>
      </w:r>
      <w:r w:rsidRPr="007905EF">
        <w:rPr>
          <w:rFonts w:ascii="NewsGotT" w:hAnsi="NewsGotT"/>
          <w:lang w:val="pt-PT"/>
        </w:rPr>
        <w:t xml:space="preserve">é </w:t>
      </w:r>
      <w:r w:rsidRPr="007905EF">
        <w:rPr>
          <w:rFonts w:ascii="NewsGotT" w:hAnsi="NewsGotT"/>
          <w:lang w:val="pt-PT"/>
        </w:rPr>
        <w:t xml:space="preserve"> um antagonista potente dos </w:t>
      </w:r>
      <w:proofErr w:type="spellStart"/>
      <w:r w:rsidRPr="007905EF">
        <w:rPr>
          <w:rFonts w:ascii="NewsGotT" w:hAnsi="NewsGotT"/>
          <w:lang w:val="pt-PT"/>
        </w:rPr>
        <w:t>receptores</w:t>
      </w:r>
      <w:proofErr w:type="spellEnd"/>
      <w:r w:rsidRPr="007905EF">
        <w:rPr>
          <w:rFonts w:ascii="NewsGotT" w:hAnsi="NewsGotT"/>
          <w:lang w:val="pt-PT"/>
        </w:rPr>
        <w:t xml:space="preserve"> </w:t>
      </w:r>
      <w:r w:rsidRPr="007905EF">
        <w:rPr>
          <w:rFonts w:ascii="NewsGotT" w:hAnsi="NewsGotT"/>
          <w:lang w:val="pt-PT"/>
        </w:rPr>
        <w:t>musca</w:t>
      </w:r>
      <w:r w:rsidRPr="007905EF">
        <w:rPr>
          <w:rFonts w:ascii="NewsGotT" w:hAnsi="NewsGotT"/>
          <w:lang w:val="pt-PT"/>
        </w:rPr>
        <w:t>rí</w:t>
      </w:r>
      <w:r w:rsidRPr="007905EF">
        <w:rPr>
          <w:rFonts w:ascii="NewsGotT" w:hAnsi="NewsGotT"/>
          <w:lang w:val="pt-PT"/>
        </w:rPr>
        <w:t>nicos (</w:t>
      </w:r>
      <w:proofErr w:type="spellStart"/>
      <w:r w:rsidRPr="007905EF">
        <w:rPr>
          <w:rFonts w:ascii="NewsGotT" w:hAnsi="NewsGotT"/>
          <w:lang w:val="pt-PT"/>
        </w:rPr>
        <w:t>Richelson</w:t>
      </w:r>
      <w:proofErr w:type="spellEnd"/>
      <w:r w:rsidRPr="007905EF">
        <w:rPr>
          <w:rFonts w:ascii="NewsGotT" w:hAnsi="NewsGotT"/>
          <w:lang w:val="pt-PT"/>
        </w:rPr>
        <w:t xml:space="preserve">, 1999; </w:t>
      </w:r>
      <w:proofErr w:type="spellStart"/>
      <w:r w:rsidRPr="007905EF">
        <w:rPr>
          <w:rFonts w:ascii="NewsGotT" w:hAnsi="NewsGotT"/>
          <w:lang w:val="pt-PT"/>
        </w:rPr>
        <w:t>Roth</w:t>
      </w:r>
      <w:proofErr w:type="spellEnd"/>
      <w:r w:rsidRPr="007905EF">
        <w:rPr>
          <w:rFonts w:ascii="NewsGotT" w:hAnsi="NewsGotT"/>
          <w:lang w:val="pt-PT"/>
        </w:rPr>
        <w:t xml:space="preserve"> e cols., 2004). Por essa ra</w:t>
      </w:r>
      <w:r w:rsidRPr="007905EF">
        <w:rPr>
          <w:rFonts w:ascii="NewsGotT" w:hAnsi="NewsGotT"/>
          <w:lang w:val="pt-PT"/>
        </w:rPr>
        <w:t>zão</w:t>
      </w:r>
      <w:r w:rsidRPr="007905EF">
        <w:rPr>
          <w:rFonts w:ascii="NewsGotT" w:hAnsi="NewsGotT"/>
          <w:lang w:val="pt-PT"/>
        </w:rPr>
        <w:t>,</w:t>
      </w:r>
      <w:r w:rsidRPr="007905EF">
        <w:rPr>
          <w:rFonts w:ascii="NewsGotT" w:hAnsi="NewsGotT"/>
          <w:lang w:val="pt-PT"/>
        </w:rPr>
        <w:t xml:space="preserve"> </w:t>
      </w:r>
      <w:r w:rsidR="007905EF">
        <w:rPr>
          <w:rFonts w:ascii="NewsGotT" w:hAnsi="NewsGotT"/>
          <w:lang w:val="pt-PT"/>
        </w:rPr>
        <w:t xml:space="preserve">a </w:t>
      </w:r>
      <w:proofErr w:type="spellStart"/>
      <w:r w:rsidR="007905EF">
        <w:rPr>
          <w:rFonts w:ascii="NewsGotT" w:hAnsi="NewsGotT"/>
          <w:lang w:val="pt-PT"/>
        </w:rPr>
        <w:t>xerostomia</w:t>
      </w:r>
      <w:proofErr w:type="spellEnd"/>
      <w:r w:rsidR="007905EF">
        <w:rPr>
          <w:rFonts w:ascii="NewsGotT" w:hAnsi="NewsGotT"/>
          <w:lang w:val="pt-PT"/>
        </w:rPr>
        <w:t xml:space="preserve"> </w:t>
      </w:r>
      <w:r w:rsidRPr="007905EF">
        <w:rPr>
          <w:rFonts w:ascii="NewsGotT" w:hAnsi="NewsGotT"/>
          <w:lang w:val="pt-PT"/>
        </w:rPr>
        <w:t xml:space="preserve">é </w:t>
      </w:r>
      <w:r w:rsidRPr="007905EF">
        <w:rPr>
          <w:rFonts w:ascii="NewsGotT" w:hAnsi="NewsGotT"/>
          <w:lang w:val="pt-PT"/>
        </w:rPr>
        <w:t xml:space="preserve"> um efeito adverso </w:t>
      </w:r>
      <w:r w:rsidR="007905EF">
        <w:rPr>
          <w:rFonts w:ascii="NewsGotT" w:hAnsi="NewsGotT"/>
          <w:lang w:val="pt-PT"/>
        </w:rPr>
        <w:t>frequente</w:t>
      </w:r>
      <w:r w:rsidRPr="007905EF">
        <w:rPr>
          <w:rFonts w:ascii="NewsGotT" w:hAnsi="NewsGotT"/>
          <w:lang w:val="pt-PT"/>
        </w:rPr>
        <w:t xml:space="preserve"> des</w:t>
      </w:r>
      <w:r w:rsidR="007905EF">
        <w:rPr>
          <w:rFonts w:ascii="NewsGotT" w:hAnsi="NewsGotT"/>
          <w:lang w:val="pt-PT"/>
        </w:rPr>
        <w:t>t</w:t>
      </w:r>
      <w:r w:rsidRPr="007905EF">
        <w:rPr>
          <w:rFonts w:ascii="NewsGotT" w:hAnsi="NewsGotT"/>
          <w:lang w:val="pt-PT"/>
        </w:rPr>
        <w:t>es f</w:t>
      </w:r>
      <w:r w:rsidRPr="007905EF">
        <w:rPr>
          <w:rFonts w:ascii="NewsGotT" w:hAnsi="NewsGotT"/>
          <w:lang w:val="pt-PT"/>
        </w:rPr>
        <w:t>ár</w:t>
      </w:r>
      <w:r w:rsidRPr="007905EF">
        <w:rPr>
          <w:rFonts w:ascii="NewsGotT" w:hAnsi="NewsGotT"/>
          <w:lang w:val="pt-PT"/>
        </w:rPr>
        <w:t>macos.</w:t>
      </w:r>
      <w:r w:rsidRPr="007905EF">
        <w:rPr>
          <w:rFonts w:ascii="NewsGotT" w:hAnsi="NewsGotT"/>
          <w:lang w:val="pt-PT"/>
        </w:rPr>
        <w:t xml:space="preserve"> </w:t>
      </w:r>
      <w:r w:rsidRPr="007905EF">
        <w:rPr>
          <w:rFonts w:ascii="NewsGotT" w:hAnsi="NewsGotT"/>
          <w:lang w:val="pt-PT"/>
        </w:rPr>
        <w:t xml:space="preserve">Um efeito adverso paradoxal da </w:t>
      </w:r>
      <w:proofErr w:type="spellStart"/>
      <w:r w:rsidRPr="007905EF">
        <w:rPr>
          <w:rFonts w:ascii="NewsGotT" w:hAnsi="NewsGotT"/>
          <w:lang w:val="pt-PT"/>
        </w:rPr>
        <w:t>clozapina</w:t>
      </w:r>
      <w:proofErr w:type="spellEnd"/>
      <w:r w:rsidRPr="007905EF">
        <w:rPr>
          <w:rFonts w:ascii="NewsGotT" w:hAnsi="NewsGotT"/>
          <w:lang w:val="pt-PT"/>
        </w:rPr>
        <w:t xml:space="preserve"> é </w:t>
      </w:r>
      <w:r w:rsidRPr="007905EF">
        <w:rPr>
          <w:rFonts w:ascii="NewsGotT" w:hAnsi="NewsGotT"/>
          <w:lang w:val="pt-PT"/>
        </w:rPr>
        <w:t>o aumento da</w:t>
      </w:r>
      <w:r w:rsidRPr="007905EF">
        <w:rPr>
          <w:rFonts w:ascii="NewsGotT" w:hAnsi="NewsGotT"/>
          <w:lang w:val="pt-PT"/>
        </w:rPr>
        <w:t xml:space="preserve"> </w:t>
      </w:r>
      <w:r w:rsidRPr="007905EF">
        <w:rPr>
          <w:rFonts w:ascii="NewsGotT" w:hAnsi="NewsGotT"/>
          <w:lang w:val="pt-PT"/>
        </w:rPr>
        <w:t>saliva</w:t>
      </w:r>
      <w:r w:rsidRPr="007905EF">
        <w:rPr>
          <w:rFonts w:ascii="NewsGotT" w:hAnsi="NewsGotT"/>
          <w:lang w:val="pt-PT"/>
        </w:rPr>
        <w:t>ção</w:t>
      </w:r>
      <w:r w:rsidRPr="007905EF">
        <w:rPr>
          <w:rFonts w:ascii="NewsGotT" w:hAnsi="NewsGotT"/>
          <w:lang w:val="pt-PT"/>
        </w:rPr>
        <w:t xml:space="preserve"> e baba, possivelmente devido a propriedade de agonista</w:t>
      </w:r>
      <w:r w:rsidRPr="007905EF">
        <w:rPr>
          <w:rFonts w:ascii="NewsGotT" w:hAnsi="NewsGotT"/>
          <w:lang w:val="pt-PT"/>
        </w:rPr>
        <w:t xml:space="preserve"> </w:t>
      </w:r>
      <w:r w:rsidRPr="007905EF">
        <w:rPr>
          <w:rFonts w:ascii="NewsGotT" w:hAnsi="NewsGotT"/>
          <w:lang w:val="pt-PT"/>
        </w:rPr>
        <w:t xml:space="preserve">parcial desse </w:t>
      </w:r>
      <w:r w:rsidRPr="007905EF">
        <w:rPr>
          <w:rFonts w:ascii="NewsGotT" w:hAnsi="NewsGotT"/>
          <w:lang w:val="pt-PT"/>
        </w:rPr>
        <w:t>fá</w:t>
      </w:r>
      <w:r w:rsidRPr="007905EF">
        <w:rPr>
          <w:rFonts w:ascii="NewsGotT" w:hAnsi="NewsGotT"/>
          <w:lang w:val="pt-PT"/>
        </w:rPr>
        <w:t>rmaco</w:t>
      </w:r>
      <w:r w:rsidRPr="007905EF">
        <w:rPr>
          <w:rFonts w:ascii="NewsGotT" w:hAnsi="NewsGotT"/>
          <w:lang w:val="pt-PT"/>
        </w:rPr>
        <w:t xml:space="preserve">. </w:t>
      </w:r>
    </w:p>
    <w:p w14:paraId="2A655A16" w14:textId="0D3DBFC8" w:rsidR="006432C1" w:rsidRDefault="006432C1" w:rsidP="00B2781B">
      <w:pPr>
        <w:spacing w:line="360" w:lineRule="auto"/>
        <w:jc w:val="both"/>
        <w:rPr>
          <w:rFonts w:ascii="NewsGotT" w:hAnsi="NewsGotT"/>
          <w:lang w:val="pt-PT"/>
        </w:rPr>
      </w:pPr>
    </w:p>
    <w:p w14:paraId="14F32191" w14:textId="23650E2E" w:rsidR="006432C1" w:rsidRPr="007905EF" w:rsidRDefault="006432C1" w:rsidP="006432C1">
      <w:pPr>
        <w:spacing w:line="360" w:lineRule="auto"/>
        <w:jc w:val="both"/>
        <w:rPr>
          <w:rFonts w:ascii="NewsGotT" w:hAnsi="NewsGotT"/>
          <w:lang w:val="pt-PT"/>
        </w:rPr>
      </w:pPr>
      <w:r w:rsidRPr="006432C1">
        <w:rPr>
          <w:rFonts w:ascii="NewsGotT" w:hAnsi="NewsGotT"/>
          <w:lang w:val="pt-PT"/>
        </w:rPr>
        <w:t>Outros antipsi</w:t>
      </w:r>
      <w:r>
        <w:rPr>
          <w:rFonts w:ascii="NewsGotT" w:hAnsi="NewsGotT"/>
          <w:lang w:val="pt-PT"/>
        </w:rPr>
        <w:t>có</w:t>
      </w:r>
      <w:r w:rsidRPr="006432C1">
        <w:rPr>
          <w:rFonts w:ascii="NewsGotT" w:hAnsi="NewsGotT"/>
          <w:lang w:val="pt-PT"/>
        </w:rPr>
        <w:t>ticos</w:t>
      </w:r>
      <w:r>
        <w:rPr>
          <w:rFonts w:ascii="NewsGotT" w:hAnsi="NewsGotT"/>
          <w:lang w:val="pt-PT"/>
        </w:rPr>
        <w:t xml:space="preserve"> </w:t>
      </w:r>
      <w:r w:rsidRPr="006432C1">
        <w:rPr>
          <w:rFonts w:ascii="NewsGotT" w:hAnsi="NewsGotT"/>
          <w:lang w:val="pt-PT"/>
        </w:rPr>
        <w:t>at</w:t>
      </w:r>
      <w:r>
        <w:rPr>
          <w:lang w:val="pt-PT"/>
        </w:rPr>
        <w:t>í</w:t>
      </w:r>
      <w:r w:rsidRPr="006432C1">
        <w:rPr>
          <w:rFonts w:ascii="NewsGotT" w:hAnsi="NewsGotT"/>
          <w:lang w:val="pt-PT"/>
        </w:rPr>
        <w:t xml:space="preserve">picos, a </w:t>
      </w:r>
      <w:proofErr w:type="spellStart"/>
      <w:r w:rsidRPr="006432C1">
        <w:rPr>
          <w:rFonts w:ascii="NewsGotT" w:hAnsi="NewsGotT"/>
          <w:lang w:val="pt-PT"/>
        </w:rPr>
        <w:t>quetiapina</w:t>
      </w:r>
      <w:proofErr w:type="spellEnd"/>
      <w:r w:rsidRPr="006432C1">
        <w:rPr>
          <w:rFonts w:ascii="NewsGotT" w:hAnsi="NewsGotT"/>
          <w:lang w:val="pt-PT"/>
        </w:rPr>
        <w:t xml:space="preserve"> e a </w:t>
      </w:r>
      <w:proofErr w:type="spellStart"/>
      <w:r w:rsidRPr="006432C1">
        <w:rPr>
          <w:rFonts w:ascii="NewsGotT" w:hAnsi="NewsGotT"/>
          <w:lang w:val="pt-PT"/>
        </w:rPr>
        <w:t>olanzapina</w:t>
      </w:r>
      <w:proofErr w:type="spellEnd"/>
      <w:r w:rsidRPr="006432C1">
        <w:rPr>
          <w:rFonts w:ascii="NewsGotT" w:hAnsi="NewsGotT"/>
          <w:lang w:val="pt-PT"/>
        </w:rPr>
        <w:t>, atuam sobre</w:t>
      </w:r>
      <w:r>
        <w:rPr>
          <w:rFonts w:ascii="NewsGotT" w:hAnsi="NewsGotT"/>
          <w:lang w:val="pt-PT"/>
        </w:rPr>
        <w:t xml:space="preserve"> </w:t>
      </w:r>
      <w:r w:rsidRPr="006432C1">
        <w:rPr>
          <w:rFonts w:ascii="NewsGotT" w:hAnsi="NewsGotT"/>
          <w:lang w:val="pt-PT"/>
        </w:rPr>
        <w:t>m</w:t>
      </w:r>
      <w:r>
        <w:rPr>
          <w:lang w:val="pt-PT"/>
        </w:rPr>
        <w:t>ú</w:t>
      </w:r>
      <w:r w:rsidRPr="006432C1">
        <w:rPr>
          <w:rFonts w:ascii="NewsGotT" w:hAnsi="NewsGotT"/>
          <w:lang w:val="pt-PT"/>
        </w:rPr>
        <w:t xml:space="preserve">ltiplos </w:t>
      </w:r>
      <w:r w:rsidRPr="006432C1">
        <w:rPr>
          <w:rFonts w:ascii="NewsGotT" w:hAnsi="NewsGotT"/>
          <w:lang w:val="pt-PT"/>
        </w:rPr>
        <w:t>recetores</w:t>
      </w:r>
      <w:r w:rsidRPr="006432C1">
        <w:rPr>
          <w:rFonts w:ascii="NewsGotT" w:hAnsi="NewsGotT"/>
          <w:lang w:val="pt-PT"/>
        </w:rPr>
        <w:t>; entretanto, acredita-se que suas</w:t>
      </w:r>
      <w:r>
        <w:rPr>
          <w:rFonts w:ascii="NewsGotT" w:hAnsi="NewsGotT"/>
          <w:lang w:val="pt-PT"/>
        </w:rPr>
        <w:t xml:space="preserve"> </w:t>
      </w:r>
      <w:r w:rsidRPr="006432C1">
        <w:rPr>
          <w:rFonts w:ascii="NewsGotT" w:hAnsi="NewsGotT"/>
          <w:lang w:val="pt-PT"/>
        </w:rPr>
        <w:t xml:space="preserve">propriedades </w:t>
      </w:r>
      <w:proofErr w:type="spellStart"/>
      <w:r w:rsidRPr="006432C1">
        <w:rPr>
          <w:rFonts w:ascii="NewsGotT" w:hAnsi="NewsGotT"/>
          <w:lang w:val="pt-PT"/>
        </w:rPr>
        <w:t>antipsi</w:t>
      </w:r>
      <w:r>
        <w:rPr>
          <w:rFonts w:ascii="NewsGotT" w:hAnsi="NewsGotT"/>
          <w:lang w:val="pt-PT"/>
        </w:rPr>
        <w:t>có</w:t>
      </w:r>
      <w:r w:rsidRPr="006432C1">
        <w:rPr>
          <w:rFonts w:ascii="NewsGotT" w:hAnsi="NewsGotT"/>
          <w:lang w:val="pt-PT"/>
        </w:rPr>
        <w:t>ticas</w:t>
      </w:r>
      <w:proofErr w:type="spellEnd"/>
      <w:r w:rsidRPr="006432C1">
        <w:rPr>
          <w:rFonts w:ascii="NewsGotT" w:hAnsi="NewsGotT"/>
          <w:lang w:val="pt-PT"/>
        </w:rPr>
        <w:t xml:space="preserve"> sejam decorrentes do antagonismo</w:t>
      </w:r>
      <w:r>
        <w:rPr>
          <w:rFonts w:ascii="NewsGotT" w:hAnsi="NewsGotT"/>
          <w:lang w:val="pt-PT"/>
        </w:rPr>
        <w:t xml:space="preserve"> </w:t>
      </w:r>
      <w:r w:rsidRPr="006432C1">
        <w:rPr>
          <w:rFonts w:ascii="NewsGotT" w:hAnsi="NewsGotT"/>
          <w:lang w:val="pt-PT"/>
        </w:rPr>
        <w:t xml:space="preserve">da </w:t>
      </w:r>
      <w:r>
        <w:rPr>
          <w:rFonts w:ascii="NewsGotT" w:hAnsi="NewsGotT"/>
          <w:lang w:val="pt-PT"/>
        </w:rPr>
        <w:t>dopamina</w:t>
      </w:r>
      <w:r w:rsidRPr="006432C1">
        <w:rPr>
          <w:rFonts w:ascii="NewsGotT" w:hAnsi="NewsGotT"/>
          <w:lang w:val="pt-PT"/>
        </w:rPr>
        <w:t xml:space="preserve"> e da </w:t>
      </w:r>
      <w:r>
        <w:rPr>
          <w:rFonts w:ascii="NewsGotT" w:hAnsi="NewsGotT"/>
          <w:lang w:val="pt-PT"/>
        </w:rPr>
        <w:t>serotonina</w:t>
      </w:r>
      <w:r w:rsidRPr="006432C1">
        <w:rPr>
          <w:rFonts w:ascii="NewsGotT" w:hAnsi="NewsGotT"/>
          <w:lang w:val="pt-PT"/>
        </w:rPr>
        <w:t>.</w:t>
      </w:r>
    </w:p>
    <w:p w14:paraId="648B5EBD" w14:textId="77777777" w:rsidR="00CA188B" w:rsidRPr="00B2781B" w:rsidRDefault="00CA188B" w:rsidP="00CA188B">
      <w:pPr>
        <w:spacing w:line="360" w:lineRule="auto"/>
        <w:ind w:firstLine="720"/>
        <w:jc w:val="both"/>
        <w:rPr>
          <w:rFonts w:ascii="NewsGotT" w:hAnsi="NewsGotT"/>
          <w:lang w:val="pt-PT"/>
        </w:rPr>
      </w:pPr>
    </w:p>
    <w:p w14:paraId="0A44438D" w14:textId="52BFC40B"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Os antipsicóticos ou neurolépticos são a principal classe farmacológica </w:t>
      </w:r>
      <w:r>
        <w:rPr>
          <w:rFonts w:ascii="NewsGotT" w:hAnsi="NewsGotT"/>
          <w:lang w:val="pt-PT"/>
        </w:rPr>
        <w:t>utilizada no</w:t>
      </w:r>
      <w:r w:rsidRPr="007C27C7">
        <w:rPr>
          <w:rFonts w:ascii="NewsGotT" w:hAnsi="NewsGotT"/>
          <w:lang w:val="pt-PT"/>
        </w:rPr>
        <w:t xml:space="preserve"> controlo</w:t>
      </w:r>
      <w:r>
        <w:rPr>
          <w:rFonts w:ascii="NewsGotT" w:hAnsi="NewsGotT"/>
          <w:lang w:val="pt-PT"/>
        </w:rPr>
        <w:t xml:space="preserve"> </w:t>
      </w:r>
      <w:r w:rsidRPr="007C27C7">
        <w:rPr>
          <w:rFonts w:ascii="NewsGotT" w:hAnsi="NewsGotT"/>
          <w:lang w:val="pt-PT"/>
        </w:rPr>
        <w:t xml:space="preserve">e </w:t>
      </w:r>
      <w:r>
        <w:rPr>
          <w:rFonts w:ascii="NewsGotT" w:hAnsi="NewsGotT"/>
          <w:lang w:val="pt-PT"/>
        </w:rPr>
        <w:t>atenuação</w:t>
      </w:r>
      <w:r w:rsidRPr="007C27C7">
        <w:rPr>
          <w:rFonts w:ascii="NewsGotT" w:hAnsi="NewsGotT"/>
          <w:lang w:val="pt-PT"/>
        </w:rPr>
        <w:t xml:space="preserve"> de eventos como alucinações, </w:t>
      </w:r>
      <w:r>
        <w:rPr>
          <w:rFonts w:ascii="NewsGotT" w:hAnsi="NewsGotT"/>
          <w:lang w:val="pt-PT"/>
        </w:rPr>
        <w:t>estados delirantes</w:t>
      </w:r>
      <w:r w:rsidRPr="007C27C7">
        <w:rPr>
          <w:rFonts w:ascii="NewsGotT" w:hAnsi="NewsGotT"/>
          <w:lang w:val="pt-PT"/>
        </w:rPr>
        <w:t>, agitação psicomotora ou psicoses.</w:t>
      </w:r>
      <w:r w:rsidR="00CA188B">
        <w:rPr>
          <w:rFonts w:ascii="NewsGotT" w:hAnsi="NewsGotT"/>
          <w:lang w:val="pt-PT"/>
        </w:rPr>
        <w:t xml:space="preserve"> </w:t>
      </w:r>
      <w:r w:rsidR="00CA188B">
        <w:rPr>
          <w:rFonts w:ascii="NewsGotT" w:hAnsi="NewsGotT"/>
          <w:lang w:val="pt-PT"/>
        </w:rPr>
        <w:fldChar w:fldCharType="begin" w:fldLock="1"/>
      </w:r>
      <w:r w:rsidR="00945158">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CA188B">
        <w:rPr>
          <w:rFonts w:ascii="NewsGotT" w:hAnsi="NewsGotT"/>
          <w:lang w:val="pt-PT"/>
        </w:rPr>
        <w:fldChar w:fldCharType="separate"/>
      </w:r>
      <w:r w:rsidR="00DE1F15" w:rsidRPr="00DE1F15">
        <w:rPr>
          <w:rFonts w:ascii="NewsGotT" w:hAnsi="NewsGotT"/>
          <w:noProof/>
          <w:lang w:val="pt-PT"/>
        </w:rPr>
        <w:t>(Brunton et al., 2011)</w:t>
      </w:r>
      <w:r w:rsidR="00CA188B">
        <w:rPr>
          <w:rFonts w:ascii="NewsGotT" w:hAnsi="NewsGotT"/>
          <w:lang w:val="pt-PT"/>
        </w:rPr>
        <w:fldChar w:fldCharType="end"/>
      </w:r>
    </w:p>
    <w:p w14:paraId="1A9E9F3B" w14:textId="5D87E891"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 mecanismo de ação exato é ainda desconhecido, mas pensa-se que este </w:t>
      </w:r>
      <w:r w:rsidR="00B821FC">
        <w:rPr>
          <w:rFonts w:ascii="NewsGotT" w:hAnsi="NewsGotT"/>
          <w:lang w:val="pt-PT"/>
        </w:rPr>
        <w:t xml:space="preserve">esteja relacionado com </w:t>
      </w:r>
      <w:r w:rsidRPr="007C27C7">
        <w:rPr>
          <w:rFonts w:ascii="NewsGotT" w:hAnsi="NewsGotT"/>
          <w:lang w:val="pt-PT"/>
        </w:rPr>
        <w:t>o</w:t>
      </w:r>
      <w:r>
        <w:rPr>
          <w:rFonts w:ascii="NewsGotT" w:hAnsi="NewsGotT"/>
          <w:lang w:val="pt-PT"/>
        </w:rPr>
        <w:t xml:space="preserve"> </w:t>
      </w:r>
      <w:r w:rsidRPr="007C27C7">
        <w:rPr>
          <w:rFonts w:ascii="NewsGotT" w:hAnsi="NewsGotT"/>
          <w:lang w:val="pt-PT"/>
        </w:rPr>
        <w:t xml:space="preserve">antagonismo dos recetores </w:t>
      </w:r>
      <w:proofErr w:type="spellStart"/>
      <w:r w:rsidRPr="007C27C7">
        <w:rPr>
          <w:rFonts w:ascii="NewsGotT" w:hAnsi="NewsGotT"/>
          <w:lang w:val="pt-PT"/>
        </w:rPr>
        <w:t>dopaminérgicos</w:t>
      </w:r>
      <w:proofErr w:type="spellEnd"/>
      <w:r w:rsidRPr="007C27C7">
        <w:rPr>
          <w:rFonts w:ascii="NewsGotT" w:hAnsi="NewsGotT"/>
          <w:lang w:val="pt-PT"/>
        </w:rPr>
        <w:t>, mais propriamente ao recetor D2, impedindo a</w:t>
      </w:r>
      <w:r>
        <w:rPr>
          <w:rFonts w:ascii="NewsGotT" w:hAnsi="NewsGotT"/>
          <w:lang w:val="pt-PT"/>
        </w:rPr>
        <w:t xml:space="preserve"> </w:t>
      </w:r>
      <w:r w:rsidRPr="007C27C7">
        <w:rPr>
          <w:rFonts w:ascii="NewsGotT" w:hAnsi="NewsGotT"/>
          <w:lang w:val="pt-PT"/>
        </w:rPr>
        <w:t>libertação de mais dopamina - neurotransmissor associado à génese da psicose - e de certos</w:t>
      </w:r>
      <w:r>
        <w:rPr>
          <w:rFonts w:ascii="NewsGotT" w:hAnsi="NewsGotT"/>
          <w:lang w:val="pt-PT"/>
        </w:rPr>
        <w:t xml:space="preserve"> </w:t>
      </w:r>
      <w:proofErr w:type="spellStart"/>
      <w:r w:rsidRPr="007C27C7">
        <w:rPr>
          <w:rFonts w:ascii="NewsGotT" w:hAnsi="NewsGotT"/>
          <w:lang w:val="pt-PT"/>
        </w:rPr>
        <w:t>serotonérgicos</w:t>
      </w:r>
      <w:proofErr w:type="spellEnd"/>
      <w:r w:rsidRPr="007C27C7">
        <w:rPr>
          <w:rFonts w:ascii="NewsGotT" w:hAnsi="NewsGotT"/>
          <w:lang w:val="pt-PT"/>
        </w:rPr>
        <w:t>, nomeadamente o 5-HT2A, recetor que se localiza também nos núcleos da base</w:t>
      </w:r>
      <w:r>
        <w:rPr>
          <w:rFonts w:ascii="NewsGotT" w:hAnsi="NewsGotT"/>
          <w:lang w:val="pt-PT"/>
        </w:rPr>
        <w:t xml:space="preserve"> </w:t>
      </w:r>
      <w:r w:rsidRPr="007C27C7">
        <w:rPr>
          <w:rFonts w:ascii="NewsGotT" w:hAnsi="NewsGotT"/>
          <w:lang w:val="pt-PT"/>
        </w:rPr>
        <w:t>e está associado a sintomas relacionados com a esquizofrenia (“</w:t>
      </w:r>
      <w:proofErr w:type="spellStart"/>
      <w:r w:rsidRPr="007C27C7">
        <w:rPr>
          <w:rFonts w:ascii="NewsGotT" w:hAnsi="NewsGotT"/>
          <w:lang w:val="pt-PT"/>
        </w:rPr>
        <w:t>schizophrenia-like</w:t>
      </w:r>
      <w:proofErr w:type="spellEnd"/>
      <w:r w:rsidRPr="007C27C7">
        <w:rPr>
          <w:rFonts w:ascii="NewsGotT" w:hAnsi="NewsGotT"/>
          <w:lang w:val="pt-PT"/>
        </w:rPr>
        <w:t>”), servindo</w:t>
      </w:r>
      <w:r>
        <w:rPr>
          <w:rFonts w:ascii="NewsGotT" w:hAnsi="NewsGotT"/>
          <w:lang w:val="pt-PT"/>
        </w:rPr>
        <w:t xml:space="preserve"> </w:t>
      </w:r>
      <w:r w:rsidRPr="007C27C7">
        <w:rPr>
          <w:rFonts w:ascii="NewsGotT" w:hAnsi="NewsGotT"/>
          <w:lang w:val="pt-PT"/>
        </w:rPr>
        <w:t xml:space="preserve">de exemplo as experiências </w:t>
      </w:r>
      <w:proofErr w:type="spellStart"/>
      <w:r w:rsidRPr="007C27C7">
        <w:rPr>
          <w:rFonts w:ascii="NewsGotT" w:hAnsi="NewsGotT"/>
          <w:lang w:val="pt-PT"/>
        </w:rPr>
        <w:t>alucinogénicas</w:t>
      </w:r>
      <w:proofErr w:type="spellEnd"/>
      <w:r w:rsidRPr="007C27C7">
        <w:rPr>
          <w:rFonts w:ascii="NewsGotT" w:hAnsi="NewsGotT"/>
          <w:lang w:val="pt-PT"/>
        </w:rPr>
        <w:t>.</w:t>
      </w:r>
    </w:p>
    <w:p w14:paraId="4BDC223B" w14:textId="77777777" w:rsidR="007C27C7" w:rsidRDefault="007C27C7" w:rsidP="007C27C7">
      <w:pPr>
        <w:spacing w:line="360" w:lineRule="auto"/>
        <w:ind w:firstLine="720"/>
        <w:jc w:val="both"/>
        <w:rPr>
          <w:rFonts w:ascii="NewsGotT" w:hAnsi="NewsGotT"/>
          <w:lang w:val="pt-PT"/>
        </w:rPr>
      </w:pPr>
    </w:p>
    <w:p w14:paraId="42BB82C8" w14:textId="26399635" w:rsidR="00973793" w:rsidRDefault="00973793" w:rsidP="00840912">
      <w:pPr>
        <w:spacing w:line="360" w:lineRule="auto"/>
        <w:ind w:firstLine="720"/>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agressão, distúrbios do espectro do autismo, distúrbios do desenvolvimento generalizado e distúrbios do </w:t>
      </w:r>
      <w:r w:rsidRPr="00973793">
        <w:rPr>
          <w:rFonts w:ascii="NewsGotT" w:hAnsi="NewsGotT"/>
          <w:lang w:val="pt-PT"/>
        </w:rPr>
        <w:lastRenderedPageBreak/>
        <w:t xml:space="preserve">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r w:rsidR="00840912">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Pr="00973793">
        <w:rPr>
          <w:rFonts w:ascii="NewsGotT" w:hAnsi="NewsGotT"/>
          <w:lang w:val="pt-PT"/>
        </w:rPr>
        <w:t>.</w:t>
      </w:r>
    </w:p>
    <w:p w14:paraId="4C453FE3" w14:textId="17B0C0A2" w:rsidR="008C4C5F" w:rsidRDefault="008C4C5F" w:rsidP="00840912">
      <w:pPr>
        <w:spacing w:line="360" w:lineRule="auto"/>
        <w:ind w:firstLine="720"/>
        <w:jc w:val="both"/>
        <w:rPr>
          <w:rFonts w:ascii="NewsGotT" w:hAnsi="NewsGotT"/>
          <w:lang w:val="pt-PT"/>
        </w:rPr>
      </w:pPr>
    </w:p>
    <w:p w14:paraId="72DAC02B" w14:textId="4BFC5C11" w:rsidR="008C4C5F" w:rsidRDefault="008C4C5F" w:rsidP="00840912">
      <w:pPr>
        <w:spacing w:line="360" w:lineRule="auto"/>
        <w:ind w:firstLine="720"/>
        <w:jc w:val="both"/>
        <w:rPr>
          <w:rFonts w:ascii="NewsGotT" w:hAnsi="NewsGotT"/>
          <w:lang w:val="pt-PT"/>
        </w:rPr>
      </w:pPr>
      <w:r w:rsidRPr="008C4C5F">
        <w:rPr>
          <w:rFonts w:ascii="NewsGotT" w:hAnsi="NewsGotT"/>
          <w:lang w:val="pt-PT"/>
        </w:rPr>
        <w:t xml:space="preserve">Foi descoberto que os antipsicóticos atípicos são eficaz e seguro no tratamento do </w:t>
      </w:r>
      <w:r w:rsidR="00446D8B" w:rsidRPr="00446D8B">
        <w:rPr>
          <w:rFonts w:ascii="NewsGotT" w:hAnsi="NewsGotT"/>
          <w:i/>
          <w:iCs/>
          <w:lang w:val="pt-PT"/>
        </w:rPr>
        <w:t>delirium</w:t>
      </w:r>
      <w:r w:rsidRPr="008C4C5F">
        <w:rPr>
          <w:rFonts w:ascii="NewsGotT" w:hAnsi="NewsGotT"/>
          <w:lang w:val="pt-PT"/>
        </w:rPr>
        <w:t xml:space="preserve">, apesar de não parecer haver diferença entre cada agente.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que a eficácia dos antipsicóticos atípicos era semelhante à do </w:t>
      </w:r>
      <w:proofErr w:type="spellStart"/>
      <w:r w:rsidRPr="008C4C5F">
        <w:rPr>
          <w:rFonts w:ascii="NewsGotT" w:hAnsi="NewsGotT"/>
          <w:lang w:val="pt-PT"/>
        </w:rPr>
        <w:t>haloperidol</w:t>
      </w:r>
      <w:proofErr w:type="spellEnd"/>
      <w:r w:rsidRPr="008C4C5F">
        <w:rPr>
          <w:rFonts w:ascii="NewsGotT" w:hAnsi="NewsGotT"/>
          <w:lang w:val="pt-PT"/>
        </w:rPr>
        <w:t xml:space="preserve"> de baixa dose. Concluiu-se que os antipsicóticos atípicos parecem ser eficazes e toleráveis na gestão do </w:t>
      </w:r>
      <w:r w:rsidR="00E36E55" w:rsidRPr="00E36E55">
        <w:rPr>
          <w:rFonts w:ascii="NewsGotT" w:hAnsi="NewsGotT"/>
          <w:i/>
          <w:iCs/>
          <w:lang w:val="pt-PT"/>
        </w:rPr>
        <w:t>delirium</w:t>
      </w:r>
      <w:r>
        <w:rPr>
          <w:rFonts w:ascii="NewsGotT" w:hAnsi="NewsGotT"/>
          <w:lang w:val="pt-PT"/>
        </w:rPr>
        <w:t xml:space="preserve"> </w:t>
      </w:r>
      <w:r w:rsidR="00446D8B">
        <w:rPr>
          <w:rFonts w:ascii="NewsGotT" w:hAnsi="NewsGotT"/>
          <w:lang w:val="pt-PT"/>
        </w:rPr>
        <w:fldChar w:fldCharType="begin" w:fldLock="1"/>
      </w:r>
      <w:r w:rsidR="00CA188B">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446D8B">
        <w:rPr>
          <w:rFonts w:ascii="NewsGotT" w:hAnsi="NewsGotT"/>
          <w:lang w:val="pt-PT"/>
        </w:rPr>
        <w:fldChar w:fldCharType="separate"/>
      </w:r>
      <w:r w:rsidR="00446D8B" w:rsidRPr="00446D8B">
        <w:rPr>
          <w:rFonts w:ascii="NewsGotT" w:hAnsi="NewsGotT"/>
          <w:noProof/>
          <w:lang w:val="pt-PT"/>
        </w:rPr>
        <w:t>(Wang, Woo, &amp; Bahk, 2013)</w:t>
      </w:r>
      <w:r w:rsidR="00446D8B">
        <w:rPr>
          <w:rFonts w:ascii="NewsGotT" w:hAnsi="NewsGotT"/>
          <w:lang w:val="pt-PT"/>
        </w:rPr>
        <w:fldChar w:fldCharType="end"/>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w:t>
      </w:r>
      <w:r w:rsidRPr="00CB52B7">
        <w:rPr>
          <w:rFonts w:ascii="NewsGotT" w:hAnsi="NewsGotT"/>
          <w:lang w:val="pt-PT" w:eastAsia="x-none"/>
        </w:rPr>
        <w:lastRenderedPageBreak/>
        <w:t>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w:t>
      </w:r>
      <w:r w:rsidRPr="00FA4D6D">
        <w:rPr>
          <w:rFonts w:ascii="NewsGotT" w:hAnsi="NewsGotT"/>
          <w:lang w:val="pt-PT" w:eastAsia="x-none"/>
        </w:rPr>
        <w:lastRenderedPageBreak/>
        <w:t xml:space="preserve">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lastRenderedPageBreak/>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w:t>
      </w:r>
      <w:r w:rsidRPr="00E55CC1">
        <w:rPr>
          <w:rFonts w:ascii="NewsGotT" w:hAnsi="NewsGotT"/>
          <w:lang w:val="pt-PT" w:eastAsia="x-none"/>
        </w:rPr>
        <w:lastRenderedPageBreak/>
        <w:t xml:space="preserve">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xml:space="preserve">,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w:t>
      </w:r>
      <w:r w:rsidRPr="00293AFC">
        <w:rPr>
          <w:rFonts w:ascii="NewsGotT" w:hAnsi="NewsGotT"/>
          <w:lang w:val="pt-PT" w:eastAsia="x-none"/>
        </w:rPr>
        <w:lastRenderedPageBreak/>
        <w:t>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3" w:name="_Ref77009318"/>
      <w:bookmarkStart w:id="74" w:name="_Toc77945116"/>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3"/>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4"/>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5" w:name="_Toc77944170"/>
      <w:r w:rsidRPr="00B95219">
        <w:rPr>
          <w:rFonts w:ascii="NewsGotT" w:hAnsi="NewsGotT"/>
          <w:lang w:val="pt-PT"/>
        </w:rPr>
        <w:t>Exploração dos dados</w:t>
      </w:r>
      <w:bookmarkEnd w:id="7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6" w:name="_Toc77944171"/>
      <w:r w:rsidRPr="00B95219">
        <w:rPr>
          <w:rFonts w:ascii="NewsGotT" w:hAnsi="NewsGotT"/>
          <w:lang w:val="pt-PT"/>
        </w:rPr>
        <w:t>Limpeza dos dados</w:t>
      </w:r>
      <w:bookmarkEnd w:id="7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7" w:name="_Toc77944172"/>
      <w:r w:rsidRPr="00B95219">
        <w:rPr>
          <w:rFonts w:ascii="NewsGotT" w:hAnsi="NewsGotT"/>
          <w:lang w:val="pt-PT"/>
        </w:rPr>
        <w:t>Transformação dos dados</w:t>
      </w:r>
      <w:bookmarkEnd w:id="7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8" w:name="_Ref69917758"/>
      <w:bookmarkStart w:id="79" w:name="_Toc77944173"/>
      <w:r w:rsidRPr="00B95219">
        <w:rPr>
          <w:lang w:val="pt-PT"/>
        </w:rPr>
        <w:t>Modelação</w:t>
      </w:r>
      <w:bookmarkEnd w:id="78"/>
      <w:bookmarkEnd w:id="7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0" w:name="_Toc77944174"/>
      <w:r w:rsidRPr="00B95219">
        <w:rPr>
          <w:rFonts w:ascii="NewsGotT" w:hAnsi="NewsGotT"/>
          <w:lang w:val="pt-PT"/>
        </w:rPr>
        <w:t>Regressão Logística</w:t>
      </w:r>
      <w:bookmarkEnd w:id="8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1"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2" w:name="_Ref69917772"/>
      <w:bookmarkStart w:id="83" w:name="_Toc77944176"/>
      <w:r w:rsidRPr="00B95219">
        <w:rPr>
          <w:lang w:val="pt-PT"/>
        </w:rPr>
        <w:lastRenderedPageBreak/>
        <w:t>Apresentação e discussão de resultados</w:t>
      </w:r>
      <w:bookmarkEnd w:id="82"/>
      <w:bookmarkEnd w:id="8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4" w:name="_Ref69916962"/>
      <w:bookmarkStart w:id="85" w:name="_Ref69916993"/>
      <w:bookmarkStart w:id="86" w:name="_Toc77944177"/>
      <w:r w:rsidRPr="00B95219">
        <w:rPr>
          <w:lang w:val="pt-PT"/>
        </w:rPr>
        <w:lastRenderedPageBreak/>
        <w:t>Conclusões</w:t>
      </w:r>
      <w:bookmarkEnd w:id="84"/>
      <w:bookmarkEnd w:id="85"/>
      <w:bookmarkEnd w:id="8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7" w:name="_Toc77944178"/>
      <w:r w:rsidRPr="00B95219">
        <w:rPr>
          <w:sz w:val="24"/>
          <w:lang w:val="pt-PT"/>
        </w:rPr>
        <w:lastRenderedPageBreak/>
        <w:t>Bibliog</w:t>
      </w:r>
      <w:r w:rsidR="00F56D13" w:rsidRPr="00B95219">
        <w:rPr>
          <w:sz w:val="24"/>
          <w:lang w:val="pt-PT"/>
        </w:rPr>
        <w:t>rafia</w:t>
      </w:r>
      <w:bookmarkEnd w:id="87"/>
    </w:p>
    <w:p w14:paraId="72AF6D99" w14:textId="0D9C6775" w:rsidR="00C75460" w:rsidRPr="00B95219" w:rsidRDefault="00C75460" w:rsidP="00C75460">
      <w:pPr>
        <w:rPr>
          <w:rFonts w:ascii="NewsGotT" w:hAnsi="NewsGotT"/>
          <w:highlight w:val="yellow"/>
          <w:lang w:val="pt-PT" w:eastAsia="x-none"/>
        </w:rPr>
      </w:pPr>
    </w:p>
    <w:p w14:paraId="4B9DED00" w14:textId="2EE363C0" w:rsidR="00132B17" w:rsidRPr="00132B17" w:rsidRDefault="00C75460" w:rsidP="00132B17">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132B17" w:rsidRPr="00132B17">
        <w:rPr>
          <w:rFonts w:ascii="NewsGotT" w:hAnsi="NewsGotT"/>
          <w:noProof/>
        </w:rPr>
        <w:t xml:space="preserve">Adamis, D., Sharma, N., Whelan, P. J. P., &amp; MacDonald, A. J. D. (2010). Delirium scales: A review of current evidence. </w:t>
      </w:r>
      <w:r w:rsidR="00132B17" w:rsidRPr="00132B17">
        <w:rPr>
          <w:rFonts w:ascii="NewsGotT" w:hAnsi="NewsGotT"/>
          <w:i/>
          <w:iCs/>
          <w:noProof/>
        </w:rPr>
        <w:t>Aging and Mental Health</w:t>
      </w:r>
      <w:r w:rsidR="00132B17" w:rsidRPr="00132B17">
        <w:rPr>
          <w:rFonts w:ascii="NewsGotT" w:hAnsi="NewsGotT"/>
          <w:noProof/>
        </w:rPr>
        <w:t xml:space="preserve">, </w:t>
      </w:r>
      <w:r w:rsidR="00132B17" w:rsidRPr="00132B17">
        <w:rPr>
          <w:rFonts w:ascii="NewsGotT" w:hAnsi="NewsGotT"/>
          <w:i/>
          <w:iCs/>
          <w:noProof/>
        </w:rPr>
        <w:t>14</w:t>
      </w:r>
      <w:r w:rsidR="00132B17" w:rsidRPr="00132B17">
        <w:rPr>
          <w:rFonts w:ascii="NewsGotT" w:hAnsi="NewsGotT"/>
          <w:noProof/>
        </w:rPr>
        <w:t>(5), 543–555. https://doi.org/10.1080/13607860903421011</w:t>
      </w:r>
    </w:p>
    <w:p w14:paraId="0499FEA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Adamis, D., Treloar, A., Martin, F. C., &amp; Macdonald, A. J. D. (2007). A brief review of the history of delirium as a mental disorder. </w:t>
      </w:r>
      <w:r w:rsidRPr="00132B17">
        <w:rPr>
          <w:rFonts w:ascii="NewsGotT" w:hAnsi="NewsGotT"/>
          <w:i/>
          <w:iCs/>
          <w:noProof/>
        </w:rPr>
        <w:t>History of Psychiatry</w:t>
      </w:r>
      <w:r w:rsidRPr="00132B17">
        <w:rPr>
          <w:rFonts w:ascii="NewsGotT" w:hAnsi="NewsGotT"/>
          <w:noProof/>
        </w:rPr>
        <w:t xml:space="preserve">, </w:t>
      </w:r>
      <w:r w:rsidRPr="00132B17">
        <w:rPr>
          <w:rFonts w:ascii="NewsGotT" w:hAnsi="NewsGotT"/>
          <w:i/>
          <w:iCs/>
          <w:noProof/>
        </w:rPr>
        <w:t>18</w:t>
      </w:r>
      <w:r w:rsidRPr="00132B17">
        <w:rPr>
          <w:rFonts w:ascii="NewsGotT" w:hAnsi="NewsGotT"/>
          <w:noProof/>
        </w:rPr>
        <w:t>(4), 459–469. https://doi.org/10.1177/0957154X07076467</w:t>
      </w:r>
    </w:p>
    <w:p w14:paraId="22CC1F5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Alagiakrishnan, K., &amp; Wiens, C. A. (2004). An approach to drug induced delirium in the elderly. </w:t>
      </w:r>
      <w:r w:rsidRPr="00132B17">
        <w:rPr>
          <w:rFonts w:ascii="NewsGotT" w:hAnsi="NewsGotT"/>
          <w:i/>
          <w:iCs/>
          <w:noProof/>
        </w:rPr>
        <w:t>Postgraduate Medical Journal</w:t>
      </w:r>
      <w:r w:rsidRPr="00132B17">
        <w:rPr>
          <w:rFonts w:ascii="NewsGotT" w:hAnsi="NewsGotT"/>
          <w:noProof/>
        </w:rPr>
        <w:t xml:space="preserve">, </w:t>
      </w:r>
      <w:r w:rsidRPr="00132B17">
        <w:rPr>
          <w:rFonts w:ascii="NewsGotT" w:hAnsi="NewsGotT"/>
          <w:i/>
          <w:iCs/>
          <w:noProof/>
        </w:rPr>
        <w:t>80</w:t>
      </w:r>
      <w:r w:rsidRPr="00132B17">
        <w:rPr>
          <w:rFonts w:ascii="NewsGotT" w:hAnsi="NewsGotT"/>
          <w:noProof/>
        </w:rPr>
        <w:t>(945), 388–393. https://doi.org/10.1136/pgmj.2003.017236</w:t>
      </w:r>
    </w:p>
    <w:p w14:paraId="0BDB4D6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Ali, J., Khan, R., Ahmad, N., &amp; Maqsood, I. (2012). Random Forests and Decision Trees. </w:t>
      </w:r>
      <w:r w:rsidRPr="00132B17">
        <w:rPr>
          <w:rFonts w:ascii="NewsGotT" w:hAnsi="NewsGotT"/>
          <w:i/>
          <w:iCs/>
          <w:noProof/>
        </w:rPr>
        <w:t>International Journal of Computer Science Issues</w:t>
      </w:r>
      <w:r w:rsidRPr="00132B17">
        <w:rPr>
          <w:rFonts w:ascii="NewsGotT" w:hAnsi="NewsGotT"/>
          <w:noProof/>
        </w:rPr>
        <w:t xml:space="preserve">, </w:t>
      </w:r>
      <w:r w:rsidRPr="00132B17">
        <w:rPr>
          <w:rFonts w:ascii="NewsGotT" w:hAnsi="NewsGotT"/>
          <w:i/>
          <w:iCs/>
          <w:noProof/>
        </w:rPr>
        <w:t>9</w:t>
      </w:r>
      <w:r w:rsidRPr="00132B17">
        <w:rPr>
          <w:rFonts w:ascii="NewsGotT" w:hAnsi="NewsGotT"/>
          <w:noProof/>
        </w:rPr>
        <w:t>(5), 272–278.</w:t>
      </w:r>
    </w:p>
    <w:p w14:paraId="773571D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Ali, M. A., Hashmi, M., Ahmed, W., Raza, S. A., Khan, M. F., &amp; Salim, B. (2021). Incidence and risk factors of delirium in surgical intensive care unit. </w:t>
      </w:r>
      <w:r w:rsidRPr="00132B17">
        <w:rPr>
          <w:rFonts w:ascii="NewsGotT" w:hAnsi="NewsGotT"/>
          <w:i/>
          <w:iCs/>
          <w:noProof/>
        </w:rPr>
        <w:t>Trauma Surgery and Acute Care Open</w:t>
      </w:r>
      <w:r w:rsidRPr="00132B17">
        <w:rPr>
          <w:rFonts w:ascii="NewsGotT" w:hAnsi="NewsGotT"/>
          <w:noProof/>
        </w:rPr>
        <w:t xml:space="preserve">, </w:t>
      </w:r>
      <w:r w:rsidRPr="00132B17">
        <w:rPr>
          <w:rFonts w:ascii="NewsGotT" w:hAnsi="NewsGotT"/>
          <w:i/>
          <w:iCs/>
          <w:noProof/>
        </w:rPr>
        <w:t>6</w:t>
      </w:r>
      <w:r w:rsidRPr="00132B17">
        <w:rPr>
          <w:rFonts w:ascii="NewsGotT" w:hAnsi="NewsGotT"/>
          <w:noProof/>
        </w:rPr>
        <w:t>(1). https://doi.org/10.1136/tsaco-2020-000564</w:t>
      </w:r>
    </w:p>
    <w:p w14:paraId="585CFD8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Alsuliman, T., Humaidan, D., &amp; Sliman, L. (2020). Machine learning and artificial intelligence in the service of medicine: Necessity or potentiality? </w:t>
      </w:r>
      <w:r w:rsidRPr="00132B17">
        <w:rPr>
          <w:rFonts w:ascii="NewsGotT" w:hAnsi="NewsGotT"/>
          <w:i/>
          <w:iCs/>
          <w:noProof/>
        </w:rPr>
        <w:t>Current Research in Translational Medicine</w:t>
      </w:r>
      <w:r w:rsidRPr="00132B17">
        <w:rPr>
          <w:rFonts w:ascii="NewsGotT" w:hAnsi="NewsGotT"/>
          <w:noProof/>
        </w:rPr>
        <w:t xml:space="preserve">, </w:t>
      </w:r>
      <w:r w:rsidRPr="00132B17">
        <w:rPr>
          <w:rFonts w:ascii="NewsGotT" w:hAnsi="NewsGotT"/>
          <w:i/>
          <w:iCs/>
          <w:noProof/>
        </w:rPr>
        <w:t>68</w:t>
      </w:r>
      <w:r w:rsidRPr="00132B17">
        <w:rPr>
          <w:rFonts w:ascii="NewsGotT" w:hAnsi="NewsGotT"/>
          <w:noProof/>
        </w:rPr>
        <w:t>(4), 245–251. https://doi.org/10.1016/j.retram.2020.01.002</w:t>
      </w:r>
    </w:p>
    <w:p w14:paraId="0276F55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American Psychiatric Association. (1980). </w:t>
      </w:r>
      <w:r w:rsidRPr="00132B17">
        <w:rPr>
          <w:rFonts w:ascii="NewsGotT" w:hAnsi="NewsGotT"/>
          <w:i/>
          <w:iCs/>
          <w:noProof/>
        </w:rPr>
        <w:t>Diagnostic and Statistical Manual of Mental Disorders - III</w:t>
      </w:r>
      <w:r w:rsidRPr="00132B17">
        <w:rPr>
          <w:rFonts w:ascii="NewsGotT" w:hAnsi="NewsGotT"/>
          <w:noProof/>
        </w:rPr>
        <w:t>. Washington.</w:t>
      </w:r>
    </w:p>
    <w:p w14:paraId="28AEE78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American Psychiatric Association. (2013). </w:t>
      </w:r>
      <w:r w:rsidRPr="00132B17">
        <w:rPr>
          <w:rFonts w:ascii="NewsGotT" w:hAnsi="NewsGotT"/>
          <w:i/>
          <w:iCs/>
          <w:noProof/>
        </w:rPr>
        <w:t>Diagnostic and statistical manual of mental disorders - DSM-5</w:t>
      </w:r>
      <w:r w:rsidRPr="00132B17">
        <w:rPr>
          <w:rFonts w:ascii="NewsGotT" w:hAnsi="NewsGotT"/>
          <w:noProof/>
        </w:rPr>
        <w:t xml:space="preserve">. </w:t>
      </w:r>
      <w:r w:rsidRPr="00132B17">
        <w:rPr>
          <w:rFonts w:ascii="NewsGotT" w:hAnsi="NewsGotT"/>
          <w:i/>
          <w:iCs/>
          <w:noProof/>
        </w:rPr>
        <w:t>Pediatria Integral</w:t>
      </w:r>
      <w:r w:rsidRPr="00132B17">
        <w:rPr>
          <w:rFonts w:ascii="NewsGotT" w:hAnsi="NewsGotT"/>
          <w:noProof/>
        </w:rPr>
        <w:t xml:space="preserve"> (fifth, Vol. 17).</w:t>
      </w:r>
    </w:p>
    <w:p w14:paraId="58F495C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Basu, S., Faghmous, J. H., &amp; Doupe, P. (2020). Machine learning methods for precision medicine research designed to reduce health disparities: A structured tutorial. </w:t>
      </w:r>
      <w:r w:rsidRPr="00132B17">
        <w:rPr>
          <w:rFonts w:ascii="NewsGotT" w:hAnsi="NewsGotT"/>
          <w:i/>
          <w:iCs/>
          <w:noProof/>
        </w:rPr>
        <w:t>Ethnicity and Disease</w:t>
      </w:r>
      <w:r w:rsidRPr="00132B17">
        <w:rPr>
          <w:rFonts w:ascii="NewsGotT" w:hAnsi="NewsGotT"/>
          <w:noProof/>
        </w:rPr>
        <w:t xml:space="preserve">, </w:t>
      </w:r>
      <w:r w:rsidRPr="00132B17">
        <w:rPr>
          <w:rFonts w:ascii="NewsGotT" w:hAnsi="NewsGotT"/>
          <w:i/>
          <w:iCs/>
          <w:noProof/>
        </w:rPr>
        <w:t>30</w:t>
      </w:r>
      <w:r w:rsidRPr="00132B17">
        <w:rPr>
          <w:rFonts w:ascii="NewsGotT" w:hAnsi="NewsGotT"/>
          <w:noProof/>
        </w:rPr>
        <w:t>, 217–228. https://doi.org/10.18865/ed.30.S1.217</w:t>
      </w:r>
    </w:p>
    <w:p w14:paraId="3A2320E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Bial. (2006). Denominação da especialidade farmacêutica - SEDOXIL. Retrieved July 21, 2021, from https://www.bial.com/media/2780/sedoxil.pdf</w:t>
      </w:r>
    </w:p>
    <w:p w14:paraId="70B2126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Bourgeois, J. A., Hategan, A., &amp; Losier, B. (2014). Delirium in the hospital: Emphasis on the management of geriatric patients. </w:t>
      </w:r>
      <w:r w:rsidRPr="00132B17">
        <w:rPr>
          <w:rFonts w:ascii="NewsGotT" w:hAnsi="NewsGotT"/>
          <w:i/>
          <w:iCs/>
          <w:noProof/>
        </w:rPr>
        <w:t>Current Psychiatry</w:t>
      </w:r>
      <w:r w:rsidRPr="00132B17">
        <w:rPr>
          <w:rFonts w:ascii="NewsGotT" w:hAnsi="NewsGotT"/>
          <w:noProof/>
        </w:rPr>
        <w:t xml:space="preserve">, </w:t>
      </w:r>
      <w:r w:rsidRPr="00132B17">
        <w:rPr>
          <w:rFonts w:ascii="NewsGotT" w:hAnsi="NewsGotT"/>
          <w:i/>
          <w:iCs/>
          <w:noProof/>
        </w:rPr>
        <w:t>13</w:t>
      </w:r>
      <w:r w:rsidRPr="00132B17">
        <w:rPr>
          <w:rFonts w:ascii="NewsGotT" w:hAnsi="NewsGotT"/>
          <w:noProof/>
        </w:rPr>
        <w:t>(8), 29–42.</w:t>
      </w:r>
    </w:p>
    <w:p w14:paraId="7A7A285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Braga, A. de P., Ludermir, T. B., &amp; Carvalho, A. C. P. de L. F. (2000). </w:t>
      </w:r>
      <w:r w:rsidRPr="00132B17">
        <w:rPr>
          <w:rFonts w:ascii="NewsGotT" w:hAnsi="NewsGotT"/>
          <w:i/>
          <w:iCs/>
          <w:noProof/>
        </w:rPr>
        <w:t>Redes Neurais Artificiais: Teoria e Aplicações</w:t>
      </w:r>
      <w:r w:rsidRPr="00132B17">
        <w:rPr>
          <w:rFonts w:ascii="NewsGotT" w:hAnsi="NewsGotT"/>
          <w:noProof/>
        </w:rPr>
        <w:t>. Rio de Janeiro: LTC - Livros técnicos e científicos editora S.A.</w:t>
      </w:r>
    </w:p>
    <w:p w14:paraId="3B6A100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Breiman, L. (2001). Random forests. </w:t>
      </w:r>
      <w:r w:rsidRPr="00132B17">
        <w:rPr>
          <w:rFonts w:ascii="NewsGotT" w:hAnsi="NewsGotT"/>
          <w:i/>
          <w:iCs/>
          <w:noProof/>
        </w:rPr>
        <w:t>Machine Learning</w:t>
      </w:r>
      <w:r w:rsidRPr="00132B17">
        <w:rPr>
          <w:rFonts w:ascii="NewsGotT" w:hAnsi="NewsGotT"/>
          <w:noProof/>
        </w:rPr>
        <w:t xml:space="preserve">, </w:t>
      </w:r>
      <w:r w:rsidRPr="00132B17">
        <w:rPr>
          <w:rFonts w:ascii="NewsGotT" w:hAnsi="NewsGotT"/>
          <w:i/>
          <w:iCs/>
          <w:noProof/>
        </w:rPr>
        <w:t>45</w:t>
      </w:r>
      <w:r w:rsidRPr="00132B17">
        <w:rPr>
          <w:rFonts w:ascii="NewsGotT" w:hAnsi="NewsGotT"/>
          <w:noProof/>
        </w:rPr>
        <w:t>(1), 5–32.</w:t>
      </w:r>
    </w:p>
    <w:p w14:paraId="6EF5E3F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Bruha, I., &amp; Berka, P. (2000). Discretization and Fuzzification of Numerical Attributes in Attribute-Based Learning. In </w:t>
      </w:r>
      <w:r w:rsidRPr="00132B17">
        <w:rPr>
          <w:rFonts w:ascii="NewsGotT" w:hAnsi="NewsGotT"/>
          <w:i/>
          <w:iCs/>
          <w:noProof/>
        </w:rPr>
        <w:t>Fuzzy Systems in Medicine</w:t>
      </w:r>
      <w:r w:rsidRPr="00132B17">
        <w:rPr>
          <w:rFonts w:ascii="NewsGotT" w:hAnsi="NewsGotT"/>
          <w:noProof/>
        </w:rPr>
        <w:t xml:space="preserve"> (Vol. 41, pp. 112–138). https://doi.org/10.1007/978-3-7908-1859-8_6</w:t>
      </w:r>
    </w:p>
    <w:p w14:paraId="6A3650A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Brunton, L. L., Chabner, B. A., &amp; Knollmann, B. C. (2011). </w:t>
      </w:r>
      <w:r w:rsidRPr="00132B17">
        <w:rPr>
          <w:rFonts w:ascii="NewsGotT" w:hAnsi="NewsGotT"/>
          <w:i/>
          <w:iCs/>
          <w:noProof/>
        </w:rPr>
        <w:t>Goodman &amp; Gilman’s the pharmacological basis of therapeutics</w:t>
      </w:r>
      <w:r w:rsidRPr="00132B17">
        <w:rPr>
          <w:rFonts w:ascii="NewsGotT" w:hAnsi="NewsGotT"/>
          <w:noProof/>
        </w:rPr>
        <w:t xml:space="preserve"> (twelfth). New York, NY: McGraw-Hill Medical.</w:t>
      </w:r>
    </w:p>
    <w:p w14:paraId="40C0977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Burges, Christopher, J. C. (1998). A Tutorial on Support Vector Machines for Pattern Recognition. </w:t>
      </w:r>
      <w:r w:rsidRPr="00132B17">
        <w:rPr>
          <w:rFonts w:ascii="NewsGotT" w:hAnsi="NewsGotT"/>
          <w:i/>
          <w:iCs/>
          <w:noProof/>
        </w:rPr>
        <w:t>Data Mining and Knowledge Discovery</w:t>
      </w:r>
      <w:r w:rsidRPr="00132B17">
        <w:rPr>
          <w:rFonts w:ascii="NewsGotT" w:hAnsi="NewsGotT"/>
          <w:noProof/>
        </w:rPr>
        <w:t xml:space="preserve">, </w:t>
      </w:r>
      <w:r w:rsidRPr="00132B17">
        <w:rPr>
          <w:rFonts w:ascii="NewsGotT" w:hAnsi="NewsGotT"/>
          <w:i/>
          <w:iCs/>
          <w:noProof/>
        </w:rPr>
        <w:t>2</w:t>
      </w:r>
      <w:r w:rsidRPr="00132B17">
        <w:rPr>
          <w:rFonts w:ascii="NewsGotT" w:hAnsi="NewsGotT"/>
          <w:noProof/>
        </w:rPr>
        <w:t>, 121–167. https://doi.org/https://doi.org/10.1023/A:1009715923555</w:t>
      </w:r>
    </w:p>
    <w:p w14:paraId="3780968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Cano-escalera, G., Besga, A., &amp; Graña, M. (2021). Risk factors for prediction of delirium at hospital admittance. </w:t>
      </w:r>
      <w:r w:rsidRPr="00132B17">
        <w:rPr>
          <w:rFonts w:ascii="NewsGotT" w:hAnsi="NewsGotT"/>
          <w:i/>
          <w:iCs/>
          <w:noProof/>
        </w:rPr>
        <w:t>Expert Systems</w:t>
      </w:r>
      <w:r w:rsidRPr="00132B17">
        <w:rPr>
          <w:rFonts w:ascii="NewsGotT" w:hAnsi="NewsGotT"/>
          <w:noProof/>
        </w:rPr>
        <w:t xml:space="preserve">, </w:t>
      </w:r>
      <w:r w:rsidRPr="00132B17">
        <w:rPr>
          <w:rFonts w:ascii="NewsGotT" w:hAnsi="NewsGotT"/>
          <w:i/>
          <w:iCs/>
          <w:noProof/>
        </w:rPr>
        <w:t>e12698</w:t>
      </w:r>
      <w:r w:rsidRPr="00132B17">
        <w:rPr>
          <w:rFonts w:ascii="NewsGotT" w:hAnsi="NewsGotT"/>
          <w:noProof/>
        </w:rPr>
        <w:t>(December 2020), 1–10. https://doi.org/10.1111/exsy.12698</w:t>
      </w:r>
    </w:p>
    <w:p w14:paraId="5B1BF6D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Caramona, M., Esteves, A. P., Gonçalves, J., Macedo, T., Mendonça, J., Osswald, W. (Coordenador), … Teixeira, A. A. (2013). </w:t>
      </w:r>
      <w:r w:rsidRPr="00132B17">
        <w:rPr>
          <w:rFonts w:ascii="NewsGotT" w:hAnsi="NewsGotT"/>
          <w:i/>
          <w:iCs/>
          <w:noProof/>
        </w:rPr>
        <w:t>Prontuário Terapêutico -11</w:t>
      </w:r>
      <w:r w:rsidRPr="00132B17">
        <w:rPr>
          <w:rFonts w:ascii="NewsGotT" w:hAnsi="NewsGotT"/>
          <w:noProof/>
        </w:rPr>
        <w:t>. (I. / M. de S. INFARMED – Autoridade Nacional do Medicamento e Produtos de Saúde, Ed.).</w:t>
      </w:r>
    </w:p>
    <w:p w14:paraId="5AD94D4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Casey, P., Cross, W., Mart, M. W. S., Baldwin, C., Riddell, K., &amp; D</w:t>
      </w:r>
      <w:r w:rsidRPr="00132B17">
        <w:rPr>
          <w:rFonts w:ascii="Cambria" w:hAnsi="Cambria" w:cs="Cambria"/>
          <w:noProof/>
        </w:rPr>
        <w:t>ā</w:t>
      </w:r>
      <w:r w:rsidRPr="00132B17">
        <w:rPr>
          <w:rFonts w:ascii="NewsGotT" w:hAnsi="NewsGotT"/>
          <w:noProof/>
        </w:rPr>
        <w:t>rzi</w:t>
      </w:r>
      <w:r w:rsidRPr="00132B17">
        <w:rPr>
          <w:rFonts w:ascii="Cambria" w:hAnsi="Cambria" w:cs="Cambria"/>
          <w:noProof/>
        </w:rPr>
        <w:t>ņ</w:t>
      </w:r>
      <w:r w:rsidRPr="00132B17">
        <w:rPr>
          <w:rFonts w:ascii="NewsGotT" w:hAnsi="NewsGotT"/>
          <w:noProof/>
        </w:rPr>
        <w:t xml:space="preserve">š, P. (2019). Hospital discharge </w:t>
      </w:r>
      <w:r w:rsidRPr="00132B17">
        <w:rPr>
          <w:rFonts w:ascii="NewsGotT" w:hAnsi="NewsGotT"/>
          <w:noProof/>
        </w:rPr>
        <w:lastRenderedPageBreak/>
        <w:t xml:space="preserve">data under-reports delirium occurrence: results from a point prevalence survey of delirium in a major Australian health service. </w:t>
      </w:r>
      <w:r w:rsidRPr="00132B17">
        <w:rPr>
          <w:rFonts w:ascii="NewsGotT" w:hAnsi="NewsGotT"/>
          <w:i/>
          <w:iCs/>
          <w:noProof/>
        </w:rPr>
        <w:t>Internal Medicine Journal</w:t>
      </w:r>
      <w:r w:rsidRPr="00132B17">
        <w:rPr>
          <w:rFonts w:ascii="NewsGotT" w:hAnsi="NewsGotT"/>
          <w:noProof/>
        </w:rPr>
        <w:t xml:space="preserve">, </w:t>
      </w:r>
      <w:r w:rsidRPr="00132B17">
        <w:rPr>
          <w:rFonts w:ascii="NewsGotT" w:hAnsi="NewsGotT"/>
          <w:i/>
          <w:iCs/>
          <w:noProof/>
        </w:rPr>
        <w:t>49</w:t>
      </w:r>
      <w:r w:rsidRPr="00132B17">
        <w:rPr>
          <w:rFonts w:ascii="NewsGotT" w:hAnsi="NewsGotT"/>
          <w:noProof/>
        </w:rPr>
        <w:t>(3), 338–344. https://doi.org/10.1111/imj.14066</w:t>
      </w:r>
    </w:p>
    <w:p w14:paraId="5D75847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Chapelle, O., Vapnik, V., Bousquet, O., &amp; Mukherjee, S. (2002). Choosing Multiple Parameters for Support Vector Machines. </w:t>
      </w:r>
      <w:r w:rsidRPr="00132B17">
        <w:rPr>
          <w:rFonts w:ascii="NewsGotT" w:hAnsi="NewsGotT"/>
          <w:i/>
          <w:iCs/>
          <w:noProof/>
        </w:rPr>
        <w:t>Machine Learning</w:t>
      </w:r>
      <w:r w:rsidRPr="00132B17">
        <w:rPr>
          <w:rFonts w:ascii="NewsGotT" w:hAnsi="NewsGotT"/>
          <w:noProof/>
        </w:rPr>
        <w:t xml:space="preserve">, </w:t>
      </w:r>
      <w:r w:rsidRPr="00132B17">
        <w:rPr>
          <w:rFonts w:ascii="NewsGotT" w:hAnsi="NewsGotT"/>
          <w:i/>
          <w:iCs/>
          <w:noProof/>
        </w:rPr>
        <w:t>46</w:t>
      </w:r>
      <w:r w:rsidRPr="00132B17">
        <w:rPr>
          <w:rFonts w:ascii="NewsGotT" w:hAnsi="NewsGotT"/>
          <w:noProof/>
        </w:rPr>
        <w:t>, 131–159. https://doi.org/https://doi.org/10.1023/A:1012450327387</w:t>
      </w:r>
    </w:p>
    <w:p w14:paraId="0067988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Chapman, P., Clinton, J., Kerber, R., Khabaza, T., Reinartz, T., Shearer, C., &amp; Wirth, R. (2000). </w:t>
      </w:r>
      <w:r w:rsidRPr="00132B17">
        <w:rPr>
          <w:rFonts w:ascii="NewsGotT" w:hAnsi="NewsGotT"/>
          <w:i/>
          <w:iCs/>
          <w:noProof/>
        </w:rPr>
        <w:t>CRISP-DM 1.0 Step-by-step data mining guide</w:t>
      </w:r>
      <w:r w:rsidRPr="00132B17">
        <w:rPr>
          <w:rFonts w:ascii="NewsGotT" w:hAnsi="NewsGotT"/>
          <w:noProof/>
        </w:rPr>
        <w:t xml:space="preserve">. </w:t>
      </w:r>
      <w:r w:rsidRPr="00132B17">
        <w:rPr>
          <w:rFonts w:ascii="NewsGotT" w:hAnsi="NewsGotT"/>
          <w:i/>
          <w:iCs/>
          <w:noProof/>
        </w:rPr>
        <w:t>SPSS inc</w:t>
      </w:r>
      <w:r w:rsidRPr="00132B17">
        <w:rPr>
          <w:rFonts w:ascii="NewsGotT" w:hAnsi="NewsGotT"/>
          <w:noProof/>
        </w:rPr>
        <w:t>. Retrieved from http://www.crisp-dm.org/CRISPWP-0800.pdf</w:t>
      </w:r>
    </w:p>
    <w:p w14:paraId="21526D73"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132B17">
        <w:rPr>
          <w:rFonts w:ascii="NewsGotT" w:hAnsi="NewsGotT"/>
          <w:i/>
          <w:iCs/>
          <w:noProof/>
        </w:rPr>
        <w:t>International Psychogeriatrics</w:t>
      </w:r>
      <w:r w:rsidRPr="00132B17">
        <w:rPr>
          <w:rFonts w:ascii="NewsGotT" w:hAnsi="NewsGotT"/>
          <w:noProof/>
        </w:rPr>
        <w:t xml:space="preserve">, </w:t>
      </w:r>
      <w:r w:rsidRPr="00132B17">
        <w:rPr>
          <w:rFonts w:ascii="NewsGotT" w:hAnsi="NewsGotT"/>
          <w:i/>
          <w:iCs/>
          <w:noProof/>
        </w:rPr>
        <w:t>31</w:t>
      </w:r>
      <w:r w:rsidRPr="00132B17">
        <w:rPr>
          <w:rFonts w:ascii="NewsGotT" w:hAnsi="NewsGotT"/>
          <w:noProof/>
        </w:rPr>
        <w:t>(2), 267–276. https://doi.org/10.1017/S1041610218000777</w:t>
      </w:r>
    </w:p>
    <w:p w14:paraId="723D8D6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Clegg, A., &amp; Young, J. B. (2011). Which medications to avoid in people at risk of delirium: A systematic review. </w:t>
      </w:r>
      <w:r w:rsidRPr="00132B17">
        <w:rPr>
          <w:rFonts w:ascii="NewsGotT" w:hAnsi="NewsGotT"/>
          <w:i/>
          <w:iCs/>
          <w:noProof/>
        </w:rPr>
        <w:t>Age and Ageing</w:t>
      </w:r>
      <w:r w:rsidRPr="00132B17">
        <w:rPr>
          <w:rFonts w:ascii="NewsGotT" w:hAnsi="NewsGotT"/>
          <w:noProof/>
        </w:rPr>
        <w:t xml:space="preserve">, </w:t>
      </w:r>
      <w:r w:rsidRPr="00132B17">
        <w:rPr>
          <w:rFonts w:ascii="NewsGotT" w:hAnsi="NewsGotT"/>
          <w:i/>
          <w:iCs/>
          <w:noProof/>
        </w:rPr>
        <w:t>40</w:t>
      </w:r>
      <w:r w:rsidRPr="00132B17">
        <w:rPr>
          <w:rFonts w:ascii="NewsGotT" w:hAnsi="NewsGotT"/>
          <w:noProof/>
        </w:rPr>
        <w:t>(1), 23–29. https://doi.org/10.1093/ageing/afq140</w:t>
      </w:r>
    </w:p>
    <w:p w14:paraId="3E675CC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Conselho Nacional da Saúde. (2019). </w:t>
      </w:r>
      <w:r w:rsidRPr="00132B17">
        <w:rPr>
          <w:rFonts w:ascii="NewsGotT" w:hAnsi="NewsGotT"/>
          <w:i/>
          <w:iCs/>
          <w:noProof/>
        </w:rPr>
        <w:t>Sem mais tempo a perder - Saúde mental em Portugal: um desafio para a próxima década</w:t>
      </w:r>
      <w:r w:rsidRPr="00132B17">
        <w:rPr>
          <w:rFonts w:ascii="NewsGotT" w:hAnsi="NewsGotT"/>
          <w:noProof/>
        </w:rPr>
        <w:t xml:space="preserve">. </w:t>
      </w:r>
      <w:r w:rsidRPr="00132B17">
        <w:rPr>
          <w:rFonts w:ascii="NewsGotT" w:hAnsi="NewsGotT"/>
          <w:i/>
          <w:iCs/>
          <w:noProof/>
        </w:rPr>
        <w:t>Conselho Nacional de Saúde</w:t>
      </w:r>
      <w:r w:rsidRPr="00132B17">
        <w:rPr>
          <w:rFonts w:ascii="NewsGotT" w:hAnsi="NewsGotT"/>
          <w:noProof/>
        </w:rPr>
        <w:t>. Lisboa: CNS.</w:t>
      </w:r>
    </w:p>
    <w:p w14:paraId="1E5DF69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Corradi, J. P., Thompson, S., Mather, J. F., Waszynski, C. M., &amp; Dicks, R. S. (2018). Prediction of Incident Delirium Using a Random Forest classifier. </w:t>
      </w:r>
      <w:r w:rsidRPr="00132B17">
        <w:rPr>
          <w:rFonts w:ascii="NewsGotT" w:hAnsi="NewsGotT"/>
          <w:i/>
          <w:iCs/>
          <w:noProof/>
        </w:rPr>
        <w:t>Journal of Medical Systems</w:t>
      </w:r>
      <w:r w:rsidRPr="00132B17">
        <w:rPr>
          <w:rFonts w:ascii="NewsGotT" w:hAnsi="NewsGotT"/>
          <w:noProof/>
        </w:rPr>
        <w:t xml:space="preserve">, </w:t>
      </w:r>
      <w:r w:rsidRPr="00132B17">
        <w:rPr>
          <w:rFonts w:ascii="NewsGotT" w:hAnsi="NewsGotT"/>
          <w:i/>
          <w:iCs/>
          <w:noProof/>
        </w:rPr>
        <w:t>42</w:t>
      </w:r>
      <w:r w:rsidRPr="00132B17">
        <w:rPr>
          <w:rFonts w:ascii="NewsGotT" w:hAnsi="NewsGotT"/>
          <w:noProof/>
        </w:rPr>
        <w:t>(12). https://doi.org/10.1007/s10916-018-1109-0</w:t>
      </w:r>
    </w:p>
    <w:p w14:paraId="15CA95B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Davoudi, A., Ebadi, A., Rashidi, P., Ozrazgat-Baslanti, T., Bihorac, A., &amp; Bursian, A. C. (2017). Delirium Prediction using Machine Learning Models on Predictive Electronic Health Records Data. </w:t>
      </w:r>
      <w:r w:rsidRPr="00132B17">
        <w:rPr>
          <w:rFonts w:ascii="NewsGotT" w:hAnsi="NewsGotT"/>
          <w:i/>
          <w:iCs/>
          <w:noProof/>
        </w:rPr>
        <w:t>Proceedings - IEEE 17th International Symposium on Bioinformatics and Bioengineering, BIBE 2017</w:t>
      </w:r>
      <w:r w:rsidRPr="00132B17">
        <w:rPr>
          <w:rFonts w:ascii="NewsGotT" w:hAnsi="NewsGotT"/>
          <w:noProof/>
        </w:rPr>
        <w:t>, 568–573. https://doi.org/10.1109/BIBE.2017.00014</w:t>
      </w:r>
    </w:p>
    <w:p w14:paraId="17DF500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De, J., &amp; Wand, A. P. F. (2015). Delirium screening: A systematic review of delirium screening tools in hospitalized patients. </w:t>
      </w:r>
      <w:r w:rsidRPr="00132B17">
        <w:rPr>
          <w:rFonts w:ascii="NewsGotT" w:hAnsi="NewsGotT"/>
          <w:i/>
          <w:iCs/>
          <w:noProof/>
        </w:rPr>
        <w:t>Gerontologist</w:t>
      </w:r>
      <w:r w:rsidRPr="00132B17">
        <w:rPr>
          <w:rFonts w:ascii="NewsGotT" w:hAnsi="NewsGotT"/>
          <w:noProof/>
        </w:rPr>
        <w:t xml:space="preserve">, </w:t>
      </w:r>
      <w:r w:rsidRPr="00132B17">
        <w:rPr>
          <w:rFonts w:ascii="NewsGotT" w:hAnsi="NewsGotT"/>
          <w:i/>
          <w:iCs/>
          <w:noProof/>
        </w:rPr>
        <w:t>55</w:t>
      </w:r>
      <w:r w:rsidRPr="00132B17">
        <w:rPr>
          <w:rFonts w:ascii="NewsGotT" w:hAnsi="NewsGotT"/>
          <w:noProof/>
        </w:rPr>
        <w:t>(6), 1079–1099. https://doi.org/10.1093/geront/gnv100</w:t>
      </w:r>
    </w:p>
    <w:p w14:paraId="6D0EB4C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Desforges, J. F., &amp; Lipowski, Z. J. (1989). Delirium in the Elderly Patient. </w:t>
      </w:r>
      <w:r w:rsidRPr="00132B17">
        <w:rPr>
          <w:rFonts w:ascii="NewsGotT" w:hAnsi="NewsGotT"/>
          <w:i/>
          <w:iCs/>
          <w:noProof/>
        </w:rPr>
        <w:t>New England Journal of Medicine</w:t>
      </w:r>
      <w:r w:rsidRPr="00132B17">
        <w:rPr>
          <w:rFonts w:ascii="NewsGotT" w:hAnsi="NewsGotT"/>
          <w:noProof/>
        </w:rPr>
        <w:t xml:space="preserve">, </w:t>
      </w:r>
      <w:r w:rsidRPr="00132B17">
        <w:rPr>
          <w:rFonts w:ascii="NewsGotT" w:hAnsi="NewsGotT"/>
          <w:i/>
          <w:iCs/>
          <w:noProof/>
        </w:rPr>
        <w:t>320</w:t>
      </w:r>
      <w:r w:rsidRPr="00132B17">
        <w:rPr>
          <w:rFonts w:ascii="NewsGotT" w:hAnsi="NewsGotT"/>
          <w:noProof/>
        </w:rPr>
        <w:t>(9), 578–582. https://doi.org/10.1056/NEJM198903023200907</w:t>
      </w:r>
    </w:p>
    <w:p w14:paraId="6839F6A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DGS. (n.d.). Porque se fala em saúde mental? Retrieved July 14, 2021, from https://www.dgs.pt/paginas-de-sistema/saude-de-a-a-z/programa-nacional-para-a-saude-mental/perguntas-e-respostas.aspx</w:t>
      </w:r>
    </w:p>
    <w:p w14:paraId="12B8661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Dreiseitl, S., &amp; Ohno-Machado, L. (2002). Logistic regression and artificial neural network classification models: A methodology review. </w:t>
      </w:r>
      <w:r w:rsidRPr="00132B17">
        <w:rPr>
          <w:rFonts w:ascii="NewsGotT" w:hAnsi="NewsGotT"/>
          <w:i/>
          <w:iCs/>
          <w:noProof/>
        </w:rPr>
        <w:t>Journal of Biomedical Informatics</w:t>
      </w:r>
      <w:r w:rsidRPr="00132B17">
        <w:rPr>
          <w:rFonts w:ascii="NewsGotT" w:hAnsi="NewsGotT"/>
          <w:noProof/>
        </w:rPr>
        <w:t xml:space="preserve">, </w:t>
      </w:r>
      <w:r w:rsidRPr="00132B17">
        <w:rPr>
          <w:rFonts w:ascii="NewsGotT" w:hAnsi="NewsGotT"/>
          <w:i/>
          <w:iCs/>
          <w:noProof/>
        </w:rPr>
        <w:t>35</w:t>
      </w:r>
      <w:r w:rsidRPr="00132B17">
        <w:rPr>
          <w:rFonts w:ascii="NewsGotT" w:hAnsi="NewsGotT"/>
          <w:noProof/>
        </w:rPr>
        <w:t>(5–6), 352–359. https://doi.org/10.1016/S1532-0464(03)00034-0</w:t>
      </w:r>
    </w:p>
    <w:p w14:paraId="47308E9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Duan, K., Keerthi, S., &amp; Poo, A. (2003). Evaluation of simple performance measures for tuning SVM hyper parameters. Technical report. </w:t>
      </w:r>
      <w:r w:rsidRPr="00132B17">
        <w:rPr>
          <w:rFonts w:ascii="NewsGotT" w:hAnsi="NewsGotT"/>
          <w:i/>
          <w:iCs/>
          <w:noProof/>
        </w:rPr>
        <w:t>Neurocomputing</w:t>
      </w:r>
      <w:r w:rsidRPr="00132B17">
        <w:rPr>
          <w:rFonts w:ascii="NewsGotT" w:hAnsi="NewsGotT"/>
          <w:noProof/>
        </w:rPr>
        <w:t xml:space="preserve">, </w:t>
      </w:r>
      <w:r w:rsidRPr="00132B17">
        <w:rPr>
          <w:rFonts w:ascii="NewsGotT" w:hAnsi="NewsGotT"/>
          <w:i/>
          <w:iCs/>
          <w:noProof/>
        </w:rPr>
        <w:t>51</w:t>
      </w:r>
      <w:r w:rsidRPr="00132B17">
        <w:rPr>
          <w:rFonts w:ascii="NewsGotT" w:hAnsi="NewsGotT"/>
          <w:noProof/>
        </w:rPr>
        <w:t>, 41–59. https://doi.org/https://doi.org/10.1016/S0925-2312(02)00601-X</w:t>
      </w:r>
    </w:p>
    <w:p w14:paraId="2CDC013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132B17">
        <w:rPr>
          <w:rFonts w:ascii="NewsGotT" w:hAnsi="NewsGotT"/>
          <w:i/>
          <w:iCs/>
          <w:noProof/>
        </w:rPr>
        <w:t>Critical Care Medicine</w:t>
      </w:r>
      <w:r w:rsidRPr="00132B17">
        <w:rPr>
          <w:rFonts w:ascii="NewsGotT" w:hAnsi="NewsGotT"/>
          <w:noProof/>
        </w:rPr>
        <w:t xml:space="preserve">, </w:t>
      </w:r>
      <w:r w:rsidRPr="00132B17">
        <w:rPr>
          <w:rFonts w:ascii="NewsGotT" w:hAnsi="NewsGotT"/>
          <w:i/>
          <w:iCs/>
          <w:noProof/>
        </w:rPr>
        <w:t>29</w:t>
      </w:r>
      <w:r w:rsidRPr="00132B17">
        <w:rPr>
          <w:rFonts w:ascii="NewsGotT" w:hAnsi="NewsGotT"/>
          <w:noProof/>
        </w:rPr>
        <w:t>(7), 1370–1379. https://doi.org/10.1097/00003246-200107000-00012</w:t>
      </w:r>
    </w:p>
    <w:p w14:paraId="0F276F3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Ely, E. W., Truman, B., Shintani, A., Thomason, J. W. W., Wheeler, A. P., Gordon, S., … Bernard, G. R. (2003). Monitoring Sedation Status Over Time in ICU Patients. </w:t>
      </w:r>
      <w:r w:rsidRPr="00132B17">
        <w:rPr>
          <w:rFonts w:ascii="NewsGotT" w:hAnsi="NewsGotT"/>
          <w:i/>
          <w:iCs/>
          <w:noProof/>
        </w:rPr>
        <w:t>JAMA</w:t>
      </w:r>
      <w:r w:rsidRPr="00132B17">
        <w:rPr>
          <w:rFonts w:ascii="NewsGotT" w:hAnsi="NewsGotT"/>
          <w:noProof/>
        </w:rPr>
        <w:t xml:space="preserve">, </w:t>
      </w:r>
      <w:r w:rsidRPr="00132B17">
        <w:rPr>
          <w:rFonts w:ascii="NewsGotT" w:hAnsi="NewsGotT"/>
          <w:i/>
          <w:iCs/>
          <w:noProof/>
        </w:rPr>
        <w:t>289</w:t>
      </w:r>
      <w:r w:rsidRPr="00132B17">
        <w:rPr>
          <w:rFonts w:ascii="NewsGotT" w:hAnsi="NewsGotT"/>
          <w:noProof/>
        </w:rPr>
        <w:t>(22), 2983. https://doi.org/10.1001/jama.289.22.2983</w:t>
      </w:r>
    </w:p>
    <w:p w14:paraId="76E1D7A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Estivill-Castro, V. (2002). Why so many clustering algorithms - a position paper. </w:t>
      </w:r>
      <w:r w:rsidRPr="00132B17">
        <w:rPr>
          <w:rFonts w:ascii="NewsGotT" w:hAnsi="NewsGotT"/>
          <w:i/>
          <w:iCs/>
          <w:noProof/>
        </w:rPr>
        <w:t>ACM SIGKDD Explorations Newsletter</w:t>
      </w:r>
      <w:r w:rsidRPr="00132B17">
        <w:rPr>
          <w:rFonts w:ascii="NewsGotT" w:hAnsi="NewsGotT"/>
          <w:noProof/>
        </w:rPr>
        <w:t xml:space="preserve">, </w:t>
      </w:r>
      <w:r w:rsidRPr="00132B17">
        <w:rPr>
          <w:rFonts w:ascii="NewsGotT" w:hAnsi="NewsGotT"/>
          <w:i/>
          <w:iCs/>
          <w:noProof/>
        </w:rPr>
        <w:t>4</w:t>
      </w:r>
      <w:r w:rsidRPr="00132B17">
        <w:rPr>
          <w:rFonts w:ascii="NewsGotT" w:hAnsi="NewsGotT"/>
          <w:noProof/>
        </w:rPr>
        <w:t>(1), 65–75. https://doi.org/10.1145/568574.568575</w:t>
      </w:r>
    </w:p>
    <w:p w14:paraId="511B49F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Faceli, K., Lorena, A. C., Gama, J., &amp; Carvalho, A. C. P. L. . de C. (2011). </w:t>
      </w:r>
      <w:r w:rsidRPr="00132B17">
        <w:rPr>
          <w:rFonts w:ascii="NewsGotT" w:hAnsi="NewsGotT"/>
          <w:i/>
          <w:iCs/>
          <w:noProof/>
        </w:rPr>
        <w:t>Inteligência Artificial. Uma Abordagem de Aprendizado de Máquina (Em Portugues do Brasil)</w:t>
      </w:r>
      <w:r w:rsidRPr="00132B17">
        <w:rPr>
          <w:rFonts w:ascii="NewsGotT" w:hAnsi="NewsGotT"/>
          <w:noProof/>
        </w:rPr>
        <w:t xml:space="preserve">. GEN: LTC. Retrieved from </w:t>
      </w:r>
      <w:r w:rsidRPr="00132B17">
        <w:rPr>
          <w:rFonts w:ascii="NewsGotT" w:hAnsi="NewsGotT"/>
          <w:noProof/>
        </w:rPr>
        <w:lastRenderedPageBreak/>
        <w:t>http://amazon.com/o/ASIN/8521618808/</w:t>
      </w:r>
    </w:p>
    <w:p w14:paraId="1EF114A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Field, R. R., &amp; Wall, M. H. (2013). Delirium: Past, present, and future. </w:t>
      </w:r>
      <w:r w:rsidRPr="00132B17">
        <w:rPr>
          <w:rFonts w:ascii="NewsGotT" w:hAnsi="NewsGotT"/>
          <w:i/>
          <w:iCs/>
          <w:noProof/>
        </w:rPr>
        <w:t>Seminars in Cardiothoracic and Vascular Anesthesia</w:t>
      </w:r>
      <w:r w:rsidRPr="00132B17">
        <w:rPr>
          <w:rFonts w:ascii="NewsGotT" w:hAnsi="NewsGotT"/>
          <w:noProof/>
        </w:rPr>
        <w:t xml:space="preserve">, </w:t>
      </w:r>
      <w:r w:rsidRPr="00132B17">
        <w:rPr>
          <w:rFonts w:ascii="NewsGotT" w:hAnsi="NewsGotT"/>
          <w:i/>
          <w:iCs/>
          <w:noProof/>
        </w:rPr>
        <w:t>17</w:t>
      </w:r>
      <w:r w:rsidRPr="00132B17">
        <w:rPr>
          <w:rFonts w:ascii="NewsGotT" w:hAnsi="NewsGotT"/>
          <w:noProof/>
        </w:rPr>
        <w:t>(3), 170–179. https://doi.org/10.1177/1089253213476957</w:t>
      </w:r>
    </w:p>
    <w:p w14:paraId="21B1D33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Flacker, J. M., &amp; Lipsitz, L. A. (1999). Neural Mechanisms of Delirium: Current Hypotheses and Evolving Concepts. </w:t>
      </w:r>
      <w:r w:rsidRPr="00132B17">
        <w:rPr>
          <w:rFonts w:ascii="NewsGotT" w:hAnsi="NewsGotT"/>
          <w:i/>
          <w:iCs/>
          <w:noProof/>
        </w:rPr>
        <w:t>The Journals of Gerontology Series A: Biological Sciences and Medical Sciences</w:t>
      </w:r>
      <w:r w:rsidRPr="00132B17">
        <w:rPr>
          <w:rFonts w:ascii="NewsGotT" w:hAnsi="NewsGotT"/>
          <w:noProof/>
        </w:rPr>
        <w:t xml:space="preserve">, </w:t>
      </w:r>
      <w:r w:rsidRPr="00132B17">
        <w:rPr>
          <w:rFonts w:ascii="NewsGotT" w:hAnsi="NewsGotT"/>
          <w:i/>
          <w:iCs/>
          <w:noProof/>
        </w:rPr>
        <w:t>54</w:t>
      </w:r>
      <w:r w:rsidRPr="00132B17">
        <w:rPr>
          <w:rFonts w:ascii="NewsGotT" w:hAnsi="NewsGotT"/>
          <w:noProof/>
        </w:rPr>
        <w:t>(6), B239–B246. https://doi.org/10.1093/gerona/54.6.B239</w:t>
      </w:r>
    </w:p>
    <w:p w14:paraId="3E008D3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Francis, J. (1996). Drug-Induced Delirium</w:t>
      </w:r>
      <w:r w:rsidRPr="00132B17">
        <w:rPr>
          <w:noProof/>
        </w:rPr>
        <w:t> </w:t>
      </w:r>
      <w:r w:rsidRPr="00132B17">
        <w:rPr>
          <w:rFonts w:ascii="NewsGotT" w:hAnsi="NewsGotT"/>
          <w:noProof/>
        </w:rPr>
        <w:t xml:space="preserve">: Diagnosis and treatment. </w:t>
      </w:r>
      <w:r w:rsidRPr="00132B17">
        <w:rPr>
          <w:rFonts w:ascii="NewsGotT" w:hAnsi="NewsGotT"/>
          <w:i/>
          <w:iCs/>
          <w:noProof/>
        </w:rPr>
        <w:t>CNS Drugs</w:t>
      </w:r>
      <w:r w:rsidRPr="00132B17">
        <w:rPr>
          <w:rFonts w:ascii="NewsGotT" w:hAnsi="NewsGotT"/>
          <w:noProof/>
        </w:rPr>
        <w:t xml:space="preserve">, </w:t>
      </w:r>
      <w:r w:rsidRPr="00132B17">
        <w:rPr>
          <w:rFonts w:ascii="NewsGotT" w:hAnsi="NewsGotT"/>
          <w:i/>
          <w:iCs/>
          <w:noProof/>
        </w:rPr>
        <w:t>5</w:t>
      </w:r>
      <w:r w:rsidRPr="00132B17">
        <w:rPr>
          <w:rFonts w:ascii="NewsGotT" w:hAnsi="NewsGotT"/>
          <w:noProof/>
        </w:rPr>
        <w:t>(2), 103–114.</w:t>
      </w:r>
    </w:p>
    <w:p w14:paraId="36366593"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Frederick, A. L., &amp; Stanwood, G. D. (2009). Drugs, biogenic amine targets and the developing brain. </w:t>
      </w:r>
      <w:r w:rsidRPr="00132B17">
        <w:rPr>
          <w:rFonts w:ascii="NewsGotT" w:hAnsi="NewsGotT"/>
          <w:i/>
          <w:iCs/>
          <w:noProof/>
        </w:rPr>
        <w:t>Developmental Neuroscience</w:t>
      </w:r>
      <w:r w:rsidRPr="00132B17">
        <w:rPr>
          <w:rFonts w:ascii="NewsGotT" w:hAnsi="NewsGotT"/>
          <w:noProof/>
        </w:rPr>
        <w:t xml:space="preserve">, </w:t>
      </w:r>
      <w:r w:rsidRPr="00132B17">
        <w:rPr>
          <w:rFonts w:ascii="NewsGotT" w:hAnsi="NewsGotT"/>
          <w:i/>
          <w:iCs/>
          <w:noProof/>
        </w:rPr>
        <w:t>31</w:t>
      </w:r>
      <w:r w:rsidRPr="00132B17">
        <w:rPr>
          <w:rFonts w:ascii="NewsGotT" w:hAnsi="NewsGotT"/>
          <w:noProof/>
        </w:rPr>
        <w:t>(1–2), 7–22. https://doi.org/10.1159/000207490</w:t>
      </w:r>
    </w:p>
    <w:p w14:paraId="5FE39623"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Friedman, J. H. (2002). Stochastic gradient boosting. </w:t>
      </w:r>
      <w:r w:rsidRPr="00132B17">
        <w:rPr>
          <w:rFonts w:ascii="NewsGotT" w:hAnsi="NewsGotT"/>
          <w:i/>
          <w:iCs/>
          <w:noProof/>
        </w:rPr>
        <w:t>Computational Statistics and Data Analysis</w:t>
      </w:r>
      <w:r w:rsidRPr="00132B17">
        <w:rPr>
          <w:rFonts w:ascii="NewsGotT" w:hAnsi="NewsGotT"/>
          <w:noProof/>
        </w:rPr>
        <w:t xml:space="preserve">, </w:t>
      </w:r>
      <w:r w:rsidRPr="00132B17">
        <w:rPr>
          <w:rFonts w:ascii="NewsGotT" w:hAnsi="NewsGotT"/>
          <w:i/>
          <w:iCs/>
          <w:noProof/>
        </w:rPr>
        <w:t>38</w:t>
      </w:r>
      <w:r w:rsidRPr="00132B17">
        <w:rPr>
          <w:rFonts w:ascii="NewsGotT" w:hAnsi="NewsGotT"/>
          <w:noProof/>
        </w:rPr>
        <w:t>(4), 367–378. https://doi.org/10.1016/S0167-9473(01)00065-2</w:t>
      </w:r>
    </w:p>
    <w:p w14:paraId="39039F7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Furtado, C. (2013). </w:t>
      </w:r>
      <w:r w:rsidRPr="00132B17">
        <w:rPr>
          <w:rFonts w:ascii="NewsGotT" w:hAnsi="NewsGotT"/>
          <w:i/>
          <w:iCs/>
          <w:noProof/>
        </w:rPr>
        <w:t>Psicofármacos: Evolução do consumo em Portugal Continental (2000 – 2012)</w:t>
      </w:r>
      <w:r w:rsidRPr="00132B17">
        <w:rPr>
          <w:rFonts w:ascii="NewsGotT" w:hAnsi="NewsGotT"/>
          <w:noProof/>
        </w:rPr>
        <w:t>. Retrieved from https://www.infarmed.pt/documents/15786/17838/psicofarmacos_relatorio2013+%281%29.pdf/3e52568f-7f90-47c8-9903-d128395c73e5</w:t>
      </w:r>
    </w:p>
    <w:p w14:paraId="5B09A7D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Gaudreau, J. D., Gagnon, P., Harel, F., Roy, M. A., &amp; Tremblay, A. (2005). Psychoactive medications and risk of delirium in hospitalized cancer patients. </w:t>
      </w:r>
      <w:r w:rsidRPr="00132B17">
        <w:rPr>
          <w:rFonts w:ascii="NewsGotT" w:hAnsi="NewsGotT"/>
          <w:i/>
          <w:iCs/>
          <w:noProof/>
        </w:rPr>
        <w:t>Journal of Clinical Oncology</w:t>
      </w:r>
      <w:r w:rsidRPr="00132B17">
        <w:rPr>
          <w:rFonts w:ascii="NewsGotT" w:hAnsi="NewsGotT"/>
          <w:noProof/>
        </w:rPr>
        <w:t xml:space="preserve">, </w:t>
      </w:r>
      <w:r w:rsidRPr="00132B17">
        <w:rPr>
          <w:rFonts w:ascii="NewsGotT" w:hAnsi="NewsGotT"/>
          <w:i/>
          <w:iCs/>
          <w:noProof/>
        </w:rPr>
        <w:t>23</w:t>
      </w:r>
      <w:r w:rsidRPr="00132B17">
        <w:rPr>
          <w:rFonts w:ascii="NewsGotT" w:hAnsi="NewsGotT"/>
          <w:noProof/>
        </w:rPr>
        <w:t>(27), 6712–6718. https://doi.org/10.1200/JCO.2005.05.140</w:t>
      </w:r>
    </w:p>
    <w:p w14:paraId="1C79D15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Gross, A. L., Jones, R. N., Habtemariam, D. A., Fong, T. G., Tommet, D., Quach, L., … Inouye, S. K. (2012). Delirium and long-term cognitive trajectory among persons with dementia. </w:t>
      </w:r>
      <w:r w:rsidRPr="00132B17">
        <w:rPr>
          <w:rFonts w:ascii="NewsGotT" w:hAnsi="NewsGotT"/>
          <w:i/>
          <w:iCs/>
          <w:noProof/>
        </w:rPr>
        <w:t>Archives of Internal Medicine</w:t>
      </w:r>
      <w:r w:rsidRPr="00132B17">
        <w:rPr>
          <w:rFonts w:ascii="NewsGotT" w:hAnsi="NewsGotT"/>
          <w:noProof/>
        </w:rPr>
        <w:t xml:space="preserve">, </w:t>
      </w:r>
      <w:r w:rsidRPr="00132B17">
        <w:rPr>
          <w:rFonts w:ascii="NewsGotT" w:hAnsi="NewsGotT"/>
          <w:i/>
          <w:iCs/>
          <w:noProof/>
        </w:rPr>
        <w:t>172</w:t>
      </w:r>
      <w:r w:rsidRPr="00132B17">
        <w:rPr>
          <w:rFonts w:ascii="NewsGotT" w:hAnsi="NewsGotT"/>
          <w:noProof/>
        </w:rPr>
        <w:t>(17), 1324–1331. https://doi.org/10.1001/archinternmed.2012.3203</w:t>
      </w:r>
    </w:p>
    <w:p w14:paraId="0861648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Han, J. H., Eden, S., Shintani, A., Morandi, A., Schnelle, J., Dittus, R. S., … Ely, E. W. (2011). Delirium in older emergency department patients is an independent predictor of hospital length of stay. </w:t>
      </w:r>
      <w:r w:rsidRPr="00132B17">
        <w:rPr>
          <w:rFonts w:ascii="NewsGotT" w:hAnsi="NewsGotT"/>
          <w:i/>
          <w:iCs/>
          <w:noProof/>
        </w:rPr>
        <w:t>Academic Emergency Medicine</w:t>
      </w:r>
      <w:r w:rsidRPr="00132B17">
        <w:rPr>
          <w:rFonts w:ascii="NewsGotT" w:hAnsi="NewsGotT"/>
          <w:noProof/>
        </w:rPr>
        <w:t xml:space="preserve">, </w:t>
      </w:r>
      <w:r w:rsidRPr="00132B17">
        <w:rPr>
          <w:rFonts w:ascii="NewsGotT" w:hAnsi="NewsGotT"/>
          <w:i/>
          <w:iCs/>
          <w:noProof/>
        </w:rPr>
        <w:t>18</w:t>
      </w:r>
      <w:r w:rsidRPr="00132B17">
        <w:rPr>
          <w:rFonts w:ascii="NewsGotT" w:hAnsi="NewsGotT"/>
          <w:noProof/>
        </w:rPr>
        <w:t>(5), 451–457. https://doi.org/10.1111/j.1553-2712.2011.01065.x</w:t>
      </w:r>
    </w:p>
    <w:p w14:paraId="1B59778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Han, J., Kamber, M., &amp; Pei, J. (2012). </w:t>
      </w:r>
      <w:r w:rsidRPr="00132B17">
        <w:rPr>
          <w:rFonts w:ascii="NewsGotT" w:hAnsi="NewsGotT"/>
          <w:i/>
          <w:iCs/>
          <w:noProof/>
        </w:rPr>
        <w:t>Data mining: Concepts and Techniques</w:t>
      </w:r>
      <w:r w:rsidRPr="00132B17">
        <w:rPr>
          <w:rFonts w:ascii="NewsGotT" w:hAnsi="NewsGotT"/>
          <w:noProof/>
        </w:rPr>
        <w:t xml:space="preserve">. </w:t>
      </w:r>
      <w:r w:rsidRPr="00132B17">
        <w:rPr>
          <w:rFonts w:ascii="NewsGotT" w:hAnsi="NewsGotT"/>
          <w:i/>
          <w:iCs/>
          <w:noProof/>
        </w:rPr>
        <w:t>Elsevier</w:t>
      </w:r>
      <w:r w:rsidRPr="00132B17">
        <w:rPr>
          <w:rFonts w:ascii="NewsGotT" w:hAnsi="NewsGotT"/>
          <w:noProof/>
        </w:rPr>
        <w:t>. Morgan Kaufmann.</w:t>
      </w:r>
    </w:p>
    <w:p w14:paraId="524BB85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Harrison, P., Cowen, P., Burns, T., &amp; Fazel, M. (2018). </w:t>
      </w:r>
      <w:r w:rsidRPr="00132B17">
        <w:rPr>
          <w:rFonts w:ascii="NewsGotT" w:hAnsi="NewsGotT"/>
          <w:i/>
          <w:iCs/>
          <w:noProof/>
        </w:rPr>
        <w:t>Shorter Oxford Textbook of Psychiatry</w:t>
      </w:r>
      <w:r w:rsidRPr="00132B17">
        <w:rPr>
          <w:rFonts w:ascii="NewsGotT" w:hAnsi="NewsGotT"/>
          <w:noProof/>
        </w:rPr>
        <w:t xml:space="preserve"> (seventh). Oxford: Oxford University Press.</w:t>
      </w:r>
    </w:p>
    <w:p w14:paraId="3DEB6E7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Hatano, Y., Narumoto, J., Shibata, K., Matsuoka, T., Taniguchi, S., Hata, Y., … Fukui, K. (2013). White-matter hyperintensities predict delirium after cardiac surgery. </w:t>
      </w:r>
      <w:r w:rsidRPr="00132B17">
        <w:rPr>
          <w:rFonts w:ascii="NewsGotT" w:hAnsi="NewsGotT"/>
          <w:i/>
          <w:iCs/>
          <w:noProof/>
        </w:rPr>
        <w:t>American Journal of Geriatric Psychiatry</w:t>
      </w:r>
      <w:r w:rsidRPr="00132B17">
        <w:rPr>
          <w:rFonts w:ascii="NewsGotT" w:hAnsi="NewsGotT"/>
          <w:noProof/>
        </w:rPr>
        <w:t xml:space="preserve">, </w:t>
      </w:r>
      <w:r w:rsidRPr="00132B17">
        <w:rPr>
          <w:rFonts w:ascii="NewsGotT" w:hAnsi="NewsGotT"/>
          <w:i/>
          <w:iCs/>
          <w:noProof/>
        </w:rPr>
        <w:t>21</w:t>
      </w:r>
      <w:r w:rsidRPr="00132B17">
        <w:rPr>
          <w:rFonts w:ascii="NewsGotT" w:hAnsi="NewsGotT"/>
          <w:noProof/>
        </w:rPr>
        <w:t>(10), 938–945. https://doi.org/10.1016/j.jagp.2013.01.061</w:t>
      </w:r>
    </w:p>
    <w:p w14:paraId="0BFABAE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Haykin, S. (2009). </w:t>
      </w:r>
      <w:r w:rsidRPr="00132B17">
        <w:rPr>
          <w:rFonts w:ascii="NewsGotT" w:hAnsi="NewsGotT"/>
          <w:i/>
          <w:iCs/>
          <w:noProof/>
        </w:rPr>
        <w:t>Neural Networks and Learning Machines</w:t>
      </w:r>
      <w:r w:rsidRPr="00132B17">
        <w:rPr>
          <w:rFonts w:ascii="NewsGotT" w:hAnsi="NewsGotT"/>
          <w:noProof/>
        </w:rPr>
        <w:t xml:space="preserve"> (3rd ed., Vol. 1–3). New Jersey: Pearson.</w:t>
      </w:r>
    </w:p>
    <w:p w14:paraId="2CE115A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Hosker, C., &amp; Ward, D. (2017). Hypoactive delirium. </w:t>
      </w:r>
      <w:r w:rsidRPr="00132B17">
        <w:rPr>
          <w:rFonts w:ascii="NewsGotT" w:hAnsi="NewsGotT"/>
          <w:i/>
          <w:iCs/>
          <w:noProof/>
        </w:rPr>
        <w:t>BMJ</w:t>
      </w:r>
      <w:r w:rsidRPr="00132B17">
        <w:rPr>
          <w:rFonts w:ascii="NewsGotT" w:hAnsi="NewsGotT"/>
          <w:noProof/>
        </w:rPr>
        <w:t xml:space="preserve">, </w:t>
      </w:r>
      <w:r w:rsidRPr="00132B17">
        <w:rPr>
          <w:rFonts w:ascii="NewsGotT" w:hAnsi="NewsGotT"/>
          <w:i/>
          <w:iCs/>
          <w:noProof/>
        </w:rPr>
        <w:t>357</w:t>
      </w:r>
      <w:r w:rsidRPr="00132B17">
        <w:rPr>
          <w:rFonts w:ascii="NewsGotT" w:hAnsi="NewsGotT"/>
          <w:noProof/>
        </w:rPr>
        <w:t>. https://doi.org/10.1136/bmj.j2047</w:t>
      </w:r>
    </w:p>
    <w:p w14:paraId="5209349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Hosmer, D. W., Lemeshow, S., &amp; Sturdivant, R. X. (2013). </w:t>
      </w:r>
      <w:r w:rsidRPr="00132B17">
        <w:rPr>
          <w:rFonts w:ascii="NewsGotT" w:hAnsi="NewsGotT"/>
          <w:i/>
          <w:iCs/>
          <w:noProof/>
        </w:rPr>
        <w:t>Applied Logistic Regression.</w:t>
      </w:r>
      <w:r w:rsidRPr="00132B17">
        <w:rPr>
          <w:rFonts w:ascii="NewsGotT" w:hAnsi="NewsGotT"/>
          <w:noProof/>
        </w:rPr>
        <w:t xml:space="preserve"> </w:t>
      </w:r>
      <w:r w:rsidRPr="00132B17">
        <w:rPr>
          <w:rFonts w:ascii="NewsGotT" w:hAnsi="NewsGotT"/>
          <w:i/>
          <w:iCs/>
          <w:noProof/>
        </w:rPr>
        <w:t>Wiley Series in Probability and Statistics</w:t>
      </w:r>
      <w:r w:rsidRPr="00132B17">
        <w:rPr>
          <w:rFonts w:ascii="NewsGotT" w:hAnsi="NewsGotT"/>
          <w:noProof/>
        </w:rPr>
        <w:t>.</w:t>
      </w:r>
    </w:p>
    <w:p w14:paraId="463334C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Hshieh, T. T., Fong, T. G., Marcantonio, E. R., &amp; Inouye, S. K. (2008). Cholinergic Deficiency Hypothesis in Delirium: A Synthesis of Current Evidence. </w:t>
      </w:r>
      <w:r w:rsidRPr="00132B17">
        <w:rPr>
          <w:rFonts w:ascii="NewsGotT" w:hAnsi="NewsGotT"/>
          <w:i/>
          <w:iCs/>
          <w:noProof/>
        </w:rPr>
        <w:t>The Journals of Gerontology Series A: Biological Sciences and Medical Sciences</w:t>
      </w:r>
      <w:r w:rsidRPr="00132B17">
        <w:rPr>
          <w:rFonts w:ascii="NewsGotT" w:hAnsi="NewsGotT"/>
          <w:noProof/>
        </w:rPr>
        <w:t xml:space="preserve">, </w:t>
      </w:r>
      <w:r w:rsidRPr="00132B17">
        <w:rPr>
          <w:rFonts w:ascii="NewsGotT" w:hAnsi="NewsGotT"/>
          <w:i/>
          <w:iCs/>
          <w:noProof/>
        </w:rPr>
        <w:t>63</w:t>
      </w:r>
      <w:r w:rsidRPr="00132B17">
        <w:rPr>
          <w:rFonts w:ascii="NewsGotT" w:hAnsi="NewsGotT"/>
          <w:noProof/>
        </w:rPr>
        <w:t>(7), 764–772. https://doi.org/10.1093/gerona/63.7.764</w:t>
      </w:r>
    </w:p>
    <w:p w14:paraId="357DCCA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Hurwitz, J., &amp; Kirsch, D. (2018). </w:t>
      </w:r>
      <w:r w:rsidRPr="00132B17">
        <w:rPr>
          <w:rFonts w:ascii="NewsGotT" w:hAnsi="NewsGotT"/>
          <w:i/>
          <w:iCs/>
          <w:noProof/>
        </w:rPr>
        <w:t>Machine learning</w:t>
      </w:r>
      <w:r w:rsidRPr="00132B17">
        <w:rPr>
          <w:rFonts w:ascii="NewsGotT" w:hAnsi="NewsGotT"/>
          <w:noProof/>
        </w:rPr>
        <w:t>. John Wiley &amp; Sons Inc.</w:t>
      </w:r>
    </w:p>
    <w:p w14:paraId="362017C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Immers, H. E. M., Schuurmans, M. J., &amp; Van De Bijl, J. J. (2005). Recognition of delirium in ICU patients: A diagnostic study of the NEECHAM confusion scale in ICU patients. </w:t>
      </w:r>
      <w:r w:rsidRPr="00132B17">
        <w:rPr>
          <w:rFonts w:ascii="NewsGotT" w:hAnsi="NewsGotT"/>
          <w:i/>
          <w:iCs/>
          <w:noProof/>
        </w:rPr>
        <w:t>BMC Nursing</w:t>
      </w:r>
      <w:r w:rsidRPr="00132B17">
        <w:rPr>
          <w:rFonts w:ascii="NewsGotT" w:hAnsi="NewsGotT"/>
          <w:noProof/>
        </w:rPr>
        <w:t xml:space="preserve">, </w:t>
      </w:r>
      <w:r w:rsidRPr="00132B17">
        <w:rPr>
          <w:rFonts w:ascii="NewsGotT" w:hAnsi="NewsGotT"/>
          <w:i/>
          <w:iCs/>
          <w:noProof/>
        </w:rPr>
        <w:t>4</w:t>
      </w:r>
      <w:r w:rsidRPr="00132B17">
        <w:rPr>
          <w:rFonts w:ascii="NewsGotT" w:hAnsi="NewsGotT"/>
          <w:noProof/>
        </w:rPr>
        <w:t>(1). https://doi.org/10.1186/1472-6955-4-7</w:t>
      </w:r>
    </w:p>
    <w:p w14:paraId="083C03B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Infarmed. (2002). </w:t>
      </w:r>
      <w:r w:rsidRPr="00132B17">
        <w:rPr>
          <w:rFonts w:ascii="NewsGotT" w:hAnsi="NewsGotT"/>
          <w:i/>
          <w:iCs/>
          <w:noProof/>
        </w:rPr>
        <w:t>Evolução do consumo de antidepressivos em Portugal continental de 1995 a 2001: impacto das medidas reguladoras</w:t>
      </w:r>
      <w:r w:rsidRPr="00132B17">
        <w:rPr>
          <w:rFonts w:ascii="NewsGotT" w:hAnsi="NewsGotT"/>
          <w:noProof/>
        </w:rPr>
        <w:t xml:space="preserve">. </w:t>
      </w:r>
      <w:r w:rsidRPr="00132B17">
        <w:rPr>
          <w:rFonts w:ascii="NewsGotT" w:hAnsi="NewsGotT"/>
          <w:i/>
          <w:iCs/>
          <w:noProof/>
        </w:rPr>
        <w:t>Observatório dos Medicamentos e Produtos de Saúde - Infarmed</w:t>
      </w:r>
      <w:r w:rsidRPr="00132B17">
        <w:rPr>
          <w:rFonts w:ascii="NewsGotT" w:hAnsi="NewsGotT"/>
          <w:noProof/>
        </w:rPr>
        <w:t>. Retrieved from http://www.infarmed.pt/web/infarmed/profissionais-de-saude/utilizacao-e-despesa/estudos-medicamentos-por-grupo-terapeutico</w:t>
      </w:r>
    </w:p>
    <w:p w14:paraId="0167F4C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lastRenderedPageBreak/>
        <w:t xml:space="preserve">Infarmed. (2010). </w:t>
      </w:r>
      <w:r w:rsidRPr="00132B17">
        <w:rPr>
          <w:rFonts w:ascii="NewsGotT" w:hAnsi="NewsGotT"/>
          <w:i/>
          <w:iCs/>
          <w:noProof/>
        </w:rPr>
        <w:t>Prontuário Terapêutico - 9</w:t>
      </w:r>
      <w:r w:rsidRPr="00132B17">
        <w:rPr>
          <w:rFonts w:ascii="NewsGotT" w:hAnsi="NewsGotT"/>
          <w:noProof/>
        </w:rPr>
        <w:t>. (I. de S. INFARMED - Autoridade Nacional do Medicamento e Produtos de Saúde, Ed.).</w:t>
      </w:r>
    </w:p>
    <w:p w14:paraId="0C253F1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(2014). RESUMO DAS CARACTERISTICAS DO MEDICAMENTO: Diazepam. Retrieved July 21, 2021, from https://extranet.infarmed.pt/INFOMED-fo/pesquisa-avancada.xhtml</w:t>
      </w:r>
    </w:p>
    <w:p w14:paraId="0BF2514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(2016). Prontuário Terapêutico on-line. Retrieved July 8, 2021, from http://app10.infarmed.pt/prontuario/frameprimeiracapitulos.html</w:t>
      </w:r>
    </w:p>
    <w:p w14:paraId="6A25537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(2018a). Resumo das características do medicamento: Quetiapina. Retrieved from https://extranet.infarmed.pt/INFOMED-fo/pesquisa-avancada.xhtml</w:t>
      </w:r>
    </w:p>
    <w:p w14:paraId="3500F58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(2018b). Resumo das características do medicamento: Tramadol. Infarmed. Retrieved from https://extranet.infarmed.pt/INFOMED-fo/pesquisa-avancada.xhtml</w:t>
      </w:r>
    </w:p>
    <w:p w14:paraId="00D8420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Infarmed. (2019). Resumo das características do medicamento: Amitriptilina. </w:t>
      </w:r>
      <w:r w:rsidRPr="00132B17">
        <w:rPr>
          <w:rFonts w:ascii="NewsGotT" w:hAnsi="NewsGotT"/>
          <w:i/>
          <w:iCs/>
          <w:noProof/>
        </w:rPr>
        <w:t>Infarmed</w:t>
      </w:r>
      <w:r w:rsidRPr="00132B17">
        <w:rPr>
          <w:rFonts w:ascii="NewsGotT" w:hAnsi="NewsGotT"/>
          <w:noProof/>
        </w:rPr>
        <w:t>. Retrieved from https://extranet.infarmed.pt/INFOMED-fo/pesquisa-avancada.xhtml</w:t>
      </w:r>
    </w:p>
    <w:p w14:paraId="0369649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(2020a). RESUMO DAS CARACTERÍSTICAS DO MEDICAMENTO</w:t>
      </w:r>
      <w:r w:rsidRPr="00132B17">
        <w:rPr>
          <w:noProof/>
        </w:rPr>
        <w:t> </w:t>
      </w:r>
      <w:r w:rsidRPr="00132B17">
        <w:rPr>
          <w:rFonts w:ascii="NewsGotT" w:hAnsi="NewsGotT"/>
          <w:noProof/>
        </w:rPr>
        <w:t>: Escitalopram. Retrieved October 22, 2021, from https://extranet.infarmed.pt/INFOMED-fo/pesquisa-avancada.xhtml</w:t>
      </w:r>
    </w:p>
    <w:p w14:paraId="7D4536E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(2020b). Resumo das características do medicamento: Haloperidol. Retrieved from https://extranet.infarmed.pt/INFOMED-fo/pesquisa-avancada.xhtml</w:t>
      </w:r>
    </w:p>
    <w:p w14:paraId="6358CBF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(2020c). Resumo das características do medicamento: Morfina. Infarmed. Retrieved from https://extranet.infarmed.pt/INFOMED-fo/pesquisa-avancada.xhtml</w:t>
      </w:r>
    </w:p>
    <w:p w14:paraId="6094ACC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(2020d). Resumo das características do medicamento: Sertralina. Infarmed. Retrieved from https://extranet.infarmed.pt/INFOMED-fo/pesquisa-avancada.xhtml</w:t>
      </w:r>
    </w:p>
    <w:p w14:paraId="42B5FC8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(2020e). Resumo das características do medicamento: Trazodona. Infarmed.</w:t>
      </w:r>
    </w:p>
    <w:p w14:paraId="5AA6A36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(2021a). RESUMO DAS CARACTERÍSTICAS DO MEDICAMENTO: Citalopram. Infarmed. Retrieved from https://extranet.infarmed.pt/INFOMED-fo/pesquisa-avancada.xhtml</w:t>
      </w:r>
    </w:p>
    <w:p w14:paraId="45D6D19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(2021b). Resumo das características do medicamento: Fluoxetina.</w:t>
      </w:r>
    </w:p>
    <w:p w14:paraId="5D33C31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(2021c). Resumo das características do medicamento: Fluvoxamina. Retrieved from https://extranet.infarmed.pt/INFOMED-fo/pesquisa-avancada.xhtml</w:t>
      </w:r>
    </w:p>
    <w:p w14:paraId="25D0CB8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(2021d). Resumo das características do medicamento: Paroxetina. Infarmed. Retrieved from https://extranet.infarmed.pt/INFOMED-fo/pesquisa-avancada.xhtml</w:t>
      </w:r>
    </w:p>
    <w:p w14:paraId="561E043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Infarmed. (2021e). Resumo das características do medicamento: Venlafaxina. Infarmed. Retrieved from https://extranet.infarmed.pt/INFOMED-fo/pesquisa-avancada.xhtml</w:t>
      </w:r>
    </w:p>
    <w:p w14:paraId="58958973"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INFARMED - Direção de informação e Planeamento Estratégico. (2017). </w:t>
      </w:r>
      <w:r w:rsidRPr="00132B17">
        <w:rPr>
          <w:rFonts w:ascii="NewsGotT" w:hAnsi="NewsGotT"/>
          <w:i/>
          <w:iCs/>
          <w:noProof/>
        </w:rPr>
        <w:t>Utlilização de Benzodiazepinas e análogos</w:t>
      </w:r>
      <w:r w:rsidRPr="00132B17">
        <w:rPr>
          <w:rFonts w:ascii="NewsGotT" w:hAnsi="NewsGotT"/>
          <w:noProof/>
        </w:rPr>
        <w:t>. Retrieved from https://www.infarmed.pt/documents/15786/2219894/Utlilização+de+Benzodiazepinas+e+análogos/adb100fa-4a77-4eb7-9e67-99229e13154f</w:t>
      </w:r>
    </w:p>
    <w:p w14:paraId="7BC6F33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Inouye, S. K., Van Dyck, C. H., Alessi, C. A., Balkin, S., Siegal, A. P., &amp; Horwitz, R. I. (1990). Clarifying confusion: The confusion assessment method: A new method for detection of delirium. </w:t>
      </w:r>
      <w:r w:rsidRPr="00132B17">
        <w:rPr>
          <w:rFonts w:ascii="NewsGotT" w:hAnsi="NewsGotT"/>
          <w:i/>
          <w:iCs/>
          <w:noProof/>
        </w:rPr>
        <w:t>Annals of Internal Medicine</w:t>
      </w:r>
      <w:r w:rsidRPr="00132B17">
        <w:rPr>
          <w:rFonts w:ascii="NewsGotT" w:hAnsi="NewsGotT"/>
          <w:noProof/>
        </w:rPr>
        <w:t xml:space="preserve">, </w:t>
      </w:r>
      <w:r w:rsidRPr="00132B17">
        <w:rPr>
          <w:rFonts w:ascii="NewsGotT" w:hAnsi="NewsGotT"/>
          <w:i/>
          <w:iCs/>
          <w:noProof/>
        </w:rPr>
        <w:t>113</w:t>
      </w:r>
      <w:r w:rsidRPr="00132B17">
        <w:rPr>
          <w:rFonts w:ascii="NewsGotT" w:hAnsi="NewsGotT"/>
          <w:noProof/>
        </w:rPr>
        <w:t>(12), 941–948. https://doi.org/10.7326/0003-4819-113-12-941</w:t>
      </w:r>
    </w:p>
    <w:p w14:paraId="1A6C86A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Inouye, Sharon K. (2006). Delirium in Older Persons. </w:t>
      </w:r>
      <w:r w:rsidRPr="00132B17">
        <w:rPr>
          <w:rFonts w:ascii="NewsGotT" w:hAnsi="NewsGotT"/>
          <w:i/>
          <w:iCs/>
          <w:noProof/>
        </w:rPr>
        <w:t>The New England Journal of Medicine</w:t>
      </w:r>
      <w:r w:rsidRPr="00132B17">
        <w:rPr>
          <w:rFonts w:ascii="NewsGotT" w:hAnsi="NewsGotT"/>
          <w:noProof/>
        </w:rPr>
        <w:t xml:space="preserve">, </w:t>
      </w:r>
      <w:r w:rsidRPr="00132B17">
        <w:rPr>
          <w:rFonts w:ascii="NewsGotT" w:hAnsi="NewsGotT"/>
          <w:i/>
          <w:iCs/>
          <w:noProof/>
        </w:rPr>
        <w:t>354</w:t>
      </w:r>
      <w:r w:rsidRPr="00132B17">
        <w:rPr>
          <w:rFonts w:ascii="NewsGotT" w:hAnsi="NewsGotT"/>
          <w:noProof/>
        </w:rPr>
        <w:t>(11), 1157–1165.</w:t>
      </w:r>
    </w:p>
    <w:p w14:paraId="5076853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Inouye, Sharon K., &amp; Charpentier, P. A. (1996). Precipitating factors for delirium in hospitalized elderly persons: Predictive model and interrelationship with baseline vulnerability. </w:t>
      </w:r>
      <w:r w:rsidRPr="00132B17">
        <w:rPr>
          <w:rFonts w:ascii="NewsGotT" w:hAnsi="NewsGotT"/>
          <w:i/>
          <w:iCs/>
          <w:noProof/>
        </w:rPr>
        <w:t>Journal of the American Medical Association</w:t>
      </w:r>
      <w:r w:rsidRPr="00132B17">
        <w:rPr>
          <w:rFonts w:ascii="NewsGotT" w:hAnsi="NewsGotT"/>
          <w:noProof/>
        </w:rPr>
        <w:t xml:space="preserve">, </w:t>
      </w:r>
      <w:r w:rsidRPr="00132B17">
        <w:rPr>
          <w:rFonts w:ascii="NewsGotT" w:hAnsi="NewsGotT"/>
          <w:i/>
          <w:iCs/>
          <w:noProof/>
        </w:rPr>
        <w:t>275</w:t>
      </w:r>
      <w:r w:rsidRPr="00132B17">
        <w:rPr>
          <w:rFonts w:ascii="NewsGotT" w:hAnsi="NewsGotT"/>
          <w:noProof/>
        </w:rPr>
        <w:t>(11), 852–857. https://doi.org/10.1001/jama.275.11.852</w:t>
      </w:r>
    </w:p>
    <w:p w14:paraId="6DE172E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Inouye, Sharon K., Westendorp, R. G. J., &amp; Saczynski, J. S. (2014). Delirium in elderly people. </w:t>
      </w:r>
      <w:r w:rsidRPr="00132B17">
        <w:rPr>
          <w:rFonts w:ascii="NewsGotT" w:hAnsi="NewsGotT"/>
          <w:i/>
          <w:iCs/>
          <w:noProof/>
        </w:rPr>
        <w:t>The Lancet</w:t>
      </w:r>
      <w:r w:rsidRPr="00132B17">
        <w:rPr>
          <w:rFonts w:ascii="NewsGotT" w:hAnsi="NewsGotT"/>
          <w:noProof/>
        </w:rPr>
        <w:t xml:space="preserve">, </w:t>
      </w:r>
      <w:r w:rsidRPr="00132B17">
        <w:rPr>
          <w:rFonts w:ascii="NewsGotT" w:hAnsi="NewsGotT"/>
          <w:i/>
          <w:iCs/>
          <w:noProof/>
        </w:rPr>
        <w:t>383</w:t>
      </w:r>
      <w:r w:rsidRPr="00132B17">
        <w:rPr>
          <w:rFonts w:ascii="NewsGotT" w:hAnsi="NewsGotT"/>
          <w:noProof/>
        </w:rPr>
        <w:t>(9920), 911–922. https://doi.org/10.1016/S0140-6736(13)60688-1</w:t>
      </w:r>
    </w:p>
    <w:p w14:paraId="7D03208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Inouye, Sharon K. (2000). Prevention of delirium in hospitalized older patients: risk factors and targeted intervention strategies. </w:t>
      </w:r>
      <w:r w:rsidRPr="00132B17">
        <w:rPr>
          <w:rFonts w:ascii="NewsGotT" w:hAnsi="NewsGotT"/>
          <w:i/>
          <w:iCs/>
          <w:noProof/>
        </w:rPr>
        <w:t>Annals of Medicine</w:t>
      </w:r>
      <w:r w:rsidRPr="00132B17">
        <w:rPr>
          <w:rFonts w:ascii="NewsGotT" w:hAnsi="NewsGotT"/>
          <w:noProof/>
        </w:rPr>
        <w:t xml:space="preserve">, </w:t>
      </w:r>
      <w:r w:rsidRPr="00132B17">
        <w:rPr>
          <w:rFonts w:ascii="NewsGotT" w:hAnsi="NewsGotT"/>
          <w:i/>
          <w:iCs/>
          <w:noProof/>
        </w:rPr>
        <w:t>32</w:t>
      </w:r>
      <w:r w:rsidRPr="00132B17">
        <w:rPr>
          <w:rFonts w:ascii="NewsGotT" w:hAnsi="NewsGotT"/>
          <w:noProof/>
        </w:rPr>
        <w:t>(4), 257–263. https://doi.org/10.3109/07853890009011770</w:t>
      </w:r>
    </w:p>
    <w:p w14:paraId="7C02BB1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Isik, A. T., &amp; Grossberg, G. T. (2018). </w:t>
      </w:r>
      <w:r w:rsidRPr="00132B17">
        <w:rPr>
          <w:rFonts w:ascii="NewsGotT" w:hAnsi="NewsGotT"/>
          <w:i/>
          <w:iCs/>
          <w:noProof/>
        </w:rPr>
        <w:t>Delirium in Elderly Patients</w:t>
      </w:r>
      <w:r w:rsidRPr="00132B17">
        <w:rPr>
          <w:rFonts w:ascii="NewsGotT" w:hAnsi="NewsGotT"/>
          <w:noProof/>
        </w:rPr>
        <w:t xml:space="preserve">. (A. T. Isik &amp; G. T. Grossberg, Eds.), </w:t>
      </w:r>
      <w:r w:rsidRPr="00132B17">
        <w:rPr>
          <w:rFonts w:ascii="NewsGotT" w:hAnsi="NewsGotT"/>
          <w:i/>
          <w:iCs/>
          <w:noProof/>
        </w:rPr>
        <w:lastRenderedPageBreak/>
        <w:t>Delirium in Elderly Patients</w:t>
      </w:r>
      <w:r w:rsidRPr="00132B17">
        <w:rPr>
          <w:rFonts w:ascii="NewsGotT" w:hAnsi="NewsGotT"/>
          <w:noProof/>
        </w:rPr>
        <w:t>. Cham: Springer International Publishing. https://doi.org/10.1007/978-3-319-65239-9</w:t>
      </w:r>
    </w:p>
    <w:p w14:paraId="0FCF830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Jain, A. K., &amp; Dubes, R. C. (1988). </w:t>
      </w:r>
      <w:r w:rsidRPr="00132B17">
        <w:rPr>
          <w:rFonts w:ascii="NewsGotT" w:hAnsi="NewsGotT"/>
          <w:i/>
          <w:iCs/>
          <w:noProof/>
        </w:rPr>
        <w:t>Algorithms for Clustering Data</w:t>
      </w:r>
      <w:r w:rsidRPr="00132B17">
        <w:rPr>
          <w:rFonts w:ascii="NewsGotT" w:hAnsi="NewsGotT"/>
          <w:noProof/>
        </w:rPr>
        <w:t>. Prentice Hall.</w:t>
      </w:r>
    </w:p>
    <w:p w14:paraId="26E23CC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James, G., Witten, D., Hastie, T., &amp; Tibshirani, R. (2013). </w:t>
      </w:r>
      <w:r w:rsidRPr="00132B17">
        <w:rPr>
          <w:rFonts w:ascii="NewsGotT" w:hAnsi="NewsGotT"/>
          <w:i/>
          <w:iCs/>
          <w:noProof/>
        </w:rPr>
        <w:t>An Introduction to Statistical Learning - with Applications in R</w:t>
      </w:r>
      <w:r w:rsidRPr="00132B17">
        <w:rPr>
          <w:rFonts w:ascii="NewsGotT" w:hAnsi="NewsGotT"/>
          <w:noProof/>
        </w:rPr>
        <w:t>. Springer Texts in Statistics.</w:t>
      </w:r>
    </w:p>
    <w:p w14:paraId="504319C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Jamin, A., Abraham, P., &amp; Humeau-Heurtier, A. (2021). Machine learning for predictive data analytics in medicine: A review illustrated by cardiovascular and nuclear medicine examples. </w:t>
      </w:r>
      <w:r w:rsidRPr="00132B17">
        <w:rPr>
          <w:rFonts w:ascii="NewsGotT" w:hAnsi="NewsGotT"/>
          <w:i/>
          <w:iCs/>
          <w:noProof/>
        </w:rPr>
        <w:t>Clinical Physiology and Functional Imaging</w:t>
      </w:r>
      <w:r w:rsidRPr="00132B17">
        <w:rPr>
          <w:rFonts w:ascii="NewsGotT" w:hAnsi="NewsGotT"/>
          <w:noProof/>
        </w:rPr>
        <w:t xml:space="preserve">, </w:t>
      </w:r>
      <w:r w:rsidRPr="00132B17">
        <w:rPr>
          <w:rFonts w:ascii="NewsGotT" w:hAnsi="NewsGotT"/>
          <w:i/>
          <w:iCs/>
          <w:noProof/>
        </w:rPr>
        <w:t>41</w:t>
      </w:r>
      <w:r w:rsidRPr="00132B17">
        <w:rPr>
          <w:rFonts w:ascii="NewsGotT" w:hAnsi="NewsGotT"/>
          <w:noProof/>
        </w:rPr>
        <w:t>(2), 113–127. https://doi.org/10.1111/cpf.12686</w:t>
      </w:r>
    </w:p>
    <w:p w14:paraId="393FCB1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132B17">
        <w:rPr>
          <w:rFonts w:ascii="NewsGotT" w:hAnsi="NewsGotT"/>
          <w:i/>
          <w:iCs/>
          <w:noProof/>
        </w:rPr>
        <w:t>Journal of the American Medical Informatics Association</w:t>
      </w:r>
      <w:r w:rsidRPr="00132B17">
        <w:rPr>
          <w:rFonts w:ascii="NewsGotT" w:hAnsi="NewsGotT"/>
          <w:noProof/>
        </w:rPr>
        <w:t xml:space="preserve">, </w:t>
      </w:r>
      <w:r w:rsidRPr="00132B17">
        <w:rPr>
          <w:rFonts w:ascii="NewsGotT" w:hAnsi="NewsGotT"/>
          <w:i/>
          <w:iCs/>
          <w:noProof/>
        </w:rPr>
        <w:t>27</w:t>
      </w:r>
      <w:r w:rsidRPr="00132B17">
        <w:rPr>
          <w:rFonts w:ascii="NewsGotT" w:hAnsi="NewsGotT"/>
          <w:noProof/>
        </w:rPr>
        <w:t>(9), 1383–1392. https://doi.org/10.1093/jamia/ocaa113</w:t>
      </w:r>
    </w:p>
    <w:p w14:paraId="5F5E2FB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132B17">
        <w:rPr>
          <w:rFonts w:ascii="NewsGotT" w:hAnsi="NewsGotT"/>
          <w:i/>
          <w:iCs/>
          <w:noProof/>
        </w:rPr>
        <w:t>Academic Emergency Medicine</w:t>
      </w:r>
      <w:r w:rsidRPr="00132B17">
        <w:rPr>
          <w:rFonts w:ascii="NewsGotT" w:hAnsi="NewsGotT"/>
          <w:noProof/>
        </w:rPr>
        <w:t xml:space="preserve">, </w:t>
      </w:r>
      <w:r w:rsidRPr="00132B17">
        <w:rPr>
          <w:rFonts w:ascii="NewsGotT" w:hAnsi="NewsGotT"/>
          <w:i/>
          <w:iCs/>
          <w:noProof/>
        </w:rPr>
        <w:t>28</w:t>
      </w:r>
      <w:r w:rsidRPr="00132B17">
        <w:rPr>
          <w:rFonts w:ascii="NewsGotT" w:hAnsi="NewsGotT"/>
          <w:noProof/>
        </w:rPr>
        <w:t>(2), 184–196. https://doi.org/10.1111/acem.14190</w:t>
      </w:r>
    </w:p>
    <w:p w14:paraId="3B59E9A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Laird, J. E., Newell, A., &amp; Rosenbloom, P. S. (1987). An integrative architecture for general intelligence and. </w:t>
      </w:r>
      <w:r w:rsidRPr="00132B17">
        <w:rPr>
          <w:rFonts w:ascii="NewsGotT" w:hAnsi="NewsGotT"/>
          <w:i/>
          <w:iCs/>
          <w:noProof/>
        </w:rPr>
        <w:t>Artificial Intelligence</w:t>
      </w:r>
      <w:r w:rsidRPr="00132B17">
        <w:rPr>
          <w:rFonts w:ascii="NewsGotT" w:hAnsi="NewsGotT"/>
          <w:noProof/>
        </w:rPr>
        <w:t xml:space="preserve">, </w:t>
      </w:r>
      <w:r w:rsidRPr="00132B17">
        <w:rPr>
          <w:rFonts w:ascii="NewsGotT" w:hAnsi="NewsGotT"/>
          <w:i/>
          <w:iCs/>
          <w:noProof/>
        </w:rPr>
        <w:t>33</w:t>
      </w:r>
      <w:r w:rsidRPr="00132B17">
        <w:rPr>
          <w:rFonts w:ascii="NewsGotT" w:hAnsi="NewsGotT"/>
          <w:noProof/>
        </w:rPr>
        <w:t>(1987), 1–64.</w:t>
      </w:r>
    </w:p>
    <w:p w14:paraId="0364B76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Laurila, J. V., Laakkonen, M. L., Strandberg, T. E., &amp; Tilvis, R. S. (2008). Predisposing and precipitating factors for delirium in a frail geriatric population. </w:t>
      </w:r>
      <w:r w:rsidRPr="00132B17">
        <w:rPr>
          <w:rFonts w:ascii="NewsGotT" w:hAnsi="NewsGotT"/>
          <w:i/>
          <w:iCs/>
          <w:noProof/>
        </w:rPr>
        <w:t>Journal of Psychosomatic Research</w:t>
      </w:r>
      <w:r w:rsidRPr="00132B17">
        <w:rPr>
          <w:rFonts w:ascii="NewsGotT" w:hAnsi="NewsGotT"/>
          <w:noProof/>
        </w:rPr>
        <w:t xml:space="preserve">, </w:t>
      </w:r>
      <w:r w:rsidRPr="00132B17">
        <w:rPr>
          <w:rFonts w:ascii="NewsGotT" w:hAnsi="NewsGotT"/>
          <w:i/>
          <w:iCs/>
          <w:noProof/>
        </w:rPr>
        <w:t>65</w:t>
      </w:r>
      <w:r w:rsidRPr="00132B17">
        <w:rPr>
          <w:rFonts w:ascii="NewsGotT" w:hAnsi="NewsGotT"/>
          <w:noProof/>
        </w:rPr>
        <w:t>(3), 249–254. https://doi.org/10.1016/j.jpsychores.2008.05.026</w:t>
      </w:r>
    </w:p>
    <w:p w14:paraId="49DBE1A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132B17">
        <w:rPr>
          <w:rFonts w:ascii="NewsGotT" w:hAnsi="NewsGotT"/>
          <w:i/>
          <w:iCs/>
          <w:noProof/>
        </w:rPr>
        <w:t>Archives of Internal Medicine</w:t>
      </w:r>
      <w:r w:rsidRPr="00132B17">
        <w:rPr>
          <w:rFonts w:ascii="NewsGotT" w:hAnsi="NewsGotT"/>
          <w:noProof/>
        </w:rPr>
        <w:t xml:space="preserve">, </w:t>
      </w:r>
      <w:r w:rsidRPr="00132B17">
        <w:rPr>
          <w:rFonts w:ascii="NewsGotT" w:hAnsi="NewsGotT"/>
          <w:i/>
          <w:iCs/>
          <w:noProof/>
        </w:rPr>
        <w:t>160</w:t>
      </w:r>
      <w:r w:rsidRPr="00132B17">
        <w:rPr>
          <w:rFonts w:ascii="NewsGotT" w:hAnsi="NewsGotT"/>
          <w:noProof/>
        </w:rPr>
        <w:t>(6), 786–794. https://doi.org/10.1001/archinte.160.6.786</w:t>
      </w:r>
    </w:p>
    <w:p w14:paraId="136D70B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Lee-Archer, P. F., von Ungern-Sternberg, B. S., Reade, M. C., Law, K. C., &amp; Long, D. (2021). An observational study of hypoactive delirium in the post-anesthesia recovery unit of a pediatric hospital. </w:t>
      </w:r>
      <w:r w:rsidRPr="00132B17">
        <w:rPr>
          <w:rFonts w:ascii="NewsGotT" w:hAnsi="NewsGotT"/>
          <w:i/>
          <w:iCs/>
          <w:noProof/>
        </w:rPr>
        <w:t>Paediatric Anaesthesia</w:t>
      </w:r>
      <w:r w:rsidRPr="00132B17">
        <w:rPr>
          <w:rFonts w:ascii="NewsGotT" w:hAnsi="NewsGotT"/>
          <w:noProof/>
        </w:rPr>
        <w:t>, (September 2020), 429–435. https://doi.org/10.1111/pan.14122</w:t>
      </w:r>
    </w:p>
    <w:p w14:paraId="688A895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Lee, S., Mueller, B., Nick Street, W., &amp; M. Carnahan, R. (2021). Machine learning algorithm to predict delirium from emergency department data. </w:t>
      </w:r>
      <w:r w:rsidRPr="00132B17">
        <w:rPr>
          <w:rFonts w:ascii="NewsGotT" w:hAnsi="NewsGotT"/>
          <w:i/>
          <w:iCs/>
          <w:noProof/>
        </w:rPr>
        <w:t>BMJ</w:t>
      </w:r>
      <w:r w:rsidRPr="00132B17">
        <w:rPr>
          <w:rFonts w:ascii="NewsGotT" w:hAnsi="NewsGotT"/>
          <w:noProof/>
        </w:rPr>
        <w:t>. https://doi.org/https://doi.org/10.1101/2021.02.19.21251956</w:t>
      </w:r>
    </w:p>
    <w:p w14:paraId="25C33BB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Leonard, M. M., Nekolaichuk, C., Meagher, D. J., Barnes, C., Gaudreau, J. D., Watanabe, S., … Lawlor, P. G. (2014). Practical assessment of delirium in palliative care. </w:t>
      </w:r>
      <w:r w:rsidRPr="00132B17">
        <w:rPr>
          <w:rFonts w:ascii="NewsGotT" w:hAnsi="NewsGotT"/>
          <w:i/>
          <w:iCs/>
          <w:noProof/>
        </w:rPr>
        <w:t>Journal of Pain and Symptom Management</w:t>
      </w:r>
      <w:r w:rsidRPr="00132B17">
        <w:rPr>
          <w:rFonts w:ascii="NewsGotT" w:hAnsi="NewsGotT"/>
          <w:noProof/>
        </w:rPr>
        <w:t xml:space="preserve">, </w:t>
      </w:r>
      <w:r w:rsidRPr="00132B17">
        <w:rPr>
          <w:rFonts w:ascii="NewsGotT" w:hAnsi="NewsGotT"/>
          <w:i/>
          <w:iCs/>
          <w:noProof/>
        </w:rPr>
        <w:t>48</w:t>
      </w:r>
      <w:r w:rsidRPr="00132B17">
        <w:rPr>
          <w:rFonts w:ascii="NewsGotT" w:hAnsi="NewsGotT"/>
          <w:noProof/>
        </w:rPr>
        <w:t>(2), 176–190. https://doi.org/10.1016/j.jpainsymman.2013.10.024</w:t>
      </w:r>
    </w:p>
    <w:p w14:paraId="4DD70AB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132B17">
        <w:rPr>
          <w:rFonts w:ascii="NewsGotT" w:hAnsi="NewsGotT"/>
          <w:i/>
          <w:iCs/>
          <w:noProof/>
        </w:rPr>
        <w:t>Nursing in Critical Care</w:t>
      </w:r>
      <w:r w:rsidRPr="00132B17">
        <w:rPr>
          <w:rFonts w:ascii="NewsGotT" w:hAnsi="NewsGotT"/>
          <w:noProof/>
        </w:rPr>
        <w:t>, (August), 1–7. https://doi.org/10.1111/nicc.12550</w:t>
      </w:r>
    </w:p>
    <w:p w14:paraId="4DC3C90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Libbrecht, M. W., &amp; Noble, W. S. (2015). Machine learning applications in genetics and genomics. </w:t>
      </w:r>
      <w:r w:rsidRPr="00132B17">
        <w:rPr>
          <w:rFonts w:ascii="NewsGotT" w:hAnsi="NewsGotT"/>
          <w:i/>
          <w:iCs/>
          <w:noProof/>
        </w:rPr>
        <w:t>Nature Reviews Genetics</w:t>
      </w:r>
      <w:r w:rsidRPr="00132B17">
        <w:rPr>
          <w:rFonts w:ascii="NewsGotT" w:hAnsi="NewsGotT"/>
          <w:noProof/>
        </w:rPr>
        <w:t xml:space="preserve">, </w:t>
      </w:r>
      <w:r w:rsidRPr="00132B17">
        <w:rPr>
          <w:rFonts w:ascii="NewsGotT" w:hAnsi="NewsGotT"/>
          <w:i/>
          <w:iCs/>
          <w:noProof/>
        </w:rPr>
        <w:t>16</w:t>
      </w:r>
      <w:r w:rsidRPr="00132B17">
        <w:rPr>
          <w:rFonts w:ascii="NewsGotT" w:hAnsi="NewsGotT"/>
          <w:noProof/>
        </w:rPr>
        <w:t>(6), 321–332. https://doi.org/10.1038/nrg3920</w:t>
      </w:r>
    </w:p>
    <w:p w14:paraId="6B03FF9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Lipowski, Z. J. (1987). Delirium (Acute Confusional State). </w:t>
      </w:r>
      <w:r w:rsidRPr="00132B17">
        <w:rPr>
          <w:rFonts w:ascii="NewsGotT" w:hAnsi="NewsGotT"/>
          <w:i/>
          <w:iCs/>
          <w:noProof/>
        </w:rPr>
        <w:t>JAMA</w:t>
      </w:r>
      <w:r w:rsidRPr="00132B17">
        <w:rPr>
          <w:rFonts w:ascii="NewsGotT" w:hAnsi="NewsGotT"/>
          <w:noProof/>
        </w:rPr>
        <w:t>, 1789–1792. https://doi.org/doi:10.1001/jama.1987.03400130103041</w:t>
      </w:r>
    </w:p>
    <w:p w14:paraId="1371FD5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Lipowski, Zbigniew J. (1991). Delirium: How Its Concept Has Developed. </w:t>
      </w:r>
      <w:r w:rsidRPr="00132B17">
        <w:rPr>
          <w:rFonts w:ascii="NewsGotT" w:hAnsi="NewsGotT"/>
          <w:i/>
          <w:iCs/>
          <w:noProof/>
        </w:rPr>
        <w:t>International Psychogeriatrics</w:t>
      </w:r>
      <w:r w:rsidRPr="00132B17">
        <w:rPr>
          <w:rFonts w:ascii="NewsGotT" w:hAnsi="NewsGotT"/>
          <w:noProof/>
        </w:rPr>
        <w:t xml:space="preserve">, </w:t>
      </w:r>
      <w:r w:rsidRPr="00132B17">
        <w:rPr>
          <w:rFonts w:ascii="NewsGotT" w:hAnsi="NewsGotT"/>
          <w:i/>
          <w:iCs/>
          <w:noProof/>
        </w:rPr>
        <w:t>3</w:t>
      </w:r>
      <w:r w:rsidRPr="00132B17">
        <w:rPr>
          <w:rFonts w:ascii="NewsGotT" w:hAnsi="NewsGotT"/>
          <w:noProof/>
        </w:rPr>
        <w:t>(2), 115–120. https://doi.org/10.1017/S1041610291000595</w:t>
      </w:r>
    </w:p>
    <w:p w14:paraId="1711654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Lôbo, R. R., Silva Filho, S. R. B., Lima, N. K. C., Ferriolli, E., &amp; Moriguti, J. C. (2010). Delirium. </w:t>
      </w:r>
      <w:r w:rsidRPr="00132B17">
        <w:rPr>
          <w:rFonts w:ascii="NewsGotT" w:hAnsi="NewsGotT"/>
          <w:i/>
          <w:iCs/>
          <w:noProof/>
        </w:rPr>
        <w:t>Medicina (Ribeirao Preto. Online)</w:t>
      </w:r>
      <w:r w:rsidRPr="00132B17">
        <w:rPr>
          <w:rFonts w:ascii="NewsGotT" w:hAnsi="NewsGotT"/>
          <w:noProof/>
        </w:rPr>
        <w:t xml:space="preserve">, </w:t>
      </w:r>
      <w:r w:rsidRPr="00132B17">
        <w:rPr>
          <w:rFonts w:ascii="NewsGotT" w:hAnsi="NewsGotT"/>
          <w:i/>
          <w:iCs/>
          <w:noProof/>
        </w:rPr>
        <w:t>43</w:t>
      </w:r>
      <w:r w:rsidRPr="00132B17">
        <w:rPr>
          <w:rFonts w:ascii="NewsGotT" w:hAnsi="NewsGotT"/>
          <w:noProof/>
        </w:rPr>
        <w:t>(3), 249–257. https://doi.org/10.11606/issn.2176-7262.v43i3p249-257</w:t>
      </w:r>
    </w:p>
    <w:p w14:paraId="1167FB4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Lüllmann, H., Mohr, K., &amp; Hein, L. (2018). </w:t>
      </w:r>
      <w:r w:rsidRPr="00132B17">
        <w:rPr>
          <w:rFonts w:ascii="NewsGotT" w:hAnsi="NewsGotT"/>
          <w:i/>
          <w:iCs/>
          <w:noProof/>
        </w:rPr>
        <w:t>Color Atlas of Pharmacology</w:t>
      </w:r>
      <w:r w:rsidRPr="00132B17">
        <w:rPr>
          <w:rFonts w:ascii="NewsGotT" w:hAnsi="NewsGotT"/>
          <w:noProof/>
        </w:rPr>
        <w:t xml:space="preserve"> (Fifth). Thieme.</w:t>
      </w:r>
    </w:p>
    <w:p w14:paraId="5D1F0D5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lastRenderedPageBreak/>
        <w:t xml:space="preserve">MacLullich, A. M. J., Ferguson, K. J., Miller, T., de Rooij, S. E. J. A., &amp; Cunningham, C. (2008). Unravelling the pathophysiology of delirium: A focus on the role of aberrant stress responses. </w:t>
      </w:r>
      <w:r w:rsidRPr="00132B17">
        <w:rPr>
          <w:rFonts w:ascii="NewsGotT" w:hAnsi="NewsGotT"/>
          <w:i/>
          <w:iCs/>
          <w:noProof/>
        </w:rPr>
        <w:t>Journal of Psychosomatic Research</w:t>
      </w:r>
      <w:r w:rsidRPr="00132B17">
        <w:rPr>
          <w:rFonts w:ascii="NewsGotT" w:hAnsi="NewsGotT"/>
          <w:noProof/>
        </w:rPr>
        <w:t xml:space="preserve">, </w:t>
      </w:r>
      <w:r w:rsidRPr="00132B17">
        <w:rPr>
          <w:rFonts w:ascii="NewsGotT" w:hAnsi="NewsGotT"/>
          <w:i/>
          <w:iCs/>
          <w:noProof/>
        </w:rPr>
        <w:t>65</w:t>
      </w:r>
      <w:r w:rsidRPr="00132B17">
        <w:rPr>
          <w:rFonts w:ascii="NewsGotT" w:hAnsi="NewsGotT"/>
          <w:noProof/>
        </w:rPr>
        <w:t>(3), 229–238. https://doi.org/10.1016/j.jpsychores.2008.05.019</w:t>
      </w:r>
    </w:p>
    <w:p w14:paraId="0B4F677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Maldonado, J. R. (2018). Delirium pathophysiology: An updated hypothesis of the etiology of acute brain failure. </w:t>
      </w:r>
      <w:r w:rsidRPr="00132B17">
        <w:rPr>
          <w:rFonts w:ascii="NewsGotT" w:hAnsi="NewsGotT"/>
          <w:i/>
          <w:iCs/>
          <w:noProof/>
        </w:rPr>
        <w:t>International Journal of Geriatric Psychiatry</w:t>
      </w:r>
      <w:r w:rsidRPr="00132B17">
        <w:rPr>
          <w:rFonts w:ascii="NewsGotT" w:hAnsi="NewsGotT"/>
          <w:noProof/>
        </w:rPr>
        <w:t xml:space="preserve">, </w:t>
      </w:r>
      <w:r w:rsidRPr="00132B17">
        <w:rPr>
          <w:rFonts w:ascii="NewsGotT" w:hAnsi="NewsGotT"/>
          <w:i/>
          <w:iCs/>
          <w:noProof/>
        </w:rPr>
        <w:t>33</w:t>
      </w:r>
      <w:r w:rsidRPr="00132B17">
        <w:rPr>
          <w:rFonts w:ascii="NewsGotT" w:hAnsi="NewsGotT"/>
          <w:noProof/>
        </w:rPr>
        <w:t>(11), 1428–1457. https://doi.org/10.1002/gps.4823</w:t>
      </w:r>
    </w:p>
    <w:p w14:paraId="00414E8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Martins, S., &amp; Fernandes, L. (2012). Delirium in elderly people: A review. </w:t>
      </w:r>
      <w:r w:rsidRPr="00132B17">
        <w:rPr>
          <w:rFonts w:ascii="NewsGotT" w:hAnsi="NewsGotT"/>
          <w:i/>
          <w:iCs/>
          <w:noProof/>
        </w:rPr>
        <w:t>Frontiers in Neurology</w:t>
      </w:r>
      <w:r w:rsidRPr="00132B17">
        <w:rPr>
          <w:rFonts w:ascii="NewsGotT" w:hAnsi="NewsGotT"/>
          <w:noProof/>
        </w:rPr>
        <w:t xml:space="preserve">, </w:t>
      </w:r>
      <w:r w:rsidRPr="00132B17">
        <w:rPr>
          <w:rFonts w:ascii="NewsGotT" w:hAnsi="NewsGotT"/>
          <w:i/>
          <w:iCs/>
          <w:noProof/>
        </w:rPr>
        <w:t>JUN</w:t>
      </w:r>
      <w:r w:rsidRPr="00132B17">
        <w:rPr>
          <w:rFonts w:ascii="NewsGotT" w:hAnsi="NewsGotT"/>
          <w:noProof/>
        </w:rPr>
        <w:t>(June), 1–12. https://doi.org/10.3389/fneur.2012.00101</w:t>
      </w:r>
    </w:p>
    <w:p w14:paraId="646E1BA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McCorduck, P. (2004). </w:t>
      </w:r>
      <w:r w:rsidRPr="00132B17">
        <w:rPr>
          <w:rFonts w:ascii="NewsGotT" w:hAnsi="NewsGotT"/>
          <w:i/>
          <w:iCs/>
          <w:noProof/>
        </w:rPr>
        <w:t>Machines Who Think</w:t>
      </w:r>
      <w:r w:rsidRPr="00132B17">
        <w:rPr>
          <w:rFonts w:ascii="NewsGotT" w:hAnsi="NewsGotT"/>
          <w:noProof/>
        </w:rPr>
        <w:t xml:space="preserve">. </w:t>
      </w:r>
      <w:r w:rsidRPr="00132B17">
        <w:rPr>
          <w:rFonts w:ascii="NewsGotT" w:hAnsi="NewsGotT"/>
          <w:i/>
          <w:iCs/>
          <w:noProof/>
        </w:rPr>
        <w:t>A K Peters, Ltd.</w:t>
      </w:r>
      <w:r w:rsidRPr="00132B17">
        <w:rPr>
          <w:rFonts w:ascii="NewsGotT" w:hAnsi="NewsGotT"/>
          <w:noProof/>
        </w:rPr>
        <w:t xml:space="preserve"> Natick, MA: A K Peters, Ltd. https://doi.org/10.1126/science.254.5036.1291-a</w:t>
      </w:r>
    </w:p>
    <w:p w14:paraId="6F28DA7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McCulloch, W. S., &amp; Pits, W. (1943). A LOGICAL CALCULUS OF THE IDEAS IMMANENT IN NERVOUS ACTIVITY. </w:t>
      </w:r>
      <w:r w:rsidRPr="00132B17">
        <w:rPr>
          <w:rFonts w:ascii="NewsGotT" w:hAnsi="NewsGotT"/>
          <w:i/>
          <w:iCs/>
          <w:noProof/>
        </w:rPr>
        <w:t>Bullentin of Mathematical</w:t>
      </w:r>
      <w:r w:rsidRPr="00132B17">
        <w:rPr>
          <w:rFonts w:ascii="NewsGotT" w:hAnsi="NewsGotT"/>
          <w:noProof/>
        </w:rPr>
        <w:t xml:space="preserve">, </w:t>
      </w:r>
      <w:r w:rsidRPr="00132B17">
        <w:rPr>
          <w:rFonts w:ascii="NewsGotT" w:hAnsi="NewsGotT"/>
          <w:i/>
          <w:iCs/>
          <w:noProof/>
        </w:rPr>
        <w:t>5</w:t>
      </w:r>
      <w:r w:rsidRPr="00132B17">
        <w:rPr>
          <w:rFonts w:ascii="NewsGotT" w:hAnsi="NewsGotT"/>
          <w:noProof/>
        </w:rPr>
        <w:t>, 115–133.</w:t>
      </w:r>
    </w:p>
    <w:p w14:paraId="0D522A4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Meagher, D. J., MacLullich, A. M. J., &amp; Laurila, J. V. (2008). Defining delirium for the International Classification of Diseases, 11th Revision. </w:t>
      </w:r>
      <w:r w:rsidRPr="00132B17">
        <w:rPr>
          <w:rFonts w:ascii="NewsGotT" w:hAnsi="NewsGotT"/>
          <w:i/>
          <w:iCs/>
          <w:noProof/>
        </w:rPr>
        <w:t>Journal of Psychosomatic Research</w:t>
      </w:r>
      <w:r w:rsidRPr="00132B17">
        <w:rPr>
          <w:rFonts w:ascii="NewsGotT" w:hAnsi="NewsGotT"/>
          <w:noProof/>
        </w:rPr>
        <w:t xml:space="preserve">, </w:t>
      </w:r>
      <w:r w:rsidRPr="00132B17">
        <w:rPr>
          <w:rFonts w:ascii="NewsGotT" w:hAnsi="NewsGotT"/>
          <w:i/>
          <w:iCs/>
          <w:noProof/>
        </w:rPr>
        <w:t>65</w:t>
      </w:r>
      <w:r w:rsidRPr="00132B17">
        <w:rPr>
          <w:rFonts w:ascii="NewsGotT" w:hAnsi="NewsGotT"/>
          <w:noProof/>
        </w:rPr>
        <w:t>(3), 207–214. https://doi.org/10.1016/j.jpsychores.2008.05.015</w:t>
      </w:r>
    </w:p>
    <w:p w14:paraId="242CA2D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Meltzer, H. Y. (2013). Update on Typical and Atypical Antipsychotic Drugs. </w:t>
      </w:r>
      <w:r w:rsidRPr="00132B17">
        <w:rPr>
          <w:rFonts w:ascii="NewsGotT" w:hAnsi="NewsGotT"/>
          <w:i/>
          <w:iCs/>
          <w:noProof/>
        </w:rPr>
        <w:t>Annual Review of Medicine</w:t>
      </w:r>
      <w:r w:rsidRPr="00132B17">
        <w:rPr>
          <w:rFonts w:ascii="NewsGotT" w:hAnsi="NewsGotT"/>
          <w:noProof/>
        </w:rPr>
        <w:t xml:space="preserve">, </w:t>
      </w:r>
      <w:r w:rsidRPr="00132B17">
        <w:rPr>
          <w:rFonts w:ascii="NewsGotT" w:hAnsi="NewsGotT"/>
          <w:i/>
          <w:iCs/>
          <w:noProof/>
        </w:rPr>
        <w:t>64</w:t>
      </w:r>
      <w:r w:rsidRPr="00132B17">
        <w:rPr>
          <w:rFonts w:ascii="NewsGotT" w:hAnsi="NewsGotT"/>
          <w:noProof/>
        </w:rPr>
        <w:t>(1), 393–406. https://doi.org/10.1146/annurev-med-050911-161504</w:t>
      </w:r>
    </w:p>
    <w:p w14:paraId="5F70AD2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Michalski, R. S., Carbonell, J. G., &amp; Mitchell, T. M. (1983). </w:t>
      </w:r>
      <w:r w:rsidRPr="00132B17">
        <w:rPr>
          <w:rFonts w:ascii="NewsGotT" w:hAnsi="NewsGotT"/>
          <w:i/>
          <w:iCs/>
          <w:noProof/>
        </w:rPr>
        <w:t>Machine Learning</w:t>
      </w:r>
      <w:r w:rsidRPr="00132B17">
        <w:rPr>
          <w:rFonts w:ascii="NewsGotT" w:hAnsi="NewsGotT"/>
          <w:noProof/>
        </w:rPr>
        <w:t>. Berlin, Heidelberg: Springer Berlin Heidelberg. https://doi.org/10.1007/978-3-662-12405-5</w:t>
      </w:r>
    </w:p>
    <w:p w14:paraId="00B0C70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Michaud, L., Büla, C., Berney, A., Camus, V., Voellinger, R., Stiefel, F., &amp; Burnand, B. (2007). Delirium: Guidelines for general hospitals. </w:t>
      </w:r>
      <w:r w:rsidRPr="00132B17">
        <w:rPr>
          <w:rFonts w:ascii="NewsGotT" w:hAnsi="NewsGotT"/>
          <w:i/>
          <w:iCs/>
          <w:noProof/>
        </w:rPr>
        <w:t>Journal of Psychosomatic Research</w:t>
      </w:r>
      <w:r w:rsidRPr="00132B17">
        <w:rPr>
          <w:rFonts w:ascii="NewsGotT" w:hAnsi="NewsGotT"/>
          <w:noProof/>
        </w:rPr>
        <w:t xml:space="preserve">, </w:t>
      </w:r>
      <w:r w:rsidRPr="00132B17">
        <w:rPr>
          <w:rFonts w:ascii="NewsGotT" w:hAnsi="NewsGotT"/>
          <w:i/>
          <w:iCs/>
          <w:noProof/>
        </w:rPr>
        <w:t>62</w:t>
      </w:r>
      <w:r w:rsidRPr="00132B17">
        <w:rPr>
          <w:rFonts w:ascii="NewsGotT" w:hAnsi="NewsGotT"/>
          <w:noProof/>
        </w:rPr>
        <w:t>(3), 371–383. https://doi.org/10.1016/j.jpsychores.2006.10.004</w:t>
      </w:r>
    </w:p>
    <w:p w14:paraId="18D13BE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Mitchell, T. M. (1999). Machine learning and data mining. </w:t>
      </w:r>
      <w:r w:rsidRPr="00132B17">
        <w:rPr>
          <w:rFonts w:ascii="NewsGotT" w:hAnsi="NewsGotT"/>
          <w:i/>
          <w:iCs/>
          <w:noProof/>
        </w:rPr>
        <w:t>Communications of the ACM</w:t>
      </w:r>
      <w:r w:rsidRPr="00132B17">
        <w:rPr>
          <w:rFonts w:ascii="NewsGotT" w:hAnsi="NewsGotT"/>
          <w:noProof/>
        </w:rPr>
        <w:t xml:space="preserve">, </w:t>
      </w:r>
      <w:r w:rsidRPr="00132B17">
        <w:rPr>
          <w:rFonts w:ascii="NewsGotT" w:hAnsi="NewsGotT"/>
          <w:i/>
          <w:iCs/>
          <w:noProof/>
        </w:rPr>
        <w:t>42</w:t>
      </w:r>
      <w:r w:rsidRPr="00132B17">
        <w:rPr>
          <w:rFonts w:ascii="NewsGotT" w:hAnsi="NewsGotT"/>
          <w:noProof/>
        </w:rPr>
        <w:t>(11), 30–46. https://doi.org/10.1145/319382.319388</w:t>
      </w:r>
    </w:p>
    <w:p w14:paraId="2DF3E24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Mitchell, Tom M. (1997). </w:t>
      </w:r>
      <w:r w:rsidRPr="00132B17">
        <w:rPr>
          <w:rFonts w:ascii="NewsGotT" w:hAnsi="NewsGotT"/>
          <w:i/>
          <w:iCs/>
          <w:noProof/>
        </w:rPr>
        <w:t>Machine Learning</w:t>
      </w:r>
      <w:r w:rsidRPr="00132B17">
        <w:rPr>
          <w:rFonts w:ascii="NewsGotT" w:hAnsi="NewsGotT"/>
          <w:noProof/>
        </w:rPr>
        <w:t>. McGraw-Hill Science/Engineering/Math.</w:t>
      </w:r>
    </w:p>
    <w:p w14:paraId="003C056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Mittal, V., Muralee, S., Williamson, D., McEnerney, N., Thomas, J., Cash, M., &amp; Tampi, R. R. (2011). Delirium in the elderly: A comprehensive review. </w:t>
      </w:r>
      <w:r w:rsidRPr="00132B17">
        <w:rPr>
          <w:rFonts w:ascii="NewsGotT" w:hAnsi="NewsGotT"/>
          <w:i/>
          <w:iCs/>
          <w:noProof/>
        </w:rPr>
        <w:t>American Journal of Alzheimer’s Disease and Other Dementias</w:t>
      </w:r>
      <w:r w:rsidRPr="00132B17">
        <w:rPr>
          <w:rFonts w:ascii="NewsGotT" w:hAnsi="NewsGotT"/>
          <w:noProof/>
        </w:rPr>
        <w:t xml:space="preserve">, </w:t>
      </w:r>
      <w:r w:rsidRPr="00132B17">
        <w:rPr>
          <w:rFonts w:ascii="NewsGotT" w:hAnsi="NewsGotT"/>
          <w:i/>
          <w:iCs/>
          <w:noProof/>
        </w:rPr>
        <w:t>26</w:t>
      </w:r>
      <w:r w:rsidRPr="00132B17">
        <w:rPr>
          <w:rFonts w:ascii="NewsGotT" w:hAnsi="NewsGotT"/>
          <w:noProof/>
        </w:rPr>
        <w:t>(2), 97–109. https://doi.org/10.1177/1533317510397331</w:t>
      </w:r>
    </w:p>
    <w:p w14:paraId="19A85FE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32B17">
        <w:rPr>
          <w:rFonts w:ascii="NewsGotT" w:hAnsi="NewsGotT"/>
          <w:i/>
          <w:iCs/>
          <w:noProof/>
        </w:rPr>
        <w:t>Intensive Care Medicine</w:t>
      </w:r>
      <w:r w:rsidRPr="00132B17">
        <w:rPr>
          <w:rFonts w:ascii="NewsGotT" w:hAnsi="NewsGotT"/>
          <w:noProof/>
        </w:rPr>
        <w:t xml:space="preserve">, </w:t>
      </w:r>
      <w:r w:rsidRPr="00132B17">
        <w:rPr>
          <w:rFonts w:ascii="NewsGotT" w:hAnsi="NewsGotT"/>
          <w:i/>
          <w:iCs/>
          <w:noProof/>
        </w:rPr>
        <w:t>34</w:t>
      </w:r>
      <w:r w:rsidRPr="00132B17">
        <w:rPr>
          <w:rFonts w:ascii="NewsGotT" w:hAnsi="NewsGotT"/>
          <w:noProof/>
        </w:rPr>
        <w:t>(10), 1907–1915. https://doi.org/10.1007/s00134-008-1177-6</w:t>
      </w:r>
    </w:p>
    <w:p w14:paraId="6B73FF7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Murphy, K. P. (2012). </w:t>
      </w:r>
      <w:r w:rsidRPr="00132B17">
        <w:rPr>
          <w:rFonts w:ascii="NewsGotT" w:hAnsi="NewsGotT"/>
          <w:i/>
          <w:iCs/>
          <w:noProof/>
        </w:rPr>
        <w:t>Machine learning: A Probabilistic Perspective</w:t>
      </w:r>
      <w:r w:rsidRPr="00132B17">
        <w:rPr>
          <w:rFonts w:ascii="NewsGotT" w:hAnsi="NewsGotT"/>
          <w:noProof/>
        </w:rPr>
        <w:t xml:space="preserve">. </w:t>
      </w:r>
      <w:r w:rsidRPr="00132B17">
        <w:rPr>
          <w:rFonts w:ascii="NewsGotT" w:hAnsi="NewsGotT"/>
          <w:i/>
          <w:iCs/>
          <w:noProof/>
        </w:rPr>
        <w:t>Expert Systems</w:t>
      </w:r>
      <w:r w:rsidRPr="00132B17">
        <w:rPr>
          <w:rFonts w:ascii="NewsGotT" w:hAnsi="NewsGotT"/>
          <w:noProof/>
        </w:rPr>
        <w:t xml:space="preserve"> (Vol. 5). The MIT Press. https://doi.org/10.1111/j.1468-0394.1988.tb00341.x</w:t>
      </w:r>
    </w:p>
    <w:p w14:paraId="5C1B6C6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Nagari, N., &amp; Suresh Babu, M. (2019). Assessment of risk factors and precipitating factors of delirium in patients admitted to intensive care unit of a tertiary care hospital. </w:t>
      </w:r>
      <w:r w:rsidRPr="00132B17">
        <w:rPr>
          <w:rFonts w:ascii="NewsGotT" w:hAnsi="NewsGotT"/>
          <w:i/>
          <w:iCs/>
          <w:noProof/>
        </w:rPr>
        <w:t>British Journal of Medical Practitioners</w:t>
      </w:r>
      <w:r w:rsidRPr="00132B17">
        <w:rPr>
          <w:rFonts w:ascii="NewsGotT" w:hAnsi="NewsGotT"/>
          <w:noProof/>
        </w:rPr>
        <w:t xml:space="preserve">, </w:t>
      </w:r>
      <w:r w:rsidRPr="00132B17">
        <w:rPr>
          <w:rFonts w:ascii="NewsGotT" w:hAnsi="NewsGotT"/>
          <w:i/>
          <w:iCs/>
          <w:noProof/>
        </w:rPr>
        <w:t>12</w:t>
      </w:r>
      <w:r w:rsidRPr="00132B17">
        <w:rPr>
          <w:rFonts w:ascii="NewsGotT" w:hAnsi="NewsGotT"/>
          <w:noProof/>
        </w:rPr>
        <w:t>(2).</w:t>
      </w:r>
    </w:p>
    <w:p w14:paraId="231BB29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Nemati, S., Holder, A., Razmi, F., Stanley, M. D., Clifford, G. D., &amp; Buchman, T. G. (2018). An Interpretable Machine Learning Model for Accurate Prediction of Sepsis in the ICU. </w:t>
      </w:r>
      <w:r w:rsidRPr="00132B17">
        <w:rPr>
          <w:rFonts w:ascii="NewsGotT" w:hAnsi="NewsGotT"/>
          <w:i/>
          <w:iCs/>
          <w:noProof/>
        </w:rPr>
        <w:t>Critical Care Medicine</w:t>
      </w:r>
      <w:r w:rsidRPr="00132B17">
        <w:rPr>
          <w:rFonts w:ascii="NewsGotT" w:hAnsi="NewsGotT"/>
          <w:noProof/>
        </w:rPr>
        <w:t xml:space="preserve">, </w:t>
      </w:r>
      <w:r w:rsidRPr="00132B17">
        <w:rPr>
          <w:rFonts w:ascii="NewsGotT" w:hAnsi="NewsGotT"/>
          <w:i/>
          <w:iCs/>
          <w:noProof/>
        </w:rPr>
        <w:t>46</w:t>
      </w:r>
      <w:r w:rsidRPr="00132B17">
        <w:rPr>
          <w:rFonts w:ascii="NewsGotT" w:hAnsi="NewsGotT"/>
          <w:noProof/>
        </w:rPr>
        <w:t>(4), 547–553. https://doi.org/10.1097/CCM.0000000000002936</w:t>
      </w:r>
    </w:p>
    <w:p w14:paraId="78A03E7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Nikam, S. S. (2015). A Comparative Study of Classification Techniques in Data Mining Algorithms. </w:t>
      </w:r>
      <w:r w:rsidRPr="00132B17">
        <w:rPr>
          <w:rFonts w:ascii="NewsGotT" w:hAnsi="NewsGotT"/>
          <w:i/>
          <w:iCs/>
          <w:noProof/>
        </w:rPr>
        <w:t>ORIENTAL JOURNAL OF COMPUTER SCIENCE &amp; TECHNOLOGY</w:t>
      </w:r>
      <w:r w:rsidRPr="00132B17">
        <w:rPr>
          <w:rFonts w:ascii="NewsGotT" w:hAnsi="NewsGotT"/>
          <w:noProof/>
        </w:rPr>
        <w:t xml:space="preserve">, </w:t>
      </w:r>
      <w:r w:rsidRPr="00132B17">
        <w:rPr>
          <w:rFonts w:ascii="NewsGotT" w:hAnsi="NewsGotT"/>
          <w:i/>
          <w:iCs/>
          <w:noProof/>
        </w:rPr>
        <w:t>8</w:t>
      </w:r>
      <w:r w:rsidRPr="00132B17">
        <w:rPr>
          <w:rFonts w:ascii="NewsGotT" w:hAnsi="NewsGotT"/>
          <w:noProof/>
        </w:rPr>
        <w:t>(1), 13–19.</w:t>
      </w:r>
    </w:p>
    <w:p w14:paraId="368A8BF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Nitchingham, A., Kumar, V., Shenkin, S., Ferguson, K. J., &amp; Caplan, G. A. (2018). A systematic review of neuroimaging in delirium: predictors, correlates and consequences. </w:t>
      </w:r>
      <w:r w:rsidRPr="00132B17">
        <w:rPr>
          <w:rFonts w:ascii="NewsGotT" w:hAnsi="NewsGotT"/>
          <w:i/>
          <w:iCs/>
          <w:noProof/>
        </w:rPr>
        <w:t>International Journal of Geriatric Psychiatry</w:t>
      </w:r>
      <w:r w:rsidRPr="00132B17">
        <w:rPr>
          <w:rFonts w:ascii="NewsGotT" w:hAnsi="NewsGotT"/>
          <w:noProof/>
        </w:rPr>
        <w:t xml:space="preserve">, </w:t>
      </w:r>
      <w:r w:rsidRPr="00132B17">
        <w:rPr>
          <w:rFonts w:ascii="NewsGotT" w:hAnsi="NewsGotT"/>
          <w:i/>
          <w:iCs/>
          <w:noProof/>
        </w:rPr>
        <w:t>33</w:t>
      </w:r>
      <w:r w:rsidRPr="00132B17">
        <w:rPr>
          <w:rFonts w:ascii="NewsGotT" w:hAnsi="NewsGotT"/>
          <w:noProof/>
        </w:rPr>
        <w:t>(11), 1458–1478. https://doi.org/10.1002/gps.4724</w:t>
      </w:r>
    </w:p>
    <w:p w14:paraId="7C27757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ONU, P. (2021). Envelhecimento. Retrieved May 31, 2021, from https://unric.org/pt/envelhecimento/</w:t>
      </w:r>
    </w:p>
    <w:p w14:paraId="10D32D8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Pedregosa, F., Varoquaux, G., Gramfort, A., Michel, V., Thirion, B., Grisel, O., … Duchesnay, É. (2011). </w:t>
      </w:r>
      <w:r w:rsidRPr="00132B17">
        <w:rPr>
          <w:rFonts w:ascii="NewsGotT" w:hAnsi="NewsGotT"/>
          <w:noProof/>
        </w:rPr>
        <w:lastRenderedPageBreak/>
        <w:t xml:space="preserve">Scikit-learn: Machine Learning in Python. </w:t>
      </w:r>
      <w:r w:rsidRPr="00132B17">
        <w:rPr>
          <w:rFonts w:ascii="NewsGotT" w:hAnsi="NewsGotT"/>
          <w:i/>
          <w:iCs/>
          <w:noProof/>
        </w:rPr>
        <w:t>Journal of Machine Learning Research</w:t>
      </w:r>
      <w:r w:rsidRPr="00132B17">
        <w:rPr>
          <w:rFonts w:ascii="NewsGotT" w:hAnsi="NewsGotT"/>
          <w:noProof/>
        </w:rPr>
        <w:t xml:space="preserve">, </w:t>
      </w:r>
      <w:r w:rsidRPr="00132B17">
        <w:rPr>
          <w:rFonts w:ascii="NewsGotT" w:hAnsi="NewsGotT"/>
          <w:i/>
          <w:iCs/>
          <w:noProof/>
        </w:rPr>
        <w:t>12</w:t>
      </w:r>
      <w:r w:rsidRPr="00132B17">
        <w:rPr>
          <w:rFonts w:ascii="NewsGotT" w:hAnsi="NewsGotT"/>
          <w:noProof/>
        </w:rPr>
        <w:t>, 2825–2830.</w:t>
      </w:r>
    </w:p>
    <w:p w14:paraId="10875ED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Pérez-Ros, P., &amp; Martínez-Arnau, F. (2019). Delirium Assessment in Older People in Emergency Departments. A Literature Review. </w:t>
      </w:r>
      <w:r w:rsidRPr="00132B17">
        <w:rPr>
          <w:rFonts w:ascii="NewsGotT" w:hAnsi="NewsGotT"/>
          <w:i/>
          <w:iCs/>
          <w:noProof/>
        </w:rPr>
        <w:t>Diseases</w:t>
      </w:r>
      <w:r w:rsidRPr="00132B17">
        <w:rPr>
          <w:rFonts w:ascii="NewsGotT" w:hAnsi="NewsGotT"/>
          <w:noProof/>
        </w:rPr>
        <w:t xml:space="preserve">, </w:t>
      </w:r>
      <w:r w:rsidRPr="00132B17">
        <w:rPr>
          <w:rFonts w:ascii="NewsGotT" w:hAnsi="NewsGotT"/>
          <w:i/>
          <w:iCs/>
          <w:noProof/>
        </w:rPr>
        <w:t>7</w:t>
      </w:r>
      <w:r w:rsidRPr="00132B17">
        <w:rPr>
          <w:rFonts w:ascii="NewsGotT" w:hAnsi="NewsGotT"/>
          <w:noProof/>
        </w:rPr>
        <w:t>(1), 14. https://doi.org/10.3390/diseases7010014</w:t>
      </w:r>
    </w:p>
    <w:p w14:paraId="344EA8DD"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Pfizer. (2010). RESUMO DAS CARACTERÍSTICAS DO MEDICAMENTO: Lorenin. Retrieved July 21, 2021, from http://labeling.pfizer.com/ShowLabeling.aspx?id=5194</w:t>
      </w:r>
    </w:p>
    <w:p w14:paraId="48B0EDB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Pfizer. (2021). RESUMO DAS CARACTERÍSTICAS: Alprazolam. Retrieved July 21, 2021, from http://labeling.pfizer.com/ShowLabeling.aspx?id=4838</w:t>
      </w:r>
    </w:p>
    <w:p w14:paraId="469B7D1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Prayce, R., Quaresma, F., &amp; Neto, I. G. (2018). Delirium: O 7</w:t>
      </w:r>
      <w:r w:rsidRPr="00132B17">
        <w:rPr>
          <w:rFonts w:ascii="NewsGotT" w:hAnsi="NewsGotT"/>
          <w:noProof/>
          <w:vertAlign w:val="superscript"/>
        </w:rPr>
        <w:t>o</w:t>
      </w:r>
      <w:r w:rsidRPr="00132B17">
        <w:rPr>
          <w:rFonts w:ascii="NewsGotT" w:hAnsi="NewsGotT"/>
          <w:noProof/>
        </w:rPr>
        <w:t xml:space="preserve"> Parâmetro Vital? </w:t>
      </w:r>
      <w:r w:rsidRPr="00132B17">
        <w:rPr>
          <w:rFonts w:ascii="NewsGotT" w:hAnsi="NewsGotT"/>
          <w:i/>
          <w:iCs/>
          <w:noProof/>
        </w:rPr>
        <w:t>Acta Médica Portuguesa</w:t>
      </w:r>
      <w:r w:rsidRPr="00132B17">
        <w:rPr>
          <w:rFonts w:ascii="NewsGotT" w:hAnsi="NewsGotT"/>
          <w:noProof/>
        </w:rPr>
        <w:t xml:space="preserve">, </w:t>
      </w:r>
      <w:r w:rsidRPr="00132B17">
        <w:rPr>
          <w:rFonts w:ascii="NewsGotT" w:hAnsi="NewsGotT"/>
          <w:i/>
          <w:iCs/>
          <w:noProof/>
        </w:rPr>
        <w:t>31</w:t>
      </w:r>
      <w:r w:rsidRPr="00132B17">
        <w:rPr>
          <w:rFonts w:ascii="NewsGotT" w:hAnsi="NewsGotT"/>
          <w:noProof/>
        </w:rPr>
        <w:t>(1), 51. https://doi.org/10.20344/amp.9670</w:t>
      </w:r>
    </w:p>
    <w:p w14:paraId="561B84E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Quinlan, J. R. (1986). Induction of decision trees. </w:t>
      </w:r>
      <w:r w:rsidRPr="00132B17">
        <w:rPr>
          <w:rFonts w:ascii="NewsGotT" w:hAnsi="NewsGotT"/>
          <w:i/>
          <w:iCs/>
          <w:noProof/>
        </w:rPr>
        <w:t>Machine Learning</w:t>
      </w:r>
      <w:r w:rsidRPr="00132B17">
        <w:rPr>
          <w:rFonts w:ascii="NewsGotT" w:hAnsi="NewsGotT"/>
          <w:noProof/>
        </w:rPr>
        <w:t xml:space="preserve">, </w:t>
      </w:r>
      <w:r w:rsidRPr="00132B17">
        <w:rPr>
          <w:rFonts w:ascii="NewsGotT" w:hAnsi="NewsGotT"/>
          <w:i/>
          <w:iCs/>
          <w:noProof/>
        </w:rPr>
        <w:t>1</w:t>
      </w:r>
      <w:r w:rsidRPr="00132B17">
        <w:rPr>
          <w:rFonts w:ascii="NewsGotT" w:hAnsi="NewsGotT"/>
          <w:noProof/>
        </w:rPr>
        <w:t>(1), 81–106. https://doi.org/10.1007/bf00116251</w:t>
      </w:r>
    </w:p>
    <w:p w14:paraId="78C62A5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Robinson, T. N., Raeburn, C. D., Tran, Z. V., Brenner, L. A., &amp; Moss, M. (2011). Motor subtypes of postoperative delirium in older adults. </w:t>
      </w:r>
      <w:r w:rsidRPr="00132B17">
        <w:rPr>
          <w:rFonts w:ascii="NewsGotT" w:hAnsi="NewsGotT"/>
          <w:i/>
          <w:iCs/>
          <w:noProof/>
        </w:rPr>
        <w:t>Archives of Surgery</w:t>
      </w:r>
      <w:r w:rsidRPr="00132B17">
        <w:rPr>
          <w:rFonts w:ascii="NewsGotT" w:hAnsi="NewsGotT"/>
          <w:noProof/>
        </w:rPr>
        <w:t xml:space="preserve">, </w:t>
      </w:r>
      <w:r w:rsidRPr="00132B17">
        <w:rPr>
          <w:rFonts w:ascii="NewsGotT" w:hAnsi="NewsGotT"/>
          <w:i/>
          <w:iCs/>
          <w:noProof/>
        </w:rPr>
        <w:t>146</w:t>
      </w:r>
      <w:r w:rsidRPr="00132B17">
        <w:rPr>
          <w:rFonts w:ascii="NewsGotT" w:hAnsi="NewsGotT"/>
          <w:noProof/>
        </w:rPr>
        <w:t>(3), 295–300. https://doi.org/10.1001/archsurg.2011.14</w:t>
      </w:r>
    </w:p>
    <w:p w14:paraId="6553540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Rosenblatt, F. (1958). The perceptron: A probabilistic model for information storage and organization in the brain. </w:t>
      </w:r>
      <w:r w:rsidRPr="00132B17">
        <w:rPr>
          <w:rFonts w:ascii="NewsGotT" w:hAnsi="NewsGotT"/>
          <w:i/>
          <w:iCs/>
          <w:noProof/>
        </w:rPr>
        <w:t>Psychological Review</w:t>
      </w:r>
      <w:r w:rsidRPr="00132B17">
        <w:rPr>
          <w:rFonts w:ascii="NewsGotT" w:hAnsi="NewsGotT"/>
          <w:noProof/>
        </w:rPr>
        <w:t xml:space="preserve">, </w:t>
      </w:r>
      <w:r w:rsidRPr="00132B17">
        <w:rPr>
          <w:rFonts w:ascii="NewsGotT" w:hAnsi="NewsGotT"/>
          <w:i/>
          <w:iCs/>
          <w:noProof/>
        </w:rPr>
        <w:t>65</w:t>
      </w:r>
      <w:r w:rsidRPr="00132B17">
        <w:rPr>
          <w:rFonts w:ascii="NewsGotT" w:hAnsi="NewsGotT"/>
          <w:noProof/>
        </w:rPr>
        <w:t>(6), 386–408. https://doi.org/10.1037/h0042519</w:t>
      </w:r>
    </w:p>
    <w:p w14:paraId="48CC47B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132B17">
        <w:rPr>
          <w:rFonts w:ascii="NewsGotT" w:hAnsi="NewsGotT"/>
          <w:i/>
          <w:iCs/>
          <w:noProof/>
        </w:rPr>
        <w:t>New Insights into the Future of Pharmacoepidemiology and Drug Safety [Working Title]</w:t>
      </w:r>
      <w:r w:rsidRPr="00132B17">
        <w:rPr>
          <w:rFonts w:ascii="NewsGotT" w:hAnsi="NewsGotT"/>
          <w:noProof/>
        </w:rPr>
        <w:t xml:space="preserve"> (Vol. 32, pp. 137–144). IntechOpen. https://doi.org/10.5772/intechopen.95470</w:t>
      </w:r>
    </w:p>
    <w:p w14:paraId="5FE8453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Rudberg, M. A., Pompei, P., Foreman, M. D., Ross, R. E., &amp; Cassel, C. K. (1997). The natural history of delirium in older hospitalized patients: A syndrome of heterogeneity. </w:t>
      </w:r>
      <w:r w:rsidRPr="00132B17">
        <w:rPr>
          <w:rFonts w:ascii="NewsGotT" w:hAnsi="NewsGotT"/>
          <w:i/>
          <w:iCs/>
          <w:noProof/>
        </w:rPr>
        <w:t>Age and Ageing</w:t>
      </w:r>
      <w:r w:rsidRPr="00132B17">
        <w:rPr>
          <w:rFonts w:ascii="NewsGotT" w:hAnsi="NewsGotT"/>
          <w:noProof/>
        </w:rPr>
        <w:t xml:space="preserve">, </w:t>
      </w:r>
      <w:r w:rsidRPr="00132B17">
        <w:rPr>
          <w:rFonts w:ascii="NewsGotT" w:hAnsi="NewsGotT"/>
          <w:i/>
          <w:iCs/>
          <w:noProof/>
        </w:rPr>
        <w:t>26</w:t>
      </w:r>
      <w:r w:rsidRPr="00132B17">
        <w:rPr>
          <w:rFonts w:ascii="NewsGotT" w:hAnsi="NewsGotT"/>
          <w:noProof/>
        </w:rPr>
        <w:t>(3), 169–174. https://doi.org/10.1093/ageing/26.3.169</w:t>
      </w:r>
    </w:p>
    <w:p w14:paraId="6CB54ED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Salluh, J. I. F., Wang, H., Schneider, E. B., Nagaraja, N., Yenokyan, G., Damluji, A., … Stevens, R. D. (2015). Outcome of delirium in critically ill patients: Systematic review and meta-analysis. </w:t>
      </w:r>
      <w:r w:rsidRPr="00132B17">
        <w:rPr>
          <w:rFonts w:ascii="NewsGotT" w:hAnsi="NewsGotT"/>
          <w:i/>
          <w:iCs/>
          <w:noProof/>
        </w:rPr>
        <w:t>BMJ (Online)</w:t>
      </w:r>
      <w:r w:rsidRPr="00132B17">
        <w:rPr>
          <w:rFonts w:ascii="NewsGotT" w:hAnsi="NewsGotT"/>
          <w:noProof/>
        </w:rPr>
        <w:t xml:space="preserve">, </w:t>
      </w:r>
      <w:r w:rsidRPr="00132B17">
        <w:rPr>
          <w:rFonts w:ascii="NewsGotT" w:hAnsi="NewsGotT"/>
          <w:i/>
          <w:iCs/>
          <w:noProof/>
        </w:rPr>
        <w:t>350</w:t>
      </w:r>
      <w:r w:rsidRPr="00132B17">
        <w:rPr>
          <w:rFonts w:ascii="NewsGotT" w:hAnsi="NewsGotT"/>
          <w:noProof/>
        </w:rPr>
        <w:t>, 1–10. https://doi.org/10.1136/bmj.h2538</w:t>
      </w:r>
    </w:p>
    <w:p w14:paraId="029E567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Samuel, A. L. (1959). Some Studies in Machine Learning. </w:t>
      </w:r>
      <w:r w:rsidRPr="00132B17">
        <w:rPr>
          <w:rFonts w:ascii="NewsGotT" w:hAnsi="NewsGotT"/>
          <w:i/>
          <w:iCs/>
          <w:noProof/>
        </w:rPr>
        <w:t>IBM Journal of Research and Development</w:t>
      </w:r>
      <w:r w:rsidRPr="00132B17">
        <w:rPr>
          <w:rFonts w:ascii="NewsGotT" w:hAnsi="NewsGotT"/>
          <w:noProof/>
        </w:rPr>
        <w:t xml:space="preserve">, </w:t>
      </w:r>
      <w:r w:rsidRPr="00132B17">
        <w:rPr>
          <w:rFonts w:ascii="NewsGotT" w:hAnsi="NewsGotT"/>
          <w:i/>
          <w:iCs/>
          <w:noProof/>
        </w:rPr>
        <w:t>3</w:t>
      </w:r>
      <w:r w:rsidRPr="00132B17">
        <w:rPr>
          <w:rFonts w:ascii="NewsGotT" w:hAnsi="NewsGotT"/>
          <w:noProof/>
        </w:rPr>
        <w:t>(3), 210–229. Retrieved from https://ieeexplore.ieee.org/stamp/stamp.jsp?tp=&amp;arnumber=5392560</w:t>
      </w:r>
    </w:p>
    <w:p w14:paraId="0F68BED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Saraiva, C. B., &amp; Cerejeira, J. (2014). </w:t>
      </w:r>
      <w:r w:rsidRPr="00132B17">
        <w:rPr>
          <w:rFonts w:ascii="NewsGotT" w:hAnsi="NewsGotT"/>
          <w:i/>
          <w:iCs/>
          <w:noProof/>
        </w:rPr>
        <w:t>Psiquiatria fundamental</w:t>
      </w:r>
      <w:r w:rsidRPr="00132B17">
        <w:rPr>
          <w:rFonts w:ascii="NewsGotT" w:hAnsi="NewsGotT"/>
          <w:noProof/>
        </w:rPr>
        <w:t>. Lisboa: Lidel. Retrieved from http://id.bnportugal.gov.pt/bib/bibnacional/1938223</w:t>
      </w:r>
    </w:p>
    <w:p w14:paraId="406F331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Schröer, C., Kruse, F., &amp; Gómez, J. M. (2021). A Systematic Literature Review on Applying CRISP-DM Process Model. </w:t>
      </w:r>
      <w:r w:rsidRPr="00132B17">
        <w:rPr>
          <w:rFonts w:ascii="NewsGotT" w:hAnsi="NewsGotT"/>
          <w:i/>
          <w:iCs/>
          <w:noProof/>
        </w:rPr>
        <w:t>Procedia Computer Science</w:t>
      </w:r>
      <w:r w:rsidRPr="00132B17">
        <w:rPr>
          <w:rFonts w:ascii="NewsGotT" w:hAnsi="NewsGotT"/>
          <w:noProof/>
        </w:rPr>
        <w:t xml:space="preserve">, </w:t>
      </w:r>
      <w:r w:rsidRPr="00132B17">
        <w:rPr>
          <w:rFonts w:ascii="NewsGotT" w:hAnsi="NewsGotT"/>
          <w:i/>
          <w:iCs/>
          <w:noProof/>
        </w:rPr>
        <w:t>181</w:t>
      </w:r>
      <w:r w:rsidRPr="00132B17">
        <w:rPr>
          <w:rFonts w:ascii="NewsGotT" w:hAnsi="NewsGotT"/>
          <w:noProof/>
        </w:rPr>
        <w:t>(2019), 526–534. https://doi.org/10.1016/j.procs.2021.01.199</w:t>
      </w:r>
    </w:p>
    <w:p w14:paraId="05083ED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Shen, W. W. (1999). A history of antipsychotic drug development. </w:t>
      </w:r>
      <w:r w:rsidRPr="00132B17">
        <w:rPr>
          <w:rFonts w:ascii="NewsGotT" w:hAnsi="NewsGotT"/>
          <w:i/>
          <w:iCs/>
          <w:noProof/>
        </w:rPr>
        <w:t>Comprehensive Psychiatry</w:t>
      </w:r>
      <w:r w:rsidRPr="00132B17">
        <w:rPr>
          <w:rFonts w:ascii="NewsGotT" w:hAnsi="NewsGotT"/>
          <w:noProof/>
        </w:rPr>
        <w:t xml:space="preserve">, </w:t>
      </w:r>
      <w:r w:rsidRPr="00132B17">
        <w:rPr>
          <w:rFonts w:ascii="NewsGotT" w:hAnsi="NewsGotT"/>
          <w:i/>
          <w:iCs/>
          <w:noProof/>
        </w:rPr>
        <w:t>40</w:t>
      </w:r>
      <w:r w:rsidRPr="00132B17">
        <w:rPr>
          <w:rFonts w:ascii="NewsGotT" w:hAnsi="NewsGotT"/>
          <w:noProof/>
        </w:rPr>
        <w:t>(6), 407–414. https://doi.org/10.1016/S0010-440X(99)90082-2</w:t>
      </w:r>
    </w:p>
    <w:p w14:paraId="28609CF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Siddiqi, N., House, A. O., &amp; Holmes, J. D. (2006). Occurrence and outcome of delirium in medical in-patients: A systematic literature review. </w:t>
      </w:r>
      <w:r w:rsidRPr="00132B17">
        <w:rPr>
          <w:rFonts w:ascii="NewsGotT" w:hAnsi="NewsGotT"/>
          <w:i/>
          <w:iCs/>
          <w:noProof/>
        </w:rPr>
        <w:t>Age and Ageing</w:t>
      </w:r>
      <w:r w:rsidRPr="00132B17">
        <w:rPr>
          <w:rFonts w:ascii="NewsGotT" w:hAnsi="NewsGotT"/>
          <w:noProof/>
        </w:rPr>
        <w:t xml:space="preserve">, </w:t>
      </w:r>
      <w:r w:rsidRPr="00132B17">
        <w:rPr>
          <w:rFonts w:ascii="NewsGotT" w:hAnsi="NewsGotT"/>
          <w:i/>
          <w:iCs/>
          <w:noProof/>
        </w:rPr>
        <w:t>35</w:t>
      </w:r>
      <w:r w:rsidRPr="00132B17">
        <w:rPr>
          <w:rFonts w:ascii="NewsGotT" w:hAnsi="NewsGotT"/>
          <w:noProof/>
        </w:rPr>
        <w:t>(4), 350–364. https://doi.org/10.1093/ageing/afl005</w:t>
      </w:r>
    </w:p>
    <w:p w14:paraId="1D73AE0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Slooter, A. J. C., Otte, W. M., Devlin, J. W., Arora, R. C., Bleck, T. P., Claassen, J., … Stevens, R. D. (2020). Updated nomenclature of delirium and acute encephalopathy: statement of ten Societies. </w:t>
      </w:r>
      <w:r w:rsidRPr="00132B17">
        <w:rPr>
          <w:rFonts w:ascii="NewsGotT" w:hAnsi="NewsGotT"/>
          <w:i/>
          <w:iCs/>
          <w:noProof/>
        </w:rPr>
        <w:t>Intensive Care Medicine</w:t>
      </w:r>
      <w:r w:rsidRPr="00132B17">
        <w:rPr>
          <w:rFonts w:ascii="NewsGotT" w:hAnsi="NewsGotT"/>
          <w:noProof/>
        </w:rPr>
        <w:t xml:space="preserve">, </w:t>
      </w:r>
      <w:r w:rsidRPr="00132B17">
        <w:rPr>
          <w:rFonts w:ascii="NewsGotT" w:hAnsi="NewsGotT"/>
          <w:i/>
          <w:iCs/>
          <w:noProof/>
        </w:rPr>
        <w:t>46</w:t>
      </w:r>
      <w:r w:rsidRPr="00132B17">
        <w:rPr>
          <w:rFonts w:ascii="NewsGotT" w:hAnsi="NewsGotT"/>
          <w:noProof/>
        </w:rPr>
        <w:t>(5), 1020–1022. https://doi.org/10.1007/s00134-019-05907-4</w:t>
      </w:r>
    </w:p>
    <w:p w14:paraId="79E79EF3"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132B17">
        <w:rPr>
          <w:rFonts w:ascii="NewsGotT" w:hAnsi="NewsGotT"/>
          <w:i/>
          <w:iCs/>
          <w:noProof/>
        </w:rPr>
        <w:t>International Journal of Geriatric Psychiatry</w:t>
      </w:r>
      <w:r w:rsidRPr="00132B17">
        <w:rPr>
          <w:rFonts w:ascii="NewsGotT" w:hAnsi="NewsGotT"/>
          <w:noProof/>
        </w:rPr>
        <w:t xml:space="preserve">, </w:t>
      </w:r>
      <w:r w:rsidRPr="00132B17">
        <w:rPr>
          <w:rFonts w:ascii="NewsGotT" w:hAnsi="NewsGotT"/>
          <w:i/>
          <w:iCs/>
          <w:noProof/>
        </w:rPr>
        <w:t>32</w:t>
      </w:r>
      <w:r w:rsidRPr="00132B17">
        <w:rPr>
          <w:rFonts w:ascii="NewsGotT" w:hAnsi="NewsGotT"/>
          <w:noProof/>
        </w:rPr>
        <w:t>(4), 386–396. https://doi.org/10.1002/gps.4655</w:t>
      </w:r>
    </w:p>
    <w:p w14:paraId="45C9C5C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Souza, I. T., Wildner, D. P. da S., Gazdzichi, A. K., &amp; Nink, R. F. O. (2020). THE EVOLUTION OF </w:t>
      </w:r>
      <w:r w:rsidRPr="00132B17">
        <w:rPr>
          <w:rFonts w:ascii="NewsGotT" w:hAnsi="NewsGotT"/>
          <w:noProof/>
        </w:rPr>
        <w:lastRenderedPageBreak/>
        <w:t xml:space="preserve">PSYCHOPHARMACES IN THE TREATMENT OF DEPRESSION. </w:t>
      </w:r>
      <w:r w:rsidRPr="00132B17">
        <w:rPr>
          <w:rFonts w:ascii="NewsGotT" w:hAnsi="NewsGotT"/>
          <w:i/>
          <w:iCs/>
          <w:noProof/>
        </w:rPr>
        <w:t>Brazilian Journal of Surgery and Clinical Research – BJSCR</w:t>
      </w:r>
      <w:r w:rsidRPr="00132B17">
        <w:rPr>
          <w:rFonts w:ascii="NewsGotT" w:hAnsi="NewsGotT"/>
          <w:noProof/>
        </w:rPr>
        <w:t xml:space="preserve">, </w:t>
      </w:r>
      <w:r w:rsidRPr="00132B17">
        <w:rPr>
          <w:rFonts w:ascii="NewsGotT" w:hAnsi="NewsGotT"/>
          <w:i/>
          <w:iCs/>
          <w:noProof/>
        </w:rPr>
        <w:t>33</w:t>
      </w:r>
      <w:r w:rsidRPr="00132B17">
        <w:rPr>
          <w:rFonts w:ascii="NewsGotT" w:hAnsi="NewsGotT"/>
          <w:noProof/>
        </w:rPr>
        <w:t>(2), 109–114. Retrieved from http://www.mastereditora.com.br/bjscr</w:t>
      </w:r>
    </w:p>
    <w:p w14:paraId="68B4C2D9"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Stahl, S. M., Grady, M. M., Moret, C., &amp; Briley, M. (2005). SNRIs: The Pharmacology, Clinical Efficacy, and Tolerability in Comparison with Other Classes of Antidepressants. </w:t>
      </w:r>
      <w:r w:rsidRPr="00132B17">
        <w:rPr>
          <w:rFonts w:ascii="NewsGotT" w:hAnsi="NewsGotT"/>
          <w:i/>
          <w:iCs/>
          <w:noProof/>
        </w:rPr>
        <w:t>CNS Spectrums</w:t>
      </w:r>
      <w:r w:rsidRPr="00132B17">
        <w:rPr>
          <w:rFonts w:ascii="NewsGotT" w:hAnsi="NewsGotT"/>
          <w:noProof/>
        </w:rPr>
        <w:t xml:space="preserve">, </w:t>
      </w:r>
      <w:r w:rsidRPr="00132B17">
        <w:rPr>
          <w:rFonts w:ascii="NewsGotT" w:hAnsi="NewsGotT"/>
          <w:i/>
          <w:iCs/>
          <w:noProof/>
        </w:rPr>
        <w:t>10</w:t>
      </w:r>
      <w:r w:rsidRPr="00132B17">
        <w:rPr>
          <w:rFonts w:ascii="NewsGotT" w:hAnsi="NewsGotT"/>
          <w:noProof/>
        </w:rPr>
        <w:t>(9), 732–747. https://doi.org/10.1017/S1092852900019726</w:t>
      </w:r>
    </w:p>
    <w:p w14:paraId="79A3E61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Stewart, J., Sprivulis, P., &amp; Dwivedi, G. (2018). Artificial intelligence and machine learning in emergency medicine. </w:t>
      </w:r>
      <w:r w:rsidRPr="00132B17">
        <w:rPr>
          <w:rFonts w:ascii="NewsGotT" w:hAnsi="NewsGotT"/>
          <w:i/>
          <w:iCs/>
          <w:noProof/>
        </w:rPr>
        <w:t>EMA - Emergency Medicine Australasia</w:t>
      </w:r>
      <w:r w:rsidRPr="00132B17">
        <w:rPr>
          <w:rFonts w:ascii="NewsGotT" w:hAnsi="NewsGotT"/>
          <w:noProof/>
        </w:rPr>
        <w:t xml:space="preserve">, </w:t>
      </w:r>
      <w:r w:rsidRPr="00132B17">
        <w:rPr>
          <w:rFonts w:ascii="NewsGotT" w:hAnsi="NewsGotT"/>
          <w:i/>
          <w:iCs/>
          <w:noProof/>
        </w:rPr>
        <w:t>30</w:t>
      </w:r>
      <w:r w:rsidRPr="00132B17">
        <w:rPr>
          <w:rFonts w:ascii="NewsGotT" w:hAnsi="NewsGotT"/>
          <w:noProof/>
        </w:rPr>
        <w:t>(6), 870–874. https://doi.org/10.1111/1742-6723.13145</w:t>
      </w:r>
    </w:p>
    <w:p w14:paraId="1FBE9902"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Stoltzfus, J. C. (2011). Logistic regression: A brief primer. </w:t>
      </w:r>
      <w:r w:rsidRPr="00132B17">
        <w:rPr>
          <w:rFonts w:ascii="NewsGotT" w:hAnsi="NewsGotT"/>
          <w:i/>
          <w:iCs/>
          <w:noProof/>
        </w:rPr>
        <w:t>Academic Emergency Medicine</w:t>
      </w:r>
      <w:r w:rsidRPr="00132B17">
        <w:rPr>
          <w:rFonts w:ascii="NewsGotT" w:hAnsi="NewsGotT"/>
          <w:noProof/>
        </w:rPr>
        <w:t xml:space="preserve">, </w:t>
      </w:r>
      <w:r w:rsidRPr="00132B17">
        <w:rPr>
          <w:rFonts w:ascii="NewsGotT" w:hAnsi="NewsGotT"/>
          <w:i/>
          <w:iCs/>
          <w:noProof/>
        </w:rPr>
        <w:t>18</w:t>
      </w:r>
      <w:r w:rsidRPr="00132B17">
        <w:rPr>
          <w:rFonts w:ascii="NewsGotT" w:hAnsi="NewsGotT"/>
          <w:noProof/>
        </w:rPr>
        <w:t>(10), 1099–1104. https://doi.org/10.1111/j.1553-2712.2011.01185.x</w:t>
      </w:r>
    </w:p>
    <w:p w14:paraId="6E00B26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Swart, L. M., van der Zanden, V., Spies, P. E., de Rooij, S. E., &amp; van Munster, B. C. (2017). The Comparative Risk of Delirium with Different Opioids: A Systematic Review. </w:t>
      </w:r>
      <w:r w:rsidRPr="00132B17">
        <w:rPr>
          <w:rFonts w:ascii="NewsGotT" w:hAnsi="NewsGotT"/>
          <w:i/>
          <w:iCs/>
          <w:noProof/>
        </w:rPr>
        <w:t>Drugs &amp; Aging</w:t>
      </w:r>
      <w:r w:rsidRPr="00132B17">
        <w:rPr>
          <w:rFonts w:ascii="NewsGotT" w:hAnsi="NewsGotT"/>
          <w:noProof/>
        </w:rPr>
        <w:t xml:space="preserve">, </w:t>
      </w:r>
      <w:r w:rsidRPr="00132B17">
        <w:rPr>
          <w:rFonts w:ascii="NewsGotT" w:hAnsi="NewsGotT"/>
          <w:i/>
          <w:iCs/>
          <w:noProof/>
        </w:rPr>
        <w:t>34</w:t>
      </w:r>
      <w:r w:rsidRPr="00132B17">
        <w:rPr>
          <w:rFonts w:ascii="NewsGotT" w:hAnsi="NewsGotT"/>
          <w:noProof/>
        </w:rPr>
        <w:t>(6), 437–443. https://doi.org/10.1007/s40266-017-0455-9</w:t>
      </w:r>
    </w:p>
    <w:p w14:paraId="2BC9CB2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Taylor, R. A., &amp; Haimovich, A. D. (2021). Machine Learning in Emergency Medicine: Keys to Future Success. </w:t>
      </w:r>
      <w:r w:rsidRPr="00132B17">
        <w:rPr>
          <w:rFonts w:ascii="NewsGotT" w:hAnsi="NewsGotT"/>
          <w:i/>
          <w:iCs/>
          <w:noProof/>
        </w:rPr>
        <w:t>Academic Emergency Medicine</w:t>
      </w:r>
      <w:r w:rsidRPr="00132B17">
        <w:rPr>
          <w:rFonts w:ascii="NewsGotT" w:hAnsi="NewsGotT"/>
          <w:noProof/>
        </w:rPr>
        <w:t xml:space="preserve">, </w:t>
      </w:r>
      <w:r w:rsidRPr="00132B17">
        <w:rPr>
          <w:rFonts w:ascii="NewsGotT" w:hAnsi="NewsGotT"/>
          <w:i/>
          <w:iCs/>
          <w:noProof/>
        </w:rPr>
        <w:t>28</w:t>
      </w:r>
      <w:r w:rsidRPr="00132B17">
        <w:rPr>
          <w:rFonts w:ascii="NewsGotT" w:hAnsi="NewsGotT"/>
          <w:noProof/>
        </w:rPr>
        <w:t>(2), 263–267. https://doi.org/10.1111/acem.14189</w:t>
      </w:r>
    </w:p>
    <w:p w14:paraId="7782680F"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Telles-Correia, D., Guerreiro, D. F., Oliveira, S., &amp; Figueira, M. L. (2007). Diferenças farmacodinâmicas e farmacocinéticas entre os SSRI: Implicações na prática clínica. </w:t>
      </w:r>
      <w:r w:rsidRPr="00132B17">
        <w:rPr>
          <w:rFonts w:ascii="NewsGotT" w:hAnsi="NewsGotT"/>
          <w:i/>
          <w:iCs/>
          <w:noProof/>
        </w:rPr>
        <w:t>Acta Medica Portuguesa</w:t>
      </w:r>
      <w:r w:rsidRPr="00132B17">
        <w:rPr>
          <w:rFonts w:ascii="NewsGotT" w:hAnsi="NewsGotT"/>
          <w:noProof/>
        </w:rPr>
        <w:t xml:space="preserve">, </w:t>
      </w:r>
      <w:r w:rsidRPr="00132B17">
        <w:rPr>
          <w:rFonts w:ascii="NewsGotT" w:hAnsi="NewsGotT"/>
          <w:i/>
          <w:iCs/>
          <w:noProof/>
        </w:rPr>
        <w:t>20</w:t>
      </w:r>
      <w:r w:rsidRPr="00132B17">
        <w:rPr>
          <w:rFonts w:ascii="NewsGotT" w:hAnsi="NewsGotT"/>
          <w:noProof/>
        </w:rPr>
        <w:t>(2), 167–174.</w:t>
      </w:r>
    </w:p>
    <w:p w14:paraId="60DEF4B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Thom, R. P., Levy-Carrick, N. C., Bui, M., &amp; Silbersweig, D. (2019). Delirium. </w:t>
      </w:r>
      <w:r w:rsidRPr="00132B17">
        <w:rPr>
          <w:rFonts w:ascii="NewsGotT" w:hAnsi="NewsGotT"/>
          <w:i/>
          <w:iCs/>
          <w:noProof/>
        </w:rPr>
        <w:t>American Journal of Psychiatry</w:t>
      </w:r>
      <w:r w:rsidRPr="00132B17">
        <w:rPr>
          <w:rFonts w:ascii="NewsGotT" w:hAnsi="NewsGotT"/>
          <w:noProof/>
        </w:rPr>
        <w:t xml:space="preserve">, </w:t>
      </w:r>
      <w:r w:rsidRPr="00132B17">
        <w:rPr>
          <w:rFonts w:ascii="NewsGotT" w:hAnsi="NewsGotT"/>
          <w:i/>
          <w:iCs/>
          <w:noProof/>
        </w:rPr>
        <w:t>176</w:t>
      </w:r>
      <w:r w:rsidRPr="00132B17">
        <w:rPr>
          <w:rFonts w:ascii="NewsGotT" w:hAnsi="NewsGotT"/>
          <w:noProof/>
        </w:rPr>
        <w:t>(10), 785–793. https://doi.org/10.1176/appi.ajp.2018.18070893</w:t>
      </w:r>
    </w:p>
    <w:p w14:paraId="645E243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32B17">
        <w:rPr>
          <w:rFonts w:ascii="NewsGotT" w:hAnsi="NewsGotT"/>
          <w:i/>
          <w:iCs/>
          <w:noProof/>
        </w:rPr>
        <w:t>BMJ (Online)</w:t>
      </w:r>
      <w:r w:rsidRPr="00132B17">
        <w:rPr>
          <w:rFonts w:ascii="NewsGotT" w:hAnsi="NewsGotT"/>
          <w:noProof/>
        </w:rPr>
        <w:t xml:space="preserve">, </w:t>
      </w:r>
      <w:r w:rsidRPr="00132B17">
        <w:rPr>
          <w:rFonts w:ascii="NewsGotT" w:hAnsi="NewsGotT"/>
          <w:i/>
          <w:iCs/>
          <w:noProof/>
        </w:rPr>
        <w:t>344</w:t>
      </w:r>
      <w:r w:rsidRPr="00132B17">
        <w:rPr>
          <w:rFonts w:ascii="NewsGotT" w:hAnsi="NewsGotT"/>
          <w:noProof/>
        </w:rPr>
        <w:t>(7845), 17. https://doi.org/10.1136/bmj.e420</w:t>
      </w:r>
    </w:p>
    <w:p w14:paraId="0A9FF36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Van Eijk, M. M. J., Van Marum, R. J., Klijn, I. A. M., De Wit, N., Kesecioglu, J., &amp; Slooter, A. J. C. (2009). Comparison of delirium assessment tools in a mixed intensive care unit. </w:t>
      </w:r>
      <w:r w:rsidRPr="00132B17">
        <w:rPr>
          <w:rFonts w:ascii="NewsGotT" w:hAnsi="NewsGotT"/>
          <w:i/>
          <w:iCs/>
          <w:noProof/>
        </w:rPr>
        <w:t>Critical Care Medicine</w:t>
      </w:r>
      <w:r w:rsidRPr="00132B17">
        <w:rPr>
          <w:rFonts w:ascii="NewsGotT" w:hAnsi="NewsGotT"/>
          <w:noProof/>
        </w:rPr>
        <w:t xml:space="preserve">, </w:t>
      </w:r>
      <w:r w:rsidRPr="00132B17">
        <w:rPr>
          <w:rFonts w:ascii="NewsGotT" w:hAnsi="NewsGotT"/>
          <w:i/>
          <w:iCs/>
          <w:noProof/>
        </w:rPr>
        <w:t>37</w:t>
      </w:r>
      <w:r w:rsidRPr="00132B17">
        <w:rPr>
          <w:rFonts w:ascii="NewsGotT" w:hAnsi="NewsGotT"/>
          <w:noProof/>
        </w:rPr>
        <w:t>(6), 1881–1885. https://doi.org/10.1097/CCM.0b013e3181a00118</w:t>
      </w:r>
    </w:p>
    <w:p w14:paraId="35496A58"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Vapnik, V. N. (2000). </w:t>
      </w:r>
      <w:r w:rsidRPr="00132B17">
        <w:rPr>
          <w:rFonts w:ascii="NewsGotT" w:hAnsi="NewsGotT"/>
          <w:i/>
          <w:iCs/>
          <w:noProof/>
        </w:rPr>
        <w:t>The Nature of Statistical Learning Theory</w:t>
      </w:r>
      <w:r w:rsidRPr="00132B17">
        <w:rPr>
          <w:rFonts w:ascii="NewsGotT" w:hAnsi="NewsGotT"/>
          <w:noProof/>
        </w:rPr>
        <w:t xml:space="preserve">. </w:t>
      </w:r>
      <w:r w:rsidRPr="00132B17">
        <w:rPr>
          <w:rFonts w:ascii="NewsGotT" w:hAnsi="NewsGotT"/>
          <w:i/>
          <w:iCs/>
          <w:noProof/>
        </w:rPr>
        <w:t>Statistics for Engineering and Information Science</w:t>
      </w:r>
      <w:r w:rsidRPr="00132B17">
        <w:rPr>
          <w:rFonts w:ascii="NewsGotT" w:hAnsi="NewsGotT"/>
          <w:noProof/>
        </w:rPr>
        <w:t xml:space="preserve"> (2nd ed.). Springer New York. Retrieved from https://ci.nii.ac.jp/naid/10020951890</w:t>
      </w:r>
    </w:p>
    <w:p w14:paraId="5C818716"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32B17">
        <w:rPr>
          <w:rFonts w:ascii="NewsGotT" w:hAnsi="NewsGotT"/>
          <w:i/>
          <w:iCs/>
          <w:noProof/>
        </w:rPr>
        <w:t>Nutrition</w:t>
      </w:r>
      <w:r w:rsidRPr="00132B17">
        <w:rPr>
          <w:rFonts w:ascii="NewsGotT" w:hAnsi="NewsGotT"/>
          <w:noProof/>
        </w:rPr>
        <w:t xml:space="preserve">, </w:t>
      </w:r>
      <w:r w:rsidRPr="00132B17">
        <w:rPr>
          <w:rFonts w:ascii="NewsGotT" w:hAnsi="NewsGotT"/>
          <w:i/>
          <w:iCs/>
          <w:noProof/>
        </w:rPr>
        <w:t>66</w:t>
      </w:r>
      <w:r w:rsidRPr="00132B17">
        <w:rPr>
          <w:rFonts w:ascii="NewsGotT" w:hAnsi="NewsGotT"/>
          <w:noProof/>
        </w:rPr>
        <w:t>, 227–232. https://doi.org/10.1016/j.nut.2019.06.006</w:t>
      </w:r>
    </w:p>
    <w:p w14:paraId="70283E0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Vellido, A. (2020). The importance of interpretability and visualization in machine learning for applications in medicine and health care. </w:t>
      </w:r>
      <w:r w:rsidRPr="00132B17">
        <w:rPr>
          <w:rFonts w:ascii="NewsGotT" w:hAnsi="NewsGotT"/>
          <w:i/>
          <w:iCs/>
          <w:noProof/>
        </w:rPr>
        <w:t>Neural Computing and Applications</w:t>
      </w:r>
      <w:r w:rsidRPr="00132B17">
        <w:rPr>
          <w:rFonts w:ascii="NewsGotT" w:hAnsi="NewsGotT"/>
          <w:noProof/>
        </w:rPr>
        <w:t xml:space="preserve">, </w:t>
      </w:r>
      <w:r w:rsidRPr="00132B17">
        <w:rPr>
          <w:rFonts w:ascii="NewsGotT" w:hAnsi="NewsGotT"/>
          <w:i/>
          <w:iCs/>
          <w:noProof/>
        </w:rPr>
        <w:t>32</w:t>
      </w:r>
      <w:r w:rsidRPr="00132B17">
        <w:rPr>
          <w:rFonts w:ascii="NewsGotT" w:hAnsi="NewsGotT"/>
          <w:noProof/>
        </w:rPr>
        <w:t>(24), 18069–18083. https://doi.org/10.1007/s00521-019-04051-w</w:t>
      </w:r>
    </w:p>
    <w:p w14:paraId="52E0164A"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Wang, H. R., Woo, Y. S., &amp; Bahk, W.-M. (2013). Atypical antipsychotics in the treatment of delirium. </w:t>
      </w:r>
      <w:r w:rsidRPr="00132B17">
        <w:rPr>
          <w:rFonts w:ascii="NewsGotT" w:hAnsi="NewsGotT"/>
          <w:i/>
          <w:iCs/>
          <w:noProof/>
        </w:rPr>
        <w:t>Psychiatry and Clinical Neurosciences</w:t>
      </w:r>
      <w:r w:rsidRPr="00132B17">
        <w:rPr>
          <w:rFonts w:ascii="NewsGotT" w:hAnsi="NewsGotT"/>
          <w:noProof/>
        </w:rPr>
        <w:t xml:space="preserve">, </w:t>
      </w:r>
      <w:r w:rsidRPr="00132B17">
        <w:rPr>
          <w:rFonts w:ascii="NewsGotT" w:hAnsi="NewsGotT"/>
          <w:i/>
          <w:iCs/>
          <w:noProof/>
        </w:rPr>
        <w:t>67</w:t>
      </w:r>
      <w:r w:rsidRPr="00132B17">
        <w:rPr>
          <w:rFonts w:ascii="NewsGotT" w:hAnsi="NewsGotT"/>
          <w:noProof/>
        </w:rPr>
        <w:t>(5), 323–331. https://doi.org/10.1111/pcn.12066</w:t>
      </w:r>
    </w:p>
    <w:p w14:paraId="79C3F20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Wassenaar, A., Van Den Boogaard, M., Schoonhoven, L., Donders, R., &amp; Pickkers, P. (2017). Delirium prediction in the intensive care unit: Head to head comparison of two delirium prediction models. </w:t>
      </w:r>
      <w:r w:rsidRPr="00132B17">
        <w:rPr>
          <w:rFonts w:ascii="NewsGotT" w:hAnsi="NewsGotT"/>
          <w:i/>
          <w:iCs/>
          <w:noProof/>
        </w:rPr>
        <w:t>Intensive Care Medicine Experimental</w:t>
      </w:r>
      <w:r w:rsidRPr="00132B17">
        <w:rPr>
          <w:rFonts w:ascii="NewsGotT" w:hAnsi="NewsGotT"/>
          <w:noProof/>
        </w:rPr>
        <w:t xml:space="preserve">, </w:t>
      </w:r>
      <w:r w:rsidRPr="00132B17">
        <w:rPr>
          <w:rFonts w:ascii="NewsGotT" w:hAnsi="NewsGotT"/>
          <w:i/>
          <w:iCs/>
          <w:noProof/>
        </w:rPr>
        <w:t>5</w:t>
      </w:r>
      <w:r w:rsidRPr="00132B17">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D287B30"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lastRenderedPageBreak/>
        <w:t xml:space="preserve">Wassenaar, A., van den Boogaard, M., van Achterberg, T., Slooter, A. J. C., Kuiper, M. A., Hoogendoorn, M. E., … Pickkers, P. (2015). Multinational development and validation of an early prediction model for delirium in ICU patients. </w:t>
      </w:r>
      <w:r w:rsidRPr="00132B17">
        <w:rPr>
          <w:rFonts w:ascii="NewsGotT" w:hAnsi="NewsGotT"/>
          <w:i/>
          <w:iCs/>
          <w:noProof/>
        </w:rPr>
        <w:t>Intensive Care Medicine</w:t>
      </w:r>
      <w:r w:rsidRPr="00132B17">
        <w:rPr>
          <w:rFonts w:ascii="NewsGotT" w:hAnsi="NewsGotT"/>
          <w:noProof/>
        </w:rPr>
        <w:t xml:space="preserve">, </w:t>
      </w:r>
      <w:r w:rsidRPr="00132B17">
        <w:rPr>
          <w:rFonts w:ascii="NewsGotT" w:hAnsi="NewsGotT"/>
          <w:i/>
          <w:iCs/>
          <w:noProof/>
        </w:rPr>
        <w:t>41</w:t>
      </w:r>
      <w:r w:rsidRPr="00132B17">
        <w:rPr>
          <w:rFonts w:ascii="NewsGotT" w:hAnsi="NewsGotT"/>
          <w:noProof/>
        </w:rPr>
        <w:t>(6), 1048–1056. https://doi.org/10.1007/s00134-015-3777-2</w:t>
      </w:r>
    </w:p>
    <w:p w14:paraId="450AC477"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Wilson, J. E., Mart, M. F., Cunningham, C., Shehabi, Y., Girard, T. D., MacLullich, A. M. J., … Ely, E. W. (2020). Delirium. </w:t>
      </w:r>
      <w:r w:rsidRPr="00132B17">
        <w:rPr>
          <w:rFonts w:ascii="NewsGotT" w:hAnsi="NewsGotT"/>
          <w:i/>
          <w:iCs/>
          <w:noProof/>
        </w:rPr>
        <w:t>Nature Reviews Disease Primers</w:t>
      </w:r>
      <w:r w:rsidRPr="00132B17">
        <w:rPr>
          <w:rFonts w:ascii="NewsGotT" w:hAnsi="NewsGotT"/>
          <w:noProof/>
        </w:rPr>
        <w:t xml:space="preserve">, </w:t>
      </w:r>
      <w:r w:rsidRPr="00132B17">
        <w:rPr>
          <w:rFonts w:ascii="NewsGotT" w:hAnsi="NewsGotT"/>
          <w:i/>
          <w:iCs/>
          <w:noProof/>
        </w:rPr>
        <w:t>6</w:t>
      </w:r>
      <w:r w:rsidRPr="00132B17">
        <w:rPr>
          <w:rFonts w:ascii="NewsGotT" w:hAnsi="NewsGotT"/>
          <w:noProof/>
        </w:rPr>
        <w:t>(1), 90. https://doi.org/10.1038/s41572-020-00223-4</w:t>
      </w:r>
    </w:p>
    <w:p w14:paraId="491FF5F4"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Wilson, K., Broadhurst, C., Diver, M., Jackson, M., &amp; Mottram, P. (2005). Plasma insulin growth factor - 1 and incident delirium in older people. </w:t>
      </w:r>
      <w:r w:rsidRPr="00132B17">
        <w:rPr>
          <w:rFonts w:ascii="NewsGotT" w:hAnsi="NewsGotT"/>
          <w:i/>
          <w:iCs/>
          <w:noProof/>
        </w:rPr>
        <w:t>International Journal of Geriatric Psychiatry</w:t>
      </w:r>
      <w:r w:rsidRPr="00132B17">
        <w:rPr>
          <w:rFonts w:ascii="NewsGotT" w:hAnsi="NewsGotT"/>
          <w:noProof/>
        </w:rPr>
        <w:t xml:space="preserve">, </w:t>
      </w:r>
      <w:r w:rsidRPr="00132B17">
        <w:rPr>
          <w:rFonts w:ascii="NewsGotT" w:hAnsi="NewsGotT"/>
          <w:i/>
          <w:iCs/>
          <w:noProof/>
        </w:rPr>
        <w:t>20</w:t>
      </w:r>
      <w:r w:rsidRPr="00132B17">
        <w:rPr>
          <w:rFonts w:ascii="NewsGotT" w:hAnsi="NewsGotT"/>
          <w:noProof/>
        </w:rPr>
        <w:t>(2), 154–159. https://doi.org/10.1002/gps.1265</w:t>
      </w:r>
    </w:p>
    <w:p w14:paraId="6A2B5A9E"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Wirth, R., &amp; Hipp, J. (2000). CRISP-DM</w:t>
      </w:r>
      <w:r w:rsidRPr="00132B17">
        <w:rPr>
          <w:noProof/>
        </w:rPr>
        <w:t> </w:t>
      </w:r>
      <w:r w:rsidRPr="00132B17">
        <w:rPr>
          <w:rFonts w:ascii="NewsGotT" w:hAnsi="NewsGotT"/>
          <w:noProof/>
        </w:rPr>
        <w:t xml:space="preserve">: Towards a Standard Process Model for Data Mining. </w:t>
      </w:r>
      <w:r w:rsidRPr="00132B17">
        <w:rPr>
          <w:rFonts w:ascii="NewsGotT" w:hAnsi="NewsGotT"/>
          <w:i/>
          <w:iCs/>
          <w:noProof/>
        </w:rPr>
        <w:t>Proceedings of the Fourth International Conference on the Practical Application of Knowledge Discovery and Data Mining</w:t>
      </w:r>
      <w:r w:rsidRPr="00132B17">
        <w:rPr>
          <w:rFonts w:ascii="NewsGotT" w:hAnsi="NewsGotT"/>
          <w:noProof/>
        </w:rPr>
        <w:t>, (24959), 29–39.</w:t>
      </w:r>
    </w:p>
    <w:p w14:paraId="1C405C7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132B17">
        <w:rPr>
          <w:rFonts w:ascii="NewsGotT" w:hAnsi="NewsGotT"/>
          <w:i/>
          <w:iCs/>
          <w:noProof/>
        </w:rPr>
        <w:t>JAMA - Journal of the American Medical Association</w:t>
      </w:r>
      <w:r w:rsidRPr="00132B17">
        <w:rPr>
          <w:rFonts w:ascii="NewsGotT" w:hAnsi="NewsGotT"/>
          <w:noProof/>
        </w:rPr>
        <w:t xml:space="preserve">, </w:t>
      </w:r>
      <w:r w:rsidRPr="00132B17">
        <w:rPr>
          <w:rFonts w:ascii="NewsGotT" w:hAnsi="NewsGotT"/>
          <w:i/>
          <w:iCs/>
          <w:noProof/>
        </w:rPr>
        <w:t>304</w:t>
      </w:r>
      <w:r w:rsidRPr="00132B17">
        <w:rPr>
          <w:rFonts w:ascii="NewsGotT" w:hAnsi="NewsGotT"/>
          <w:noProof/>
        </w:rPr>
        <w:t>(4), 443–451. https://doi.org/10.1001/jama.2010.1013</w:t>
      </w:r>
    </w:p>
    <w:p w14:paraId="6C27AE0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32B17">
        <w:rPr>
          <w:rFonts w:ascii="NewsGotT" w:hAnsi="NewsGotT"/>
          <w:i/>
          <w:iCs/>
          <w:noProof/>
        </w:rPr>
        <w:t>JAMA Network Open</w:t>
      </w:r>
      <w:r w:rsidRPr="00132B17">
        <w:rPr>
          <w:rFonts w:ascii="NewsGotT" w:hAnsi="NewsGotT"/>
          <w:noProof/>
        </w:rPr>
        <w:t xml:space="preserve">, </w:t>
      </w:r>
      <w:r w:rsidRPr="00132B17">
        <w:rPr>
          <w:rFonts w:ascii="NewsGotT" w:hAnsi="NewsGotT"/>
          <w:i/>
          <w:iCs/>
          <w:noProof/>
        </w:rPr>
        <w:t>1</w:t>
      </w:r>
      <w:r w:rsidRPr="00132B17">
        <w:rPr>
          <w:rFonts w:ascii="NewsGotT" w:hAnsi="NewsGotT"/>
          <w:noProof/>
        </w:rPr>
        <w:t>(4), e181018. https://doi.org/10.1001/jamanetworkopen.2018.1018</w:t>
      </w:r>
    </w:p>
    <w:p w14:paraId="494CEF61"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Wong, C. L., Holroyd-Leduc, J., Simel, D. L., &amp; Straus, S. E. (2010). Does this patient have delirium?: value of bedside instruments. </w:t>
      </w:r>
      <w:r w:rsidRPr="00132B17">
        <w:rPr>
          <w:rFonts w:ascii="NewsGotT" w:hAnsi="NewsGotT"/>
          <w:i/>
          <w:iCs/>
          <w:noProof/>
        </w:rPr>
        <w:t>Jama</w:t>
      </w:r>
      <w:r w:rsidRPr="00132B17">
        <w:rPr>
          <w:rFonts w:ascii="NewsGotT" w:hAnsi="NewsGotT"/>
          <w:noProof/>
        </w:rPr>
        <w:t xml:space="preserve">, </w:t>
      </w:r>
      <w:r w:rsidRPr="00132B17">
        <w:rPr>
          <w:rFonts w:ascii="NewsGotT" w:hAnsi="NewsGotT"/>
          <w:i/>
          <w:iCs/>
          <w:noProof/>
        </w:rPr>
        <w:t>304</w:t>
      </w:r>
      <w:r w:rsidRPr="00132B17">
        <w:rPr>
          <w:rFonts w:ascii="NewsGotT" w:hAnsi="NewsGotT"/>
          <w:noProof/>
        </w:rPr>
        <w:t>(7), 779–786.</w:t>
      </w:r>
    </w:p>
    <w:p w14:paraId="2788412B"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Xia, H., Wang, C., Yan, L., Dong, X., &amp; Wang, Y. (2019). Machine Learning Based Medicine Distribution System. In </w:t>
      </w:r>
      <w:r w:rsidRPr="00132B17">
        <w:rPr>
          <w:rFonts w:ascii="NewsGotT" w:hAnsi="NewsGotT"/>
          <w:i/>
          <w:iCs/>
          <w:noProof/>
        </w:rPr>
        <w:t>Proceedings of the 2019 10th IEEE International Conference on Intelligent Data Acquisition and Advanced Computing Systems: Technology and Applications, IDAACS 2019</w:t>
      </w:r>
      <w:r w:rsidRPr="00132B17">
        <w:rPr>
          <w:rFonts w:ascii="NewsGotT" w:hAnsi="NewsGotT"/>
          <w:noProof/>
        </w:rPr>
        <w:t xml:space="preserve"> (Vol. 2, pp. 912–915). IEEE. https://doi.org/10.1109/IDAACS.2019.8924236</w:t>
      </w:r>
    </w:p>
    <w:p w14:paraId="3138DBCC"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132B17">
        <w:rPr>
          <w:rFonts w:ascii="NewsGotT" w:hAnsi="NewsGotT"/>
          <w:i/>
          <w:iCs/>
          <w:noProof/>
        </w:rPr>
        <w:t>JAMA Network Open</w:t>
      </w:r>
      <w:r w:rsidRPr="00132B17">
        <w:rPr>
          <w:rFonts w:ascii="NewsGotT" w:hAnsi="NewsGotT"/>
          <w:noProof/>
        </w:rPr>
        <w:t xml:space="preserve">, </w:t>
      </w:r>
      <w:r w:rsidRPr="00132B17">
        <w:rPr>
          <w:rFonts w:ascii="NewsGotT" w:hAnsi="NewsGotT"/>
          <w:i/>
          <w:iCs/>
          <w:noProof/>
        </w:rPr>
        <w:t>4</w:t>
      </w:r>
      <w:r w:rsidRPr="00132B17">
        <w:rPr>
          <w:rFonts w:ascii="NewsGotT" w:hAnsi="NewsGotT"/>
          <w:noProof/>
        </w:rPr>
        <w:t>(3), e212240. https://doi.org/10.1001/jamanetworkopen.2021.2240</w:t>
      </w:r>
    </w:p>
    <w:p w14:paraId="6D54FE65" w14:textId="77777777" w:rsidR="00132B17" w:rsidRPr="00132B17" w:rsidRDefault="00132B17" w:rsidP="00132B17">
      <w:pPr>
        <w:widowControl w:val="0"/>
        <w:autoSpaceDE w:val="0"/>
        <w:autoSpaceDN w:val="0"/>
        <w:adjustRightInd w:val="0"/>
        <w:ind w:left="480" w:hanging="480"/>
        <w:rPr>
          <w:rFonts w:ascii="NewsGotT" w:hAnsi="NewsGotT"/>
          <w:noProof/>
        </w:rPr>
      </w:pPr>
      <w:r w:rsidRPr="00132B17">
        <w:rPr>
          <w:rFonts w:ascii="NewsGotT" w:hAnsi="NewsGotT"/>
          <w:noProof/>
        </w:rPr>
        <w:t xml:space="preserve">Yanagihara, H., Kamo, K. I., Imori, S., &amp; Satoh, K. (2012). Bias-corrected AIC for selecting variables in multinomial logistic regression models. </w:t>
      </w:r>
      <w:r w:rsidRPr="00132B17">
        <w:rPr>
          <w:rFonts w:ascii="NewsGotT" w:hAnsi="NewsGotT"/>
          <w:i/>
          <w:iCs/>
          <w:noProof/>
        </w:rPr>
        <w:t>Linear Algebra and Its Applications</w:t>
      </w:r>
      <w:r w:rsidRPr="00132B17">
        <w:rPr>
          <w:rFonts w:ascii="NewsGotT" w:hAnsi="NewsGotT"/>
          <w:noProof/>
        </w:rPr>
        <w:t xml:space="preserve">, </w:t>
      </w:r>
      <w:r w:rsidRPr="00132B17">
        <w:rPr>
          <w:rFonts w:ascii="NewsGotT" w:hAnsi="NewsGotT"/>
          <w:i/>
          <w:iCs/>
          <w:noProof/>
        </w:rPr>
        <w:t>436</w:t>
      </w:r>
      <w:r w:rsidRPr="00132B17">
        <w:rPr>
          <w:rFonts w:ascii="NewsGotT" w:hAnsi="NewsGotT"/>
          <w:noProof/>
        </w:rPr>
        <w:t>(11), 4329–4341. https://doi.org/10.1016/j.laa.2012.01.018</w:t>
      </w:r>
    </w:p>
    <w:p w14:paraId="4439A721" w14:textId="70B047FF" w:rsidR="00C75460" w:rsidRPr="00251D9A" w:rsidRDefault="00C75460" w:rsidP="00132B17">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8" w:name="_Hlk23718301"/>
      <w:bookmarkStart w:id="89"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0" w:name="_Ref68863761"/>
      <w:bookmarkStart w:id="91"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0"/>
      <w:bookmarkEnd w:id="9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2" w:name="_Ref68873954"/>
      <w:bookmarkStart w:id="93"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2"/>
      <w:bookmarkEnd w:id="9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7470F" w14:textId="77777777" w:rsidR="00AF46CA" w:rsidRDefault="00AF46CA" w:rsidP="00E21F02">
      <w:r>
        <w:separator/>
      </w:r>
    </w:p>
  </w:endnote>
  <w:endnote w:type="continuationSeparator" w:id="0">
    <w:p w14:paraId="678B0602" w14:textId="77777777" w:rsidR="00AF46CA" w:rsidRDefault="00AF46C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B2BFA" w14:textId="77777777" w:rsidR="00AF46CA" w:rsidRDefault="00AF46CA" w:rsidP="00E21F02">
      <w:r>
        <w:separator/>
      </w:r>
    </w:p>
  </w:footnote>
  <w:footnote w:type="continuationSeparator" w:id="0">
    <w:p w14:paraId="29481C78" w14:textId="77777777" w:rsidR="00AF46CA" w:rsidRDefault="00AF46C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6242"/>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5C90"/>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6CA"/>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95</Pages>
  <Words>120065</Words>
  <Characters>684376</Characters>
  <Application>Microsoft Office Word</Application>
  <DocSecurity>0</DocSecurity>
  <Lines>5703</Lines>
  <Paragraphs>1605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802836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480</cp:revision>
  <cp:lastPrinted>2019-11-17T02:46:00Z</cp:lastPrinted>
  <dcterms:created xsi:type="dcterms:W3CDTF">2021-05-06T15:41:00Z</dcterms:created>
  <dcterms:modified xsi:type="dcterms:W3CDTF">2021-07-30T18:09:00Z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