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medicação opióide</w:t>
      </w:r>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opióides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opióides,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2E060622"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w:t>
      </w:r>
      <w:proofErr w:type="spellStart"/>
      <w:r w:rsidRPr="001264D6">
        <w:rPr>
          <w:rFonts w:ascii="NewsGotT" w:hAnsi="NewsGotT"/>
          <w:lang w:val="pt-PT" w:eastAsia="x-none"/>
        </w:rPr>
        <w:t>individu</w:t>
      </w:r>
      <w:r w:rsidR="00005C8B">
        <w:rPr>
          <w:rFonts w:ascii="NewsGotT" w:hAnsi="NewsGotT"/>
          <w:lang w:val="pt-PT" w:eastAsia="x-none"/>
        </w:rPr>
        <w:t>o</w:t>
      </w:r>
      <w:r w:rsidRPr="001264D6">
        <w:rPr>
          <w:rFonts w:ascii="NewsGotT" w:hAnsi="NewsGotT"/>
          <w:lang w:val="pt-PT" w:eastAsia="x-none"/>
        </w:rPr>
        <w:t>s</w:t>
      </w:r>
      <w:proofErr w:type="spellEnd"/>
      <w:r w:rsidRPr="001264D6">
        <w:rPr>
          <w:rFonts w:ascii="NewsGotT" w:hAnsi="NewsGotT"/>
          <w:lang w:val="pt-PT" w:eastAsia="x-none"/>
        </w:rPr>
        <w:t xml:space="preserve">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w:t>
      </w:r>
      <w:r w:rsidR="0084260B" w:rsidRPr="00822603">
        <w:rPr>
          <w:rFonts w:ascii="NewsGotT" w:hAnsi="NewsGotT"/>
          <w:lang w:val="pt-PT" w:eastAsia="x-none"/>
        </w:rPr>
        <w:lastRenderedPageBreak/>
        <w:t xml:space="preserve">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Antiparkinsónicos</w:t>
            </w:r>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w:t>
      </w:r>
      <w:r w:rsidR="00974E9F">
        <w:rPr>
          <w:rFonts w:ascii="NewsGotT" w:hAnsi="NewsGotT"/>
          <w:lang w:val="pt-PT" w:eastAsia="x-none"/>
        </w:rPr>
        <w:lastRenderedPageBreak/>
        <w:t xml:space="preserve">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opióides.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w:t>
      </w:r>
      <w:r w:rsidR="00AB659C" w:rsidRPr="001264D6">
        <w:rPr>
          <w:rFonts w:ascii="NewsGotT" w:hAnsi="NewsGotT"/>
          <w:lang w:val="pt-PT" w:eastAsia="x-none"/>
        </w:rPr>
        <w:lastRenderedPageBreak/>
        <w:t xml:space="preserve">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lastRenderedPageBreak/>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 xml:space="preserve">erturbações </w:t>
            </w:r>
            <w:r w:rsidRPr="001264D6">
              <w:rPr>
                <w:rFonts w:ascii="NewsGotT" w:hAnsi="NewsGotT"/>
                <w:lang w:val="pt-PT" w:eastAsia="x-none"/>
              </w:rPr>
              <w:lastRenderedPageBreak/>
              <w:t>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lastRenderedPageBreak/>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w:t>
            </w:r>
            <w:r w:rsidRPr="001264D6">
              <w:rPr>
                <w:rFonts w:ascii="NewsGotT" w:hAnsi="NewsGotT"/>
                <w:lang w:val="pt-PT" w:eastAsia="x-none"/>
              </w:rPr>
              <w:lastRenderedPageBreak/>
              <w:t>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w:t>
      </w:r>
      <w:r w:rsidR="00CC781A" w:rsidRPr="001264D6">
        <w:rPr>
          <w:rFonts w:ascii="NewsGotT" w:hAnsi="NewsGotT"/>
          <w:lang w:val="pt-PT"/>
        </w:rPr>
        <w:lastRenderedPageBreak/>
        <w:t xml:space="preserve">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r w:rsidRPr="001264D6">
              <w:rPr>
                <w:rFonts w:ascii="NewsGotT" w:hAnsi="NewsGotT"/>
                <w:lang w:val="pt-PT"/>
              </w:rPr>
              <w:t>xerostomia</w:t>
            </w:r>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w:t>
      </w:r>
      <w:r w:rsidR="000118AD" w:rsidRPr="001264D6">
        <w:rPr>
          <w:rFonts w:ascii="NewsGotT" w:hAnsi="NewsGotT"/>
          <w:lang w:val="pt-PT"/>
        </w:rPr>
        <w:lastRenderedPageBreak/>
        <w:t xml:space="preserve">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xerostomia,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xerostomia</w:t>
            </w:r>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xerostomia</w:t>
            </w:r>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lastRenderedPageBreak/>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xerostomia</w:t>
            </w:r>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w:t>
            </w:r>
            <w:r w:rsidRPr="001264D6">
              <w:rPr>
                <w:rFonts w:ascii="NewsGotT" w:hAnsi="NewsGotT"/>
                <w:lang w:val="pt-PT"/>
              </w:rPr>
              <w:lastRenderedPageBreak/>
              <w:t xml:space="preserve">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lastRenderedPageBreak/>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w:t>
            </w:r>
            <w:r w:rsidRPr="001264D6">
              <w:rPr>
                <w:rFonts w:ascii="NewsGotT" w:hAnsi="NewsGotT"/>
                <w:lang w:val="pt-PT"/>
              </w:rPr>
              <w:lastRenderedPageBreak/>
              <w:t>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xerostomia</w:t>
            </w:r>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xerostomia,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w:t>
      </w:r>
      <w:r w:rsidR="003F0D3D" w:rsidRPr="001264D6">
        <w:rPr>
          <w:rFonts w:ascii="NewsGotT" w:hAnsi="NewsGotT"/>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recetores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r w:rsidR="0090704C" w:rsidRPr="001264D6">
        <w:rPr>
          <w:rFonts w:ascii="NewsGotT" w:hAnsi="NewsGotT"/>
          <w:lang w:val="pt-BR"/>
        </w:rPr>
        <w:lastRenderedPageBreak/>
        <w:t xml:space="preserve">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w:t>
            </w:r>
            <w:r w:rsidR="00132B17" w:rsidRPr="001264D6">
              <w:rPr>
                <w:rFonts w:ascii="NewsGotT" w:hAnsi="NewsGotT"/>
                <w:lang w:val="pt-BR"/>
              </w:rPr>
              <w:lastRenderedPageBreak/>
              <w:t xml:space="preserve">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w:t>
      </w:r>
      <w:r w:rsidRPr="001264D6">
        <w:rPr>
          <w:rFonts w:ascii="NewsGotT" w:hAnsi="NewsGotT"/>
          <w:lang w:val="pt-PT"/>
        </w:rPr>
        <w:lastRenderedPageBreak/>
        <w:t>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 xml:space="preserve">macos </w:t>
      </w:r>
      <w:r w:rsidRPr="001264D6">
        <w:rPr>
          <w:rFonts w:ascii="NewsGotT" w:hAnsi="NewsGotT"/>
          <w:lang w:val="pt-BR" w:eastAsia="x-none"/>
        </w:rPr>
        <w:lastRenderedPageBreak/>
        <w:t>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xml:space="preserve">, este efeito é </w:t>
      </w:r>
      <w:r w:rsidR="00470B54" w:rsidRPr="001264D6">
        <w:rPr>
          <w:rFonts w:ascii="NewsGotT" w:hAnsi="NewsGotT"/>
          <w:lang w:val="pt-BR" w:eastAsia="x-none"/>
        </w:rPr>
        <w:lastRenderedPageBreak/>
        <w:t>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lastRenderedPageBreak/>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6907C667"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8A751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rFonts w:ascii="NewsGotT" w:hAnsi="NewsGotT"/>
                <w:lang w:val="pt-BR" w:eastAsia="x-none"/>
              </w:rPr>
              <w:fldChar w:fldCharType="separate"/>
            </w:r>
            <w:r w:rsidR="00214145" w:rsidRPr="00214145">
              <w:rPr>
                <w:rFonts w:ascii="NewsGotT" w:hAnsi="NewsGotT"/>
                <w:noProof/>
                <w:lang w:val="pt-BR" w:eastAsia="x-none"/>
              </w:rPr>
              <w:t>(INFARMED, 2020d)</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xml:space="preserve">; </w:t>
            </w:r>
            <w:r>
              <w:rPr>
                <w:rFonts w:ascii="NewsGotT" w:hAnsi="NewsGotT"/>
                <w:lang w:val="pt-BR" w:eastAsia="x-none"/>
              </w:rPr>
              <w:lastRenderedPageBreak/>
              <w:t>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recetores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lastRenderedPageBreak/>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lastRenderedPageBreak/>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fotossensibilidade</w:t>
      </w:r>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21F785B3"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glaucoma nas suas várias formas,</w:t>
      </w:r>
      <w:r w:rsidR="00EF63EF" w:rsidRPr="00EF63EF">
        <w:rPr>
          <w:rFonts w:ascii="NewsGotT" w:hAnsi="NewsGotT"/>
          <w:lang w:val="pt-BR" w:eastAsia="x-none"/>
        </w:rPr>
        <w:t xml:space="preserve"> </w:t>
      </w:r>
      <w:r w:rsidR="00EF63EF" w:rsidRPr="00EF63EF">
        <w:rPr>
          <w:rFonts w:ascii="NewsGotT" w:hAnsi="NewsGotT"/>
          <w:lang w:val="pt-BR" w:eastAsia="x-none"/>
        </w:rPr>
        <w:t xml:space="preserve">na prevenção da hipertensão ocular no pós-operatório e na redução da pressão ocular em situações </w:t>
      </w:r>
      <w:proofErr w:type="spellStart"/>
      <w:r w:rsidR="00EF63EF" w:rsidRPr="00EF63EF">
        <w:rPr>
          <w:rFonts w:ascii="NewsGotT" w:hAnsi="NewsGotT"/>
          <w:lang w:val="pt-BR" w:eastAsia="x-none"/>
        </w:rPr>
        <w:t>refractárias</w:t>
      </w:r>
      <w:proofErr w:type="spellEnd"/>
      <w:r w:rsidR="00EF63EF" w:rsidRPr="00EF63EF">
        <w:rPr>
          <w:rFonts w:ascii="NewsGotT" w:hAnsi="NewsGotT"/>
          <w:lang w:val="pt-BR" w:eastAsia="x-none"/>
        </w:rPr>
        <w:t xml:space="preserve">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AB475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w:t>
      </w:r>
      <w:r w:rsidRPr="00EF63EF">
        <w:rPr>
          <w:rFonts w:ascii="NewsGotT" w:hAnsi="NewsGotT"/>
          <w:lang w:val="pt-BR" w:eastAsia="x-none"/>
        </w:rPr>
        <w:t>retração</w:t>
      </w:r>
      <w:r w:rsidRPr="00EF63EF">
        <w:rPr>
          <w:rFonts w:ascii="NewsGotT" w:hAnsi="NewsGotT"/>
          <w:lang w:val="pt-BR" w:eastAsia="x-none"/>
        </w:rPr>
        <w:t xml:space="preserve">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o 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r w:rsidRPr="001A7E44">
        <w:rPr>
          <w:rFonts w:ascii="NewsGotT" w:hAnsi="NewsGotT"/>
          <w:lang w:val="pt-PT" w:eastAsia="x-none"/>
        </w:rPr>
        <w:t>Anti-</w:t>
      </w:r>
      <w:r>
        <w:rPr>
          <w:rFonts w:ascii="NewsGotT" w:hAnsi="NewsGotT"/>
          <w:lang w:val="pt-PT" w:eastAsia="x-none"/>
        </w:rPr>
        <w:t xml:space="preserve">histamínicos </w:t>
      </w:r>
    </w:p>
    <w:p w14:paraId="7BC675A3" w14:textId="77777777" w:rsidR="00B30128" w:rsidRDefault="00B30128" w:rsidP="00444815">
      <w:pPr>
        <w:spacing w:line="360" w:lineRule="auto"/>
        <w:ind w:firstLine="720"/>
        <w:jc w:val="both"/>
        <w:rPr>
          <w:rFonts w:ascii="NewsGotT" w:hAnsi="NewsGotT"/>
          <w:lang w:val="pt-BR" w:eastAsia="x-none"/>
        </w:rPr>
      </w:pPr>
    </w:p>
    <w:p w14:paraId="2A53E95B" w14:textId="7B40CE1B" w:rsidR="00F36F40" w:rsidRDefault="00CD094E" w:rsidP="00F51A21">
      <w:pPr>
        <w:spacing w:line="360" w:lineRule="auto"/>
        <w:ind w:firstLine="720"/>
        <w:jc w:val="both"/>
        <w:rPr>
          <w:rFonts w:ascii="NewsGotT" w:hAnsi="NewsGotT"/>
          <w:lang w:val="pt-BR" w:eastAsia="x-none"/>
        </w:rPr>
      </w:pPr>
      <w:r>
        <w:rPr>
          <w:rFonts w:ascii="NewsGotT" w:hAnsi="NewsGotT"/>
          <w:lang w:val="pt-BR" w:eastAsia="x-none"/>
        </w:rPr>
        <w:t>No inicio do século XX</w:t>
      </w:r>
      <w:r w:rsidR="00DF2742">
        <w:rPr>
          <w:rFonts w:ascii="NewsGotT" w:hAnsi="NewsGotT"/>
          <w:lang w:val="pt-BR" w:eastAsia="x-none"/>
        </w:rPr>
        <w:t>, foram realizados</w:t>
      </w:r>
      <w:r w:rsidR="00CE4FF4" w:rsidRPr="00CE4FF4">
        <w:rPr>
          <w:rFonts w:ascii="NewsGotT" w:hAnsi="NewsGotT"/>
          <w:lang w:val="pt-BR" w:eastAsia="x-none"/>
        </w:rPr>
        <w:t xml:space="preserve"> estudos farmaco</w:t>
      </w:r>
      <w:r w:rsidR="00CE4FF4">
        <w:rPr>
          <w:rFonts w:ascii="NewsGotT" w:hAnsi="NewsGotT"/>
          <w:lang w:val="pt-BR" w:eastAsia="x-none"/>
        </w:rPr>
        <w:t>ló</w:t>
      </w:r>
      <w:r w:rsidR="00CE4FF4" w:rsidRPr="00CE4FF4">
        <w:rPr>
          <w:rFonts w:ascii="NewsGotT" w:hAnsi="NewsGotT"/>
          <w:lang w:val="pt-BR" w:eastAsia="x-none"/>
        </w:rPr>
        <w:t>gicos extensivos</w:t>
      </w:r>
      <w:r w:rsidR="00CE4FF4">
        <w:rPr>
          <w:rFonts w:ascii="NewsGotT" w:hAnsi="NewsGotT"/>
          <w:lang w:val="pt-BR" w:eastAsia="x-none"/>
        </w:rPr>
        <w:t xml:space="preserve"> </w:t>
      </w:r>
      <w:r w:rsidR="00BD18CB">
        <w:rPr>
          <w:rFonts w:ascii="NewsGotT" w:hAnsi="NewsGotT"/>
          <w:lang w:val="pt-BR" w:eastAsia="x-none"/>
        </w:rPr>
        <w:t>a um produto de putrefação da histidina</w:t>
      </w:r>
      <w:r w:rsidR="002247F2">
        <w:rPr>
          <w:rFonts w:ascii="NewsGotT" w:hAnsi="NewsGotT"/>
          <w:lang w:val="pt-BR" w:eastAsia="x-none"/>
        </w:rPr>
        <w:t>,</w:t>
      </w:r>
      <w:r w:rsidR="00CE4FF4" w:rsidRPr="00CE4FF4">
        <w:rPr>
          <w:rFonts w:ascii="NewsGotT" w:hAnsi="NewsGotT"/>
          <w:lang w:val="pt-BR" w:eastAsia="x-none"/>
        </w:rPr>
        <w:t xml:space="preserve"> e descobri</w:t>
      </w:r>
      <w:r w:rsidR="00DF2742">
        <w:rPr>
          <w:rFonts w:ascii="NewsGotT" w:hAnsi="NewsGotT"/>
          <w:lang w:val="pt-BR" w:eastAsia="x-none"/>
        </w:rPr>
        <w:t>u-se</w:t>
      </w:r>
      <w:r w:rsidR="00CE4FF4" w:rsidRPr="00CE4FF4">
        <w:rPr>
          <w:rFonts w:ascii="NewsGotT" w:hAnsi="NewsGotT"/>
          <w:lang w:val="pt-BR" w:eastAsia="x-none"/>
        </w:rPr>
        <w:t xml:space="preserve"> que</w:t>
      </w:r>
      <w:r w:rsidR="00CE4FF4">
        <w:rPr>
          <w:rFonts w:ascii="NewsGotT" w:hAnsi="NewsGotT"/>
          <w:lang w:val="pt-BR" w:eastAsia="x-none"/>
        </w:rPr>
        <w:t xml:space="preserve"> est</w:t>
      </w:r>
      <w:r w:rsidR="00972453">
        <w:rPr>
          <w:rFonts w:ascii="NewsGotT" w:hAnsi="NewsGotT"/>
          <w:lang w:val="pt-BR" w:eastAsia="x-none"/>
        </w:rPr>
        <w:t>e</w:t>
      </w:r>
      <w:r w:rsidR="00CE4FF4" w:rsidRPr="00CE4FF4">
        <w:rPr>
          <w:rFonts w:ascii="NewsGotT" w:hAnsi="NewsGotT"/>
          <w:lang w:val="pt-BR" w:eastAsia="x-none"/>
        </w:rPr>
        <w:t xml:space="preserve"> estimulava</w:t>
      </w:r>
      <w:r w:rsidR="00CE4FF4">
        <w:rPr>
          <w:rFonts w:ascii="NewsGotT" w:hAnsi="NewsGotT"/>
          <w:lang w:val="pt-BR" w:eastAsia="x-none"/>
        </w:rPr>
        <w:t xml:space="preserve"> vá</w:t>
      </w:r>
      <w:r w:rsidR="00CE4FF4" w:rsidRPr="00CE4FF4">
        <w:rPr>
          <w:rFonts w:ascii="NewsGotT" w:hAnsi="NewsGotT"/>
          <w:lang w:val="pt-BR" w:eastAsia="x-none"/>
        </w:rPr>
        <w:t xml:space="preserve">rios </w:t>
      </w:r>
      <w:r w:rsidR="00CE4FF4">
        <w:rPr>
          <w:rFonts w:ascii="NewsGotT" w:hAnsi="NewsGotT"/>
          <w:lang w:val="pt-BR" w:eastAsia="x-none"/>
        </w:rPr>
        <w:t>mús</w:t>
      </w:r>
      <w:r w:rsidR="00CE4FF4" w:rsidRPr="00CE4FF4">
        <w:rPr>
          <w:rFonts w:ascii="NewsGotT" w:hAnsi="NewsGotT"/>
          <w:lang w:val="pt-BR" w:eastAsia="x-none"/>
        </w:rPr>
        <w:t xml:space="preserve">culos lisos e tinha </w:t>
      </w:r>
      <w:r w:rsidR="00CE4FF4">
        <w:rPr>
          <w:rFonts w:ascii="NewsGotT" w:hAnsi="NewsGotT"/>
          <w:lang w:val="pt-BR" w:eastAsia="x-none"/>
        </w:rPr>
        <w:t>ação</w:t>
      </w:r>
      <w:r w:rsidR="00CE4FF4" w:rsidRPr="00CE4FF4">
        <w:rPr>
          <w:rFonts w:ascii="NewsGotT" w:hAnsi="NewsGotT"/>
          <w:lang w:val="pt-BR" w:eastAsia="x-none"/>
        </w:rPr>
        <w:t xml:space="preserve"> </w:t>
      </w:r>
      <w:proofErr w:type="spellStart"/>
      <w:r w:rsidR="00CE4FF4" w:rsidRPr="00CE4FF4">
        <w:rPr>
          <w:rFonts w:ascii="NewsGotT" w:hAnsi="NewsGotT"/>
          <w:lang w:val="pt-BR" w:eastAsia="x-none"/>
        </w:rPr>
        <w:t>vasodepressora</w:t>
      </w:r>
      <w:proofErr w:type="spellEnd"/>
      <w:r w:rsidR="00CE4FF4">
        <w:rPr>
          <w:rFonts w:ascii="NewsGotT" w:hAnsi="NewsGotT"/>
          <w:lang w:val="pt-BR" w:eastAsia="x-none"/>
        </w:rPr>
        <w:t xml:space="preserve"> intensa</w:t>
      </w:r>
      <w:r w:rsidR="00CE4FF4" w:rsidRPr="00CE4FF4">
        <w:rPr>
          <w:rFonts w:ascii="NewsGotT" w:hAnsi="NewsGotT"/>
          <w:lang w:val="pt-BR" w:eastAsia="x-none"/>
        </w:rPr>
        <w:t xml:space="preserve">. </w:t>
      </w:r>
      <w:r w:rsidR="00CE4FF4">
        <w:rPr>
          <w:rFonts w:ascii="NewsGotT" w:hAnsi="NewsGotT"/>
          <w:lang w:val="pt-BR" w:eastAsia="x-none"/>
        </w:rPr>
        <w:t>Em 19</w:t>
      </w:r>
      <w:r>
        <w:rPr>
          <w:rFonts w:ascii="NewsGotT" w:hAnsi="NewsGotT"/>
          <w:lang w:val="pt-BR" w:eastAsia="x-none"/>
        </w:rPr>
        <w:t>27</w:t>
      </w:r>
      <w:r w:rsidR="00CE4FF4">
        <w:rPr>
          <w:rFonts w:ascii="NewsGotT" w:hAnsi="NewsGotT"/>
          <w:lang w:val="pt-BR" w:eastAsia="x-none"/>
        </w:rPr>
        <w:t xml:space="preserve">, </w:t>
      </w:r>
      <w:r w:rsidR="002247F2">
        <w:rPr>
          <w:rFonts w:ascii="NewsGotT" w:hAnsi="NewsGotT"/>
          <w:lang w:val="pt-BR" w:eastAsia="x-none"/>
        </w:rPr>
        <w:t xml:space="preserve">este produto </w:t>
      </w:r>
      <w:r w:rsidR="00CE4FF4">
        <w:rPr>
          <w:rFonts w:ascii="NewsGotT" w:hAnsi="NewsGotT"/>
          <w:lang w:val="pt-BR" w:eastAsia="x-none"/>
        </w:rPr>
        <w:t>foi isolad</w:t>
      </w:r>
      <w:r w:rsidR="002247F2">
        <w:rPr>
          <w:rFonts w:ascii="NewsGotT" w:hAnsi="NewsGotT"/>
          <w:lang w:val="pt-BR" w:eastAsia="x-none"/>
        </w:rPr>
        <w:t>o</w:t>
      </w:r>
      <w:r w:rsidR="00CE4FF4">
        <w:rPr>
          <w:rFonts w:ascii="NewsGotT" w:hAnsi="NewsGotT"/>
          <w:lang w:val="pt-BR" w:eastAsia="x-none"/>
        </w:rPr>
        <w:t xml:space="preserve"> de amostras frescas de pulmão e fígado </w:t>
      </w:r>
      <w:r w:rsidR="00CE4FF4" w:rsidRPr="00CE4FF4">
        <w:rPr>
          <w:rFonts w:ascii="NewsGotT" w:hAnsi="NewsGotT"/>
          <w:lang w:val="pt-BR" w:eastAsia="x-none"/>
        </w:rPr>
        <w:t>e, des</w:t>
      </w:r>
      <w:r w:rsidR="002247F2">
        <w:rPr>
          <w:rFonts w:ascii="NewsGotT" w:hAnsi="NewsGotT"/>
          <w:lang w:val="pt-BR" w:eastAsia="x-none"/>
        </w:rPr>
        <w:t>t</w:t>
      </w:r>
      <w:r w:rsidR="00CE4FF4" w:rsidRPr="00CE4FF4">
        <w:rPr>
          <w:rFonts w:ascii="NewsGotT" w:hAnsi="NewsGotT"/>
          <w:lang w:val="pt-BR" w:eastAsia="x-none"/>
        </w:rPr>
        <w:t>e modo, demonstr</w:t>
      </w:r>
      <w:r w:rsidR="00972453">
        <w:rPr>
          <w:rFonts w:ascii="NewsGotT" w:hAnsi="NewsGotT"/>
          <w:lang w:val="pt-BR" w:eastAsia="x-none"/>
        </w:rPr>
        <w:t>ou-se</w:t>
      </w:r>
      <w:r w:rsidR="00CE4FF4" w:rsidRPr="00CE4FF4">
        <w:rPr>
          <w:rFonts w:ascii="NewsGotT" w:hAnsi="NewsGotT"/>
          <w:lang w:val="pt-BR" w:eastAsia="x-none"/>
        </w:rPr>
        <w:t xml:space="preserve"> que esta amina era</w:t>
      </w:r>
      <w:r w:rsidR="00CE4FF4">
        <w:rPr>
          <w:rFonts w:ascii="NewsGotT" w:hAnsi="NewsGotT"/>
          <w:lang w:val="pt-BR" w:eastAsia="x-none"/>
        </w:rPr>
        <w:t xml:space="preserve"> </w:t>
      </w:r>
      <w:r w:rsidR="00CE4FF4" w:rsidRPr="00CE4FF4">
        <w:rPr>
          <w:rFonts w:ascii="NewsGotT" w:hAnsi="NewsGotT"/>
          <w:lang w:val="pt-BR" w:eastAsia="x-none"/>
        </w:rPr>
        <w:t>um constituinte natural dos tecidos dos ma</w:t>
      </w:r>
      <w:r w:rsidR="00CE4FF4">
        <w:rPr>
          <w:rFonts w:ascii="NewsGotT" w:hAnsi="NewsGotT"/>
          <w:lang w:val="pt-BR" w:eastAsia="x-none"/>
        </w:rPr>
        <w:t>míf</w:t>
      </w:r>
      <w:r w:rsidR="00CE4FF4" w:rsidRPr="00CE4FF4">
        <w:rPr>
          <w:rFonts w:ascii="NewsGotT" w:hAnsi="NewsGotT"/>
          <w:lang w:val="pt-BR" w:eastAsia="x-none"/>
        </w:rPr>
        <w:t>eros, resultando na</w:t>
      </w:r>
      <w:r w:rsidR="00CE4FF4">
        <w:rPr>
          <w:rFonts w:ascii="NewsGotT" w:hAnsi="NewsGotT"/>
          <w:lang w:val="pt-BR" w:eastAsia="x-none"/>
        </w:rPr>
        <w:t xml:space="preserve"> </w:t>
      </w:r>
      <w:r w:rsidR="00CE4FF4" w:rsidRPr="00CE4FF4">
        <w:rPr>
          <w:rFonts w:ascii="NewsGotT" w:hAnsi="NewsGotT"/>
          <w:lang w:val="pt-BR" w:eastAsia="x-none"/>
        </w:rPr>
        <w:t>ad</w:t>
      </w:r>
      <w:r w:rsidR="00CE4FF4">
        <w:rPr>
          <w:rFonts w:ascii="NewsGotT" w:hAnsi="NewsGotT"/>
          <w:lang w:val="pt-BR" w:eastAsia="x-none"/>
        </w:rPr>
        <w:t>oção</w:t>
      </w:r>
      <w:r w:rsidR="00CE4FF4" w:rsidRPr="00CE4FF4">
        <w:rPr>
          <w:rFonts w:ascii="NewsGotT" w:hAnsi="NewsGotT"/>
          <w:lang w:val="pt-BR" w:eastAsia="x-none"/>
        </w:rPr>
        <w:t xml:space="preserve"> do termo histamina, que se origina da palavra grega </w:t>
      </w:r>
      <w:proofErr w:type="spellStart"/>
      <w:r w:rsidR="00CE4FF4" w:rsidRPr="00CE4FF4">
        <w:rPr>
          <w:rFonts w:ascii="NewsGotT" w:hAnsi="NewsGotT"/>
          <w:i/>
          <w:iCs/>
          <w:lang w:val="pt-BR" w:eastAsia="x-none"/>
        </w:rPr>
        <w:t>histos</w:t>
      </w:r>
      <w:proofErr w:type="spellEnd"/>
      <w:r w:rsidR="00CE4FF4">
        <w:rPr>
          <w:rFonts w:ascii="NewsGotT" w:hAnsi="NewsGotT"/>
          <w:lang w:val="pt-BR" w:eastAsia="x-none"/>
        </w:rPr>
        <w:t xml:space="preserve"> </w:t>
      </w:r>
      <w:r w:rsidR="00CE4FF4" w:rsidRPr="00CE4FF4">
        <w:rPr>
          <w:rFonts w:ascii="NewsGotT" w:hAnsi="NewsGotT"/>
          <w:lang w:val="pt-BR" w:eastAsia="x-none"/>
        </w:rPr>
        <w:t>(tecido)</w:t>
      </w:r>
      <w:r w:rsidR="00AB4754">
        <w:rPr>
          <w:rFonts w:ascii="NewsGotT" w:hAnsi="NewsGotT"/>
          <w:lang w:val="pt-BR" w:eastAsia="x-none"/>
        </w:rPr>
        <w:t xml:space="preserve"> </w:t>
      </w:r>
      <w:r w:rsidR="00AB4754">
        <w:rPr>
          <w:rFonts w:ascii="NewsGotT" w:hAnsi="NewsGotT"/>
          <w:lang w:val="pt-BR" w:eastAsia="x-none"/>
        </w:rPr>
        <w:fldChar w:fldCharType="begin" w:fldLock="1"/>
      </w:r>
      <w:r w:rsidR="0047012B">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rFonts w:ascii="NewsGotT" w:hAnsi="NewsGotT"/>
          <w:lang w:val="pt-BR" w:eastAsia="x-none"/>
        </w:rPr>
        <w:fldChar w:fldCharType="separate"/>
      </w:r>
      <w:r w:rsidR="00AB4754" w:rsidRPr="00AB4754">
        <w:rPr>
          <w:rFonts w:ascii="NewsGotT" w:hAnsi="NewsGotT"/>
          <w:noProof/>
          <w:lang w:val="pt-BR" w:eastAsia="x-none"/>
        </w:rPr>
        <w:t>(Brunton et al., 2011; Church &amp; Maurer, 2014)</w:t>
      </w:r>
      <w:r w:rsidR="00AB4754">
        <w:rPr>
          <w:rFonts w:ascii="NewsGotT" w:hAnsi="NewsGotT"/>
          <w:lang w:val="pt-BR" w:eastAsia="x-none"/>
        </w:rPr>
        <w:fldChar w:fldCharType="end"/>
      </w:r>
      <w:r w:rsidR="00CE4FF4" w:rsidRPr="00CE4FF4">
        <w:rPr>
          <w:rFonts w:ascii="NewsGotT" w:hAnsi="NewsGotT"/>
          <w:lang w:val="pt-BR" w:eastAsia="x-none"/>
        </w:rPr>
        <w:t>.</w:t>
      </w:r>
      <w:r w:rsidR="00F36F40">
        <w:rPr>
          <w:rFonts w:ascii="NewsGotT" w:hAnsi="NewsGotT"/>
          <w:lang w:val="pt-BR" w:eastAsia="x-none"/>
        </w:rPr>
        <w:t xml:space="preserve"> </w:t>
      </w:r>
      <w:r w:rsidR="00B01C78">
        <w:rPr>
          <w:rFonts w:ascii="NewsGotT" w:hAnsi="NewsGotT"/>
          <w:lang w:val="pt-BR" w:eastAsia="x-none"/>
        </w:rPr>
        <w:t xml:space="preserve">Esta descoberta incitou a que se iniciasse uma investigação na procura de uma substância que exercesse um antagonismo especifico em relação à histamina. </w:t>
      </w:r>
      <w:r w:rsidR="00A17525">
        <w:rPr>
          <w:rFonts w:ascii="NewsGotT" w:hAnsi="NewsGotT"/>
          <w:lang w:val="pt-BR" w:eastAsia="x-none"/>
        </w:rPr>
        <w:t xml:space="preserve">Consequentemente, no ano de 1937 surge a primeira substância com propriedades anti-histamínicas, a </w:t>
      </w:r>
      <w:proofErr w:type="spellStart"/>
      <w:r w:rsidR="00A17525" w:rsidRPr="00A17525">
        <w:rPr>
          <w:rFonts w:ascii="NewsGotT" w:hAnsi="NewsGotT"/>
          <w:lang w:val="pt-BR" w:eastAsia="x-none"/>
        </w:rPr>
        <w:t>timoxietildietilamina</w:t>
      </w:r>
      <w:proofErr w:type="spellEnd"/>
      <w:r w:rsidR="007F42EC">
        <w:rPr>
          <w:rFonts w:ascii="NewsGotT" w:hAnsi="NewsGotT"/>
          <w:lang w:val="pt-BR" w:eastAsia="x-none"/>
        </w:rPr>
        <w:t xml:space="preserve">, </w:t>
      </w:r>
      <w:r w:rsidR="006A1EF9">
        <w:rPr>
          <w:rFonts w:ascii="NewsGotT" w:hAnsi="NewsGotT"/>
          <w:lang w:val="pt-BR" w:eastAsia="x-none"/>
        </w:rPr>
        <w:t>tendo sido</w:t>
      </w:r>
      <w:r w:rsidR="00952ABF">
        <w:rPr>
          <w:rFonts w:ascii="NewsGotT" w:hAnsi="NewsGotT"/>
          <w:lang w:val="pt-BR" w:eastAsia="x-none"/>
        </w:rPr>
        <w:t xml:space="preserve"> a rampa de lançamento para o aparecimento de outras substâncias classificadas como anti-histamínicos de primeira geração</w:t>
      </w:r>
      <w:r w:rsidR="006A1EF9">
        <w:rPr>
          <w:rFonts w:ascii="NewsGotT" w:hAnsi="NewsGotT"/>
          <w:lang w:val="pt-BR" w:eastAsia="x-none"/>
        </w:rPr>
        <w:t xml:space="preserve"> (</w:t>
      </w:r>
      <w:r w:rsidR="00952ABF">
        <w:rPr>
          <w:rFonts w:ascii="NewsGotT" w:hAnsi="NewsGotT"/>
          <w:lang w:val="pt-BR" w:eastAsia="x-none"/>
        </w:rPr>
        <w:t>ou</w:t>
      </w:r>
      <w:r w:rsidR="006A1EF9">
        <w:rPr>
          <w:rFonts w:ascii="NewsGotT" w:hAnsi="NewsGotT"/>
          <w:lang w:val="pt-BR" w:eastAsia="x-none"/>
        </w:rPr>
        <w:t xml:space="preserve"> </w:t>
      </w:r>
      <w:r w:rsidR="006A1EF9">
        <w:rPr>
          <w:rFonts w:ascii="NewsGotT" w:hAnsi="NewsGotT"/>
          <w:lang w:val="pt-BR" w:eastAsia="x-none"/>
        </w:rPr>
        <w:t>anti-histamínicos</w:t>
      </w:r>
      <w:r w:rsidR="006A1EF9">
        <w:rPr>
          <w:rFonts w:ascii="NewsGotT" w:hAnsi="NewsGotT"/>
          <w:lang w:val="pt-BR" w:eastAsia="x-none"/>
        </w:rPr>
        <w:t xml:space="preserve"> H1</w:t>
      </w:r>
      <w:r w:rsidR="00952ABF">
        <w:rPr>
          <w:rFonts w:ascii="NewsGotT" w:hAnsi="NewsGotT"/>
          <w:lang w:val="pt-BR" w:eastAsia="x-none"/>
        </w:rPr>
        <w:t xml:space="preserve"> sedativos</w:t>
      </w:r>
      <w:r w:rsidR="006A1EF9">
        <w:rPr>
          <w:rFonts w:ascii="NewsGotT" w:hAnsi="NewsGotT"/>
          <w:lang w:val="pt-BR" w:eastAsia="x-none"/>
        </w:rPr>
        <w:t>)</w:t>
      </w:r>
      <w:r w:rsidR="0047012B">
        <w:rPr>
          <w:rFonts w:ascii="NewsGotT" w:hAnsi="NewsGotT"/>
          <w:lang w:val="pt-BR" w:eastAsia="x-none"/>
        </w:rPr>
        <w:t xml:space="preserve"> </w:t>
      </w:r>
      <w:r w:rsidR="0047012B">
        <w:rPr>
          <w:rFonts w:ascii="NewsGotT" w:hAnsi="NewsGotT"/>
          <w:lang w:val="pt-BR" w:eastAsia="x-none"/>
        </w:rPr>
        <w:fldChar w:fldCharType="begin" w:fldLock="1"/>
      </w:r>
      <w:r w:rsidR="00A16F81">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rFonts w:ascii="NewsGotT" w:hAnsi="NewsGotT"/>
          <w:lang w:val="pt-BR" w:eastAsia="x-none"/>
        </w:rPr>
        <w:fldChar w:fldCharType="separate"/>
      </w:r>
      <w:r w:rsidR="0047012B" w:rsidRPr="0047012B">
        <w:rPr>
          <w:rFonts w:ascii="NewsGotT" w:hAnsi="NewsGotT"/>
          <w:noProof/>
          <w:lang w:val="pt-BR" w:eastAsia="x-none"/>
        </w:rPr>
        <w:t>(Church &amp; Maurer, 2014)</w:t>
      </w:r>
      <w:r w:rsidR="0047012B">
        <w:rPr>
          <w:rFonts w:ascii="NewsGotT" w:hAnsi="NewsGotT"/>
          <w:lang w:val="pt-BR" w:eastAsia="x-none"/>
        </w:rPr>
        <w:fldChar w:fldCharType="end"/>
      </w:r>
      <w:r w:rsidR="006A1EF9">
        <w:rPr>
          <w:rFonts w:ascii="NewsGotT" w:hAnsi="NewsGotT"/>
          <w:lang w:val="pt-BR" w:eastAsia="x-none"/>
        </w:rPr>
        <w:t>.</w:t>
      </w:r>
      <w:r w:rsidR="00BB71C4">
        <w:rPr>
          <w:rFonts w:ascii="NewsGotT" w:hAnsi="NewsGotT"/>
          <w:lang w:val="pt-BR" w:eastAsia="x-none"/>
        </w:rPr>
        <w:t xml:space="preserve"> </w:t>
      </w:r>
      <w:r w:rsidR="009A65C9">
        <w:rPr>
          <w:rFonts w:ascii="NewsGotT" w:hAnsi="NewsGotT"/>
          <w:lang w:val="pt-BR" w:eastAsia="x-none"/>
        </w:rPr>
        <w:t>Por volta da década de 1980, ocorreu u</w:t>
      </w:r>
      <w:r w:rsidR="00BB71C4" w:rsidRPr="00BB71C4">
        <w:rPr>
          <w:rFonts w:ascii="NewsGotT" w:hAnsi="NewsGotT"/>
          <w:lang w:val="pt-BR" w:eastAsia="x-none"/>
        </w:rPr>
        <w:t>m grande avanço no desenvolvimento de anti-</w:t>
      </w:r>
      <w:r w:rsidR="00BB71C4" w:rsidRPr="00BB71C4">
        <w:rPr>
          <w:rFonts w:ascii="NewsGotT" w:hAnsi="NewsGotT"/>
          <w:lang w:val="pt-BR" w:eastAsia="x-none"/>
        </w:rPr>
        <w:lastRenderedPageBreak/>
        <w:t xml:space="preserve">histamínicos com a introdução de anti-histamínicos H1 de segunda geração, que são minimamente ou não sedativos devido à sua penetração limitada da barreira </w:t>
      </w:r>
      <w:proofErr w:type="spellStart"/>
      <w:r w:rsidR="00BB71C4" w:rsidRPr="00BB71C4">
        <w:rPr>
          <w:rFonts w:ascii="NewsGotT" w:hAnsi="NewsGotT"/>
          <w:lang w:val="pt-BR" w:eastAsia="x-none"/>
        </w:rPr>
        <w:t>hemato</w:t>
      </w:r>
      <w:proofErr w:type="spellEnd"/>
      <w:r w:rsidR="00BB71C4" w:rsidRPr="00BB71C4">
        <w:rPr>
          <w:rFonts w:ascii="NewsGotT" w:hAnsi="NewsGotT"/>
          <w:lang w:val="pt-BR" w:eastAsia="x-none"/>
        </w:rPr>
        <w:t xml:space="preserve">-encefálica. Além disso, estes medicamentos são altamente </w:t>
      </w:r>
      <w:r w:rsidR="00254F3F" w:rsidRPr="00BB71C4">
        <w:rPr>
          <w:rFonts w:ascii="NewsGotT" w:hAnsi="NewsGotT"/>
          <w:lang w:val="pt-BR" w:eastAsia="x-none"/>
        </w:rPr>
        <w:t>seletivos</w:t>
      </w:r>
      <w:r w:rsidR="00BB71C4" w:rsidRPr="00BB71C4">
        <w:rPr>
          <w:rFonts w:ascii="NewsGotT" w:hAnsi="NewsGotT"/>
          <w:lang w:val="pt-BR" w:eastAsia="x-none"/>
        </w:rPr>
        <w:t xml:space="preserve"> para o receptor de histamina H1 e não têm efeitos anticolinérgicos</w:t>
      </w:r>
      <w:r w:rsidR="009B721E">
        <w:rPr>
          <w:rFonts w:ascii="NewsGotT" w:hAnsi="NewsGotT"/>
          <w:lang w:val="pt-BR" w:eastAsia="x-none"/>
        </w:rPr>
        <w:t xml:space="preserve"> </w:t>
      </w:r>
      <w:r w:rsidR="009B721E">
        <w:rPr>
          <w:rFonts w:ascii="NewsGotT" w:hAnsi="NewsGotT"/>
          <w:lang w:val="pt-BR" w:eastAsia="x-none"/>
        </w:rPr>
        <w:fldChar w:fldCharType="begin" w:fldLock="1"/>
      </w:r>
      <w:r w:rsidR="007E7E63">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rFonts w:ascii="NewsGotT" w:hAnsi="NewsGotT"/>
          <w:lang w:val="pt-BR" w:eastAsia="x-none"/>
        </w:rPr>
        <w:fldChar w:fldCharType="separate"/>
      </w:r>
      <w:r w:rsidR="009B721E" w:rsidRPr="009B721E">
        <w:rPr>
          <w:rFonts w:ascii="NewsGotT" w:hAnsi="NewsGotT"/>
          <w:noProof/>
          <w:lang w:val="pt-BR" w:eastAsia="x-none"/>
        </w:rPr>
        <w:t>(Church &amp; Maurer, 2014)</w:t>
      </w:r>
      <w:r w:rsidR="009B721E">
        <w:rPr>
          <w:rFonts w:ascii="NewsGotT" w:hAnsi="NewsGotT"/>
          <w:lang w:val="pt-BR" w:eastAsia="x-none"/>
        </w:rPr>
        <w:fldChar w:fldCharType="end"/>
      </w:r>
    </w:p>
    <w:p w14:paraId="12ACEB3E" w14:textId="07433A3F" w:rsidR="00CE4FF4" w:rsidRPr="003C790E" w:rsidRDefault="00CE4FF4" w:rsidP="00F51A21">
      <w:pPr>
        <w:spacing w:line="360" w:lineRule="auto"/>
        <w:ind w:firstLine="720"/>
        <w:jc w:val="both"/>
        <w:rPr>
          <w:rFonts w:ascii="NewsGotT" w:hAnsi="NewsGotT"/>
          <w:lang w:val="pt-BR" w:eastAsia="x-none"/>
        </w:rPr>
      </w:pPr>
      <w:r>
        <w:rPr>
          <w:rFonts w:ascii="NewsGotT" w:hAnsi="NewsGotT"/>
          <w:lang w:val="pt-BR" w:eastAsia="x-none"/>
        </w:rPr>
        <w:t xml:space="preserve"> </w:t>
      </w:r>
      <w:r w:rsidRPr="00CE4FF4">
        <w:rPr>
          <w:rFonts w:ascii="NewsGotT" w:hAnsi="NewsGotT"/>
          <w:lang w:val="pt-BR" w:eastAsia="x-none"/>
        </w:rPr>
        <w:t>Hoje sabe</w:t>
      </w:r>
      <w:r>
        <w:rPr>
          <w:rFonts w:ascii="NewsGotT" w:hAnsi="NewsGotT"/>
          <w:lang w:val="pt-BR" w:eastAsia="x-none"/>
        </w:rPr>
        <w:t>-se</w:t>
      </w:r>
      <w:r w:rsidRPr="00CE4FF4">
        <w:rPr>
          <w:rFonts w:ascii="NewsGotT" w:hAnsi="NewsGotT"/>
          <w:lang w:val="pt-BR" w:eastAsia="x-none"/>
        </w:rPr>
        <w:t xml:space="preserve"> que a histamina</w:t>
      </w:r>
      <w:r>
        <w:rPr>
          <w:rFonts w:ascii="NewsGotT" w:hAnsi="NewsGotT"/>
          <w:lang w:val="pt-BR" w:eastAsia="x-none"/>
        </w:rPr>
        <w:t xml:space="preserve"> </w:t>
      </w:r>
      <w:r w:rsidRPr="00CE4FF4">
        <w:rPr>
          <w:rFonts w:ascii="NewsGotT" w:hAnsi="NewsGotT"/>
          <w:lang w:val="pt-BR" w:eastAsia="x-none"/>
        </w:rPr>
        <w:t>en</w:t>
      </w:r>
      <w:r>
        <w:rPr>
          <w:rFonts w:ascii="NewsGotT" w:hAnsi="NewsGotT"/>
          <w:lang w:val="pt-BR" w:eastAsia="x-none"/>
        </w:rPr>
        <w:t>dó</w:t>
      </w:r>
      <w:r w:rsidRPr="00CE4FF4">
        <w:rPr>
          <w:rFonts w:ascii="NewsGotT" w:hAnsi="NewsGotT"/>
          <w:lang w:val="pt-BR" w:eastAsia="x-none"/>
        </w:rPr>
        <w:t>gena participa da resposta a</w:t>
      </w:r>
      <w:r>
        <w:rPr>
          <w:rFonts w:ascii="NewsGotT" w:hAnsi="NewsGotT"/>
          <w:lang w:val="pt-BR" w:eastAsia="x-none"/>
        </w:rPr>
        <w:t>lé</w:t>
      </w:r>
      <w:r w:rsidRPr="00CE4FF4">
        <w:rPr>
          <w:rFonts w:ascii="NewsGotT" w:hAnsi="NewsGotT"/>
          <w:lang w:val="pt-BR" w:eastAsia="x-none"/>
        </w:rPr>
        <w:t>rgica imediata</w:t>
      </w:r>
      <w:r>
        <w:rPr>
          <w:rFonts w:ascii="NewsGotT" w:hAnsi="NewsGotT"/>
          <w:lang w:val="pt-BR" w:eastAsia="x-none"/>
        </w:rPr>
        <w:t xml:space="preserve"> e é </w:t>
      </w:r>
      <w:r w:rsidRPr="00CE4FF4">
        <w:rPr>
          <w:rFonts w:ascii="NewsGotT" w:hAnsi="NewsGotT"/>
          <w:lang w:val="pt-BR" w:eastAsia="x-none"/>
        </w:rPr>
        <w:t>um importante</w:t>
      </w:r>
      <w:r>
        <w:rPr>
          <w:rFonts w:ascii="NewsGotT" w:hAnsi="NewsGotT"/>
          <w:lang w:val="pt-BR" w:eastAsia="x-none"/>
        </w:rPr>
        <w:t xml:space="preserve"> </w:t>
      </w:r>
      <w:r w:rsidRPr="00CE4FF4">
        <w:rPr>
          <w:rFonts w:ascii="NewsGotT" w:hAnsi="NewsGotT"/>
          <w:lang w:val="pt-BR" w:eastAsia="x-none"/>
        </w:rPr>
        <w:t>regulador da secr</w:t>
      </w:r>
      <w:r>
        <w:rPr>
          <w:rFonts w:ascii="NewsGotT" w:hAnsi="NewsGotT"/>
          <w:lang w:val="pt-BR" w:eastAsia="x-none"/>
        </w:rPr>
        <w:t>eção gástric</w:t>
      </w:r>
      <w:r w:rsidRPr="00CE4FF4">
        <w:rPr>
          <w:rFonts w:ascii="NewsGotT" w:hAnsi="NewsGotT"/>
          <w:lang w:val="pt-BR" w:eastAsia="x-none"/>
        </w:rPr>
        <w:t xml:space="preserve">a. </w:t>
      </w:r>
      <w:r w:rsidR="00F51A21">
        <w:rPr>
          <w:rFonts w:ascii="NewsGotT" w:hAnsi="NewsGotT"/>
          <w:lang w:val="pt-BR" w:eastAsia="x-none"/>
        </w:rPr>
        <w:t xml:space="preserve">Para além disso, foi demonstrado </w:t>
      </w:r>
      <w:r w:rsidRPr="00CE4FF4">
        <w:rPr>
          <w:rFonts w:ascii="NewsGotT" w:hAnsi="NewsGotT"/>
          <w:lang w:val="pt-BR" w:eastAsia="x-none"/>
        </w:rPr>
        <w:t xml:space="preserve">que a histamina </w:t>
      </w:r>
      <w:r w:rsidR="00F51A21">
        <w:rPr>
          <w:rFonts w:ascii="NewsGotT" w:hAnsi="NewsGotT"/>
          <w:lang w:val="pt-BR" w:eastAsia="x-none"/>
        </w:rPr>
        <w:t xml:space="preserve">é responsável pela </w:t>
      </w:r>
      <w:r w:rsidR="00F51A21" w:rsidRPr="00F51A21">
        <w:rPr>
          <w:rFonts w:ascii="NewsGotT" w:hAnsi="NewsGotT"/>
          <w:lang w:val="pt-BR" w:eastAsia="x-none"/>
        </w:rPr>
        <w:t xml:space="preserve">modulação de processos fisiológicos, </w:t>
      </w:r>
      <w:r w:rsidR="00F51A21">
        <w:rPr>
          <w:rFonts w:ascii="NewsGotT" w:hAnsi="NewsGotT"/>
          <w:lang w:val="pt-BR" w:eastAsia="x-none"/>
        </w:rPr>
        <w:t>a</w:t>
      </w:r>
      <w:r w:rsidR="00F51A21" w:rsidRPr="00F51A21">
        <w:rPr>
          <w:rFonts w:ascii="NewsGotT" w:hAnsi="NewsGotT"/>
          <w:lang w:val="pt-BR" w:eastAsia="x-none"/>
        </w:rPr>
        <w:t>tuando tanto no</w:t>
      </w:r>
      <w:r w:rsidR="00F51A21">
        <w:rPr>
          <w:rFonts w:ascii="NewsGotT" w:hAnsi="NewsGotT"/>
          <w:lang w:val="pt-BR" w:eastAsia="x-none"/>
        </w:rPr>
        <w:t xml:space="preserve"> SNC </w:t>
      </w:r>
      <w:r w:rsidR="00F51A21" w:rsidRPr="00F51A21">
        <w:rPr>
          <w:rFonts w:ascii="NewsGotT" w:hAnsi="NewsGotT"/>
          <w:lang w:val="pt-BR" w:eastAsia="x-none"/>
        </w:rPr>
        <w:t>como na periferia, através d</w:t>
      </w:r>
      <w:r w:rsidR="00B528A8">
        <w:rPr>
          <w:rFonts w:ascii="NewsGotT" w:hAnsi="NewsGotT"/>
          <w:lang w:val="pt-BR" w:eastAsia="x-none"/>
        </w:rPr>
        <w:t xml:space="preserve">os seus </w:t>
      </w:r>
      <w:r w:rsidR="00A16F81">
        <w:rPr>
          <w:rFonts w:ascii="NewsGotT" w:hAnsi="NewsGotT"/>
          <w:lang w:val="pt-BR" w:eastAsia="x-none"/>
        </w:rPr>
        <w:t>recetores</w:t>
      </w:r>
      <w:r w:rsidR="0085530F">
        <w:rPr>
          <w:rFonts w:ascii="NewsGotT" w:hAnsi="NewsGotT"/>
          <w:lang w:val="pt-BR" w:eastAsia="x-none"/>
        </w:rPr>
        <w:t xml:space="preserve">, </w:t>
      </w:r>
      <w:r w:rsidR="0085530F" w:rsidRPr="003C790E">
        <w:rPr>
          <w:rFonts w:ascii="NewsGotT" w:hAnsi="NewsGotT"/>
          <w:lang w:val="pt-BR" w:eastAsia="x-none"/>
        </w:rPr>
        <w:t>designados H1, H2</w:t>
      </w:r>
      <w:r w:rsidR="0085530F">
        <w:rPr>
          <w:rFonts w:ascii="NewsGotT" w:hAnsi="NewsGotT"/>
          <w:lang w:val="pt-BR" w:eastAsia="x-none"/>
        </w:rPr>
        <w:t>,</w:t>
      </w:r>
      <w:r w:rsidR="0085530F" w:rsidRPr="003C790E">
        <w:rPr>
          <w:rFonts w:ascii="NewsGotT" w:hAnsi="NewsGotT"/>
          <w:lang w:val="pt-BR" w:eastAsia="x-none"/>
        </w:rPr>
        <w:t xml:space="preserve"> H3</w:t>
      </w:r>
      <w:r w:rsidR="0085530F">
        <w:rPr>
          <w:rFonts w:ascii="NewsGotT" w:hAnsi="NewsGotT"/>
          <w:lang w:val="pt-BR" w:eastAsia="x-none"/>
        </w:rPr>
        <w:t xml:space="preserve"> </w:t>
      </w:r>
      <w:r w:rsidR="0085530F" w:rsidRPr="003C790E">
        <w:rPr>
          <w:rFonts w:ascii="NewsGotT" w:hAnsi="NewsGotT"/>
          <w:lang w:val="pt-BR" w:eastAsia="x-none"/>
        </w:rPr>
        <w:t>e H4</w:t>
      </w:r>
      <w:r w:rsidR="00A16F81">
        <w:rPr>
          <w:rFonts w:ascii="NewsGotT" w:hAnsi="NewsGotT"/>
          <w:lang w:val="pt-BR" w:eastAsia="x-none"/>
        </w:rPr>
        <w:t xml:space="preserve"> </w:t>
      </w:r>
      <w:r w:rsidR="00A16F81">
        <w:rPr>
          <w:rFonts w:ascii="NewsGotT" w:hAnsi="NewsGotT"/>
          <w:lang w:val="pt-BR" w:eastAsia="x-none"/>
        </w:rPr>
        <w:fldChar w:fldCharType="begin" w:fldLock="1"/>
      </w:r>
      <w:r w:rsidR="00850F29">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rFonts w:ascii="NewsGotT" w:hAnsi="NewsGotT"/>
          <w:lang w:val="pt-BR" w:eastAsia="x-none"/>
        </w:rPr>
        <w:fldChar w:fldCharType="separate"/>
      </w:r>
      <w:r w:rsidR="00A16F81" w:rsidRPr="00A16F81">
        <w:rPr>
          <w:rFonts w:ascii="NewsGotT" w:hAnsi="NewsGotT"/>
          <w:noProof/>
          <w:lang w:val="pt-BR" w:eastAsia="x-none"/>
        </w:rPr>
        <w:t>(Brunton et al., 2011)</w:t>
      </w:r>
      <w:r w:rsidR="00A16F81">
        <w:rPr>
          <w:rFonts w:ascii="NewsGotT" w:hAnsi="NewsGotT"/>
          <w:lang w:val="pt-BR" w:eastAsia="x-none"/>
        </w:rPr>
        <w:fldChar w:fldCharType="end"/>
      </w:r>
      <w:r w:rsidR="003C790E">
        <w:rPr>
          <w:rFonts w:ascii="NewsGotT" w:hAnsi="NewsGotT"/>
          <w:lang w:val="pt-BR" w:eastAsia="x-none"/>
        </w:rPr>
        <w:t>.</w:t>
      </w:r>
    </w:p>
    <w:p w14:paraId="3FBBA7AA" w14:textId="06985B4B" w:rsidR="00111491" w:rsidRDefault="00AB33A2" w:rsidP="00A640EF">
      <w:pPr>
        <w:spacing w:line="360" w:lineRule="auto"/>
        <w:ind w:firstLine="720"/>
        <w:jc w:val="both"/>
        <w:rPr>
          <w:rFonts w:ascii="NewsGotT" w:hAnsi="NewsGotT"/>
          <w:lang w:val="pt-PT" w:eastAsia="x-none"/>
        </w:rPr>
      </w:pPr>
      <w:r>
        <w:rPr>
          <w:rFonts w:ascii="NewsGotT" w:hAnsi="NewsGotT"/>
          <w:lang w:val="pt-PT" w:eastAsia="x-none"/>
        </w:rPr>
        <w:t>De um modo geral, os</w:t>
      </w:r>
      <w:r w:rsidRPr="00AB33A2">
        <w:rPr>
          <w:rFonts w:ascii="NewsGotT" w:hAnsi="NewsGotT"/>
          <w:lang w:val="pt-BR" w:eastAsia="x-none"/>
        </w:rPr>
        <w:t xml:space="preserve"> anti-histamínico</w:t>
      </w:r>
      <w:r>
        <w:rPr>
          <w:rFonts w:ascii="NewsGotT" w:hAnsi="NewsGotT"/>
          <w:lang w:val="pt-BR" w:eastAsia="x-none"/>
        </w:rPr>
        <w:t>s</w:t>
      </w:r>
      <w:r w:rsidRPr="00AB33A2">
        <w:rPr>
          <w:rFonts w:ascii="NewsGotT" w:hAnsi="NewsGotT"/>
          <w:lang w:val="pt-BR" w:eastAsia="x-none"/>
        </w:rPr>
        <w:t xml:space="preserve"> </w:t>
      </w:r>
      <w:r>
        <w:rPr>
          <w:rFonts w:ascii="NewsGotT" w:hAnsi="NewsGotT"/>
          <w:lang w:val="pt-BR" w:eastAsia="x-none"/>
        </w:rPr>
        <w:t>são</w:t>
      </w:r>
      <w:r w:rsidRPr="00AB33A2">
        <w:rPr>
          <w:rFonts w:ascii="NewsGotT" w:hAnsi="NewsGotT"/>
          <w:lang w:val="pt-BR" w:eastAsia="x-none"/>
        </w:rPr>
        <w:t xml:space="preserve"> fármaco</w:t>
      </w:r>
      <w:r>
        <w:rPr>
          <w:rFonts w:ascii="NewsGotT" w:hAnsi="NewsGotT"/>
          <w:lang w:val="pt-BR" w:eastAsia="x-none"/>
        </w:rPr>
        <w:t>s</w:t>
      </w:r>
      <w:r w:rsidRPr="00AB33A2">
        <w:rPr>
          <w:rFonts w:ascii="NewsGotT" w:hAnsi="NewsGotT"/>
          <w:lang w:val="pt-BR" w:eastAsia="x-none"/>
        </w:rPr>
        <w:t xml:space="preserve"> que inibe</w:t>
      </w:r>
      <w:r>
        <w:rPr>
          <w:rFonts w:ascii="NewsGotT" w:hAnsi="NewsGotT"/>
          <w:lang w:val="pt-BR" w:eastAsia="x-none"/>
        </w:rPr>
        <w:t>m</w:t>
      </w:r>
      <w:r w:rsidRPr="00AB33A2">
        <w:rPr>
          <w:rFonts w:ascii="NewsGotT" w:hAnsi="NewsGotT"/>
          <w:lang w:val="pt-BR" w:eastAsia="x-none"/>
        </w:rPr>
        <w:t xml:space="preserve"> a ação da histamina, bloqueando a sua ligação aos recetores H1. </w:t>
      </w:r>
      <w:r w:rsidR="00680DDD">
        <w:rPr>
          <w:rFonts w:ascii="NewsGotT" w:hAnsi="NewsGotT"/>
          <w:lang w:val="pt-BR" w:eastAsia="x-none"/>
        </w:rPr>
        <w:t>Sendo</w:t>
      </w:r>
      <w:r w:rsidRPr="00AB33A2">
        <w:rPr>
          <w:rFonts w:ascii="NewsGotT" w:hAnsi="NewsGotT"/>
          <w:lang w:val="pt-BR" w:eastAsia="x-none"/>
        </w:rPr>
        <w:t xml:space="preserve"> normalmente utilizado</w:t>
      </w:r>
      <w:r w:rsidR="00680DDD">
        <w:rPr>
          <w:rFonts w:ascii="NewsGotT" w:hAnsi="NewsGotT"/>
          <w:lang w:val="pt-BR" w:eastAsia="x-none"/>
        </w:rPr>
        <w:t>s</w:t>
      </w:r>
      <w:r w:rsidRPr="00AB33A2">
        <w:rPr>
          <w:rFonts w:ascii="NewsGotT" w:hAnsi="NewsGotT"/>
          <w:lang w:val="pt-BR" w:eastAsia="x-none"/>
        </w:rPr>
        <w:t xml:space="preserve"> para alivio de alergias no tratamento de reações de hipersensibilidade.</w:t>
      </w:r>
      <w:r>
        <w:rPr>
          <w:rFonts w:ascii="NewsGotT" w:hAnsi="NewsGotT"/>
          <w:lang w:val="pt-BR" w:eastAsia="x-none"/>
        </w:rPr>
        <w:t xml:space="preserve"> No caso especifico da </w:t>
      </w:r>
      <w:proofErr w:type="spellStart"/>
      <w:r>
        <w:rPr>
          <w:rFonts w:ascii="NewsGotT" w:hAnsi="NewsGotT"/>
          <w:lang w:val="pt-BR" w:eastAsia="x-none"/>
        </w:rPr>
        <w:t>hidro</w:t>
      </w:r>
      <w:r w:rsidR="000826B6">
        <w:rPr>
          <w:rFonts w:ascii="NewsGotT" w:hAnsi="NewsGotT"/>
          <w:lang w:val="pt-BR" w:eastAsia="x-none"/>
        </w:rPr>
        <w:t>xizina</w:t>
      </w:r>
      <w:proofErr w:type="spellEnd"/>
      <w:r w:rsidR="000826B6">
        <w:rPr>
          <w:rFonts w:ascii="NewsGotT" w:hAnsi="NewsGotT"/>
          <w:lang w:val="pt-BR" w:eastAsia="x-none"/>
        </w:rPr>
        <w:t>,</w:t>
      </w:r>
      <w:r w:rsidR="001D6DC6">
        <w:rPr>
          <w:rFonts w:ascii="NewsGotT" w:hAnsi="NewsGotT"/>
          <w:lang w:val="pt-BR" w:eastAsia="x-none"/>
        </w:rPr>
        <w:t xml:space="preserve"> um fármaco </w:t>
      </w:r>
      <w:r w:rsidR="00500A9E">
        <w:rPr>
          <w:rFonts w:ascii="NewsGotT" w:hAnsi="NewsGotT"/>
          <w:lang w:val="pt-BR" w:eastAsia="x-none"/>
        </w:rPr>
        <w:t>classificado</w:t>
      </w:r>
      <w:r w:rsidR="001D6DC6">
        <w:rPr>
          <w:rFonts w:ascii="NewsGotT" w:hAnsi="NewsGotT"/>
          <w:lang w:val="pt-BR" w:eastAsia="x-none"/>
        </w:rPr>
        <w:t xml:space="preserve"> como </w:t>
      </w:r>
      <w:r w:rsidR="001D6DC6">
        <w:rPr>
          <w:rFonts w:ascii="NewsGotT" w:hAnsi="NewsGotT"/>
          <w:lang w:val="pt-BR" w:eastAsia="x-none"/>
        </w:rPr>
        <w:t>anti-histamínico H1 sedativo</w:t>
      </w:r>
      <w:r w:rsidR="001D6DC6">
        <w:rPr>
          <w:rFonts w:ascii="NewsGotT" w:hAnsi="NewsGotT"/>
          <w:lang w:val="pt-BR" w:eastAsia="x-none"/>
        </w:rPr>
        <w:t>,</w:t>
      </w:r>
      <w:r w:rsidR="000826B6">
        <w:rPr>
          <w:rFonts w:ascii="NewsGotT" w:hAnsi="NewsGotT"/>
          <w:lang w:val="pt-BR" w:eastAsia="x-none"/>
        </w:rPr>
        <w:t xml:space="preserve"> é indicad</w:t>
      </w:r>
      <w:r w:rsidR="001D6DC6">
        <w:rPr>
          <w:rFonts w:ascii="NewsGotT" w:hAnsi="NewsGotT"/>
          <w:lang w:val="pt-BR" w:eastAsia="x-none"/>
        </w:rPr>
        <w:t>o</w:t>
      </w:r>
      <w:r w:rsidR="000826B6">
        <w:rPr>
          <w:rFonts w:ascii="NewsGotT" w:hAnsi="NewsGotT"/>
          <w:lang w:val="pt-BR" w:eastAsia="x-none"/>
        </w:rPr>
        <w:t xml:space="preserve"> para o tratamento sintomático da ansiedade e de prurido. </w:t>
      </w:r>
      <w:r w:rsidR="00680DDD" w:rsidRPr="00680DDD">
        <w:rPr>
          <w:rFonts w:ascii="NewsGotT" w:hAnsi="NewsGotT"/>
          <w:lang w:val="pt-BR" w:eastAsia="x-none"/>
        </w:rPr>
        <w:t>Os efeitos indesejáveis</w:t>
      </w:r>
      <w:r w:rsidR="001808AF">
        <w:rPr>
          <w:rFonts w:ascii="NewsGotT" w:hAnsi="NewsGotT"/>
          <w:lang w:val="pt-BR" w:eastAsia="x-none"/>
        </w:rPr>
        <w:t xml:space="preserve"> associados a este fármaco</w:t>
      </w:r>
      <w:r w:rsidR="00680DDD" w:rsidRPr="00680DDD">
        <w:rPr>
          <w:rFonts w:ascii="NewsGotT" w:hAnsi="NewsGotT"/>
          <w:lang w:val="pt-BR" w:eastAsia="x-none"/>
        </w:rPr>
        <w:t xml:space="preserve"> são principalmente relacionados com efeitos depressores do SNC</w:t>
      </w:r>
      <w:r w:rsidR="007420DD">
        <w:rPr>
          <w:rFonts w:ascii="NewsGotT" w:hAnsi="NewsGotT"/>
          <w:lang w:val="pt-BR" w:eastAsia="x-none"/>
        </w:rPr>
        <w:t xml:space="preserve"> ou</w:t>
      </w:r>
      <w:r w:rsidR="00680DDD" w:rsidRPr="00680DDD">
        <w:rPr>
          <w:rFonts w:ascii="NewsGotT" w:hAnsi="NewsGotT"/>
          <w:lang w:val="pt-BR" w:eastAsia="x-none"/>
        </w:rPr>
        <w:t xml:space="preserve"> com a atividade anticolinérgica ou</w:t>
      </w:r>
      <w:r w:rsidR="00680DDD">
        <w:rPr>
          <w:rFonts w:ascii="NewsGotT" w:hAnsi="NewsGotT"/>
          <w:lang w:val="pt-BR" w:eastAsia="x-none"/>
        </w:rPr>
        <w:t xml:space="preserve"> </w:t>
      </w:r>
      <w:r w:rsidR="00680DDD" w:rsidRPr="00680DDD">
        <w:rPr>
          <w:rFonts w:ascii="NewsGotT" w:hAnsi="NewsGotT"/>
          <w:lang w:val="pt-BR" w:eastAsia="x-none"/>
        </w:rPr>
        <w:t>com reações de hipersensibilidade.</w:t>
      </w:r>
      <w:r w:rsidR="00850F29">
        <w:rPr>
          <w:rFonts w:ascii="NewsGotT" w:hAnsi="NewsGotT"/>
          <w:lang w:val="pt-BR" w:eastAsia="x-none"/>
        </w:rPr>
        <w:t xml:space="preserve"> De entre os efeitos secundários podem destacar-se sonolência, cefaleias, fadiga, xerostomia, agitação, confusão, desorientação, alucinações, sedação, insónias, tremores e náuseas </w:t>
      </w:r>
      <w:r w:rsidR="00850F29">
        <w:rPr>
          <w:rFonts w:ascii="NewsGotT" w:hAnsi="NewsGotT"/>
          <w:lang w:val="pt-BR" w:eastAsia="x-none"/>
        </w:rPr>
        <w:fldChar w:fldCharType="begin" w:fldLock="1"/>
      </w:r>
      <w:r w:rsidR="008A751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2020e)","plainTextFormattedCitation":"(INFARMED, 2020e)","previouslyFormattedCitation":"(INFARMED, 2020e)"},"properties":{"noteIndex":0},"schema":"https://github.com/citation-style-language/schema/raw/master/csl-citation.json"}</w:instrText>
      </w:r>
      <w:r w:rsidR="00850F29">
        <w:rPr>
          <w:rFonts w:ascii="NewsGotT" w:hAnsi="NewsGotT"/>
          <w:lang w:val="pt-BR" w:eastAsia="x-none"/>
        </w:rPr>
        <w:fldChar w:fldCharType="separate"/>
      </w:r>
      <w:r w:rsidR="00214145" w:rsidRPr="00214145">
        <w:rPr>
          <w:rFonts w:ascii="NewsGotT" w:hAnsi="NewsGotT"/>
          <w:noProof/>
          <w:lang w:val="pt-BR" w:eastAsia="x-none"/>
        </w:rPr>
        <w:t>(INFARMED, 2020e)</w:t>
      </w:r>
      <w:r w:rsidR="00850F29">
        <w:rPr>
          <w:rFonts w:ascii="NewsGotT" w:hAnsi="NewsGotT"/>
          <w:lang w:val="pt-BR" w:eastAsia="x-none"/>
        </w:rPr>
        <w:fldChar w:fldCharType="end"/>
      </w:r>
      <w:r w:rsidR="00850F29">
        <w:rPr>
          <w:rFonts w:ascii="NewsGotT" w:hAnsi="NewsGotT"/>
          <w:lang w:val="pt-BR" w:eastAsia="x-none"/>
        </w:rPr>
        <w:t xml:space="preserve">. </w:t>
      </w:r>
      <w:r w:rsidR="00B41FF3">
        <w:rPr>
          <w:rFonts w:ascii="NewsGotT" w:hAnsi="NewsGotT"/>
          <w:lang w:val="pt-BR" w:eastAsia="x-none"/>
        </w:rPr>
        <w:t xml:space="preserve">Já a substância </w:t>
      </w:r>
      <w:proofErr w:type="spellStart"/>
      <w:r w:rsidR="00B41FF3">
        <w:rPr>
          <w:rFonts w:ascii="NewsGotT" w:hAnsi="NewsGotT"/>
          <w:lang w:val="pt-PT" w:eastAsia="x-none"/>
        </w:rPr>
        <w:t>d</w:t>
      </w:r>
      <w:r w:rsidR="00B41FF3" w:rsidRPr="001264D6">
        <w:rPr>
          <w:rFonts w:ascii="NewsGotT" w:hAnsi="NewsGotT"/>
          <w:lang w:val="pt-PT" w:eastAsia="x-none"/>
        </w:rPr>
        <w:t>esloratadina</w:t>
      </w:r>
      <w:proofErr w:type="spellEnd"/>
      <w:r w:rsidR="00B41FF3">
        <w:rPr>
          <w:rFonts w:ascii="NewsGotT" w:hAnsi="NewsGotT"/>
          <w:lang w:val="pt-PT" w:eastAsia="x-none"/>
        </w:rPr>
        <w:t xml:space="preserve">, classificada como </w:t>
      </w:r>
      <w:r w:rsidR="00B41FF3">
        <w:rPr>
          <w:rFonts w:ascii="NewsGotT" w:hAnsi="NewsGotT"/>
          <w:lang w:val="pt-BR" w:eastAsia="x-none"/>
        </w:rPr>
        <w:t xml:space="preserve">anti-histamínico H1 </w:t>
      </w:r>
      <w:r w:rsidR="00B41FF3">
        <w:rPr>
          <w:rFonts w:ascii="NewsGotT" w:hAnsi="NewsGotT"/>
          <w:lang w:val="pt-BR" w:eastAsia="x-none"/>
        </w:rPr>
        <w:t xml:space="preserve">não </w:t>
      </w:r>
      <w:r w:rsidR="00B41FF3">
        <w:rPr>
          <w:rFonts w:ascii="NewsGotT" w:hAnsi="NewsGotT"/>
          <w:lang w:val="pt-BR" w:eastAsia="x-none"/>
        </w:rPr>
        <w:t>sedativo</w:t>
      </w:r>
      <w:r w:rsidR="00B41FF3">
        <w:rPr>
          <w:rFonts w:ascii="NewsGotT" w:hAnsi="NewsGotT"/>
          <w:lang w:val="pt-BR" w:eastAsia="x-none"/>
        </w:rPr>
        <w:t>,</w:t>
      </w:r>
      <w:r w:rsidR="00B41FF3">
        <w:rPr>
          <w:rFonts w:ascii="NewsGotT" w:hAnsi="NewsGotT"/>
          <w:lang w:val="pt-PT" w:eastAsia="x-none"/>
        </w:rPr>
        <w:t xml:space="preserve">  é indicada para o tratamento de rinite alérgica e urticária. Dos efeitos colaterais </w:t>
      </w:r>
      <w:r w:rsidR="001C3600">
        <w:rPr>
          <w:rFonts w:ascii="NewsGotT" w:hAnsi="NewsGotT"/>
          <w:lang w:val="pt-PT" w:eastAsia="x-none"/>
        </w:rPr>
        <w:t>apresentados, salienta-se as alucinações, cefaleias, tonturas, sonolência, insónias, hiperatividade psicomotora, convulsões xerost</w:t>
      </w:r>
      <w:r w:rsidR="00D22F8A">
        <w:rPr>
          <w:rFonts w:ascii="NewsGotT" w:hAnsi="NewsGotT"/>
          <w:lang w:val="pt-PT" w:eastAsia="x-none"/>
        </w:rPr>
        <w:t>o</w:t>
      </w:r>
      <w:r w:rsidR="001C3600">
        <w:rPr>
          <w:rFonts w:ascii="NewsGotT" w:hAnsi="NewsGotT"/>
          <w:lang w:val="pt-PT" w:eastAsia="x-none"/>
        </w:rPr>
        <w:t>mia e fadiga</w:t>
      </w:r>
      <w:r w:rsidR="007E7E63">
        <w:rPr>
          <w:rFonts w:ascii="NewsGotT" w:hAnsi="NewsGotT"/>
          <w:lang w:val="pt-PT" w:eastAsia="x-none"/>
        </w:rPr>
        <w:t xml:space="preserve"> </w:t>
      </w:r>
      <w:r w:rsidR="007E7E63">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rFonts w:ascii="NewsGotT" w:hAnsi="NewsGotT"/>
          <w:lang w:val="pt-PT" w:eastAsia="x-none"/>
        </w:rPr>
        <w:fldChar w:fldCharType="separate"/>
      </w:r>
      <w:r w:rsidR="00214145" w:rsidRPr="00214145">
        <w:rPr>
          <w:rFonts w:ascii="NewsGotT" w:hAnsi="NewsGotT"/>
          <w:noProof/>
          <w:lang w:val="pt-PT" w:eastAsia="x-none"/>
        </w:rPr>
        <w:t>(INFARMED, 2020c)</w:t>
      </w:r>
      <w:r w:rsidR="007E7E63">
        <w:rPr>
          <w:rFonts w:ascii="NewsGotT" w:hAnsi="NewsGotT"/>
          <w:lang w:val="pt-PT" w:eastAsia="x-none"/>
        </w:rPr>
        <w:fldChar w:fldCharType="end"/>
      </w:r>
      <w:r w:rsidR="001C3600">
        <w:rPr>
          <w:rFonts w:ascii="NewsGotT" w:hAnsi="NewsGotT"/>
          <w:lang w:val="pt-PT" w:eastAsia="x-none"/>
        </w:rPr>
        <w:t xml:space="preserve">. </w:t>
      </w:r>
    </w:p>
    <w:p w14:paraId="3AEE75A2" w14:textId="16E2AA60" w:rsidR="00A45C14" w:rsidRDefault="00F224F7" w:rsidP="00CB52B7">
      <w:pPr>
        <w:pStyle w:val="Heading3"/>
        <w:spacing w:line="360" w:lineRule="auto"/>
        <w:jc w:val="both"/>
        <w:rPr>
          <w:rFonts w:ascii="NewsGotT" w:hAnsi="NewsGotT"/>
          <w:lang w:val="pt-BR" w:eastAsia="x-none"/>
        </w:rPr>
      </w:pPr>
      <w:r w:rsidRPr="00F224F7">
        <w:rPr>
          <w:rFonts w:ascii="NewsGotT" w:hAnsi="NewsGotT"/>
          <w:lang w:val="pt-BR" w:eastAsia="x-none"/>
        </w:rPr>
        <w:t>Antiparkinsónicos</w:t>
      </w:r>
    </w:p>
    <w:p w14:paraId="10AEEF82" w14:textId="77777777" w:rsidR="00D966AF" w:rsidRPr="00D966AF" w:rsidRDefault="00D966AF" w:rsidP="00D966AF">
      <w:pPr>
        <w:rPr>
          <w:lang w:val="pt-BR" w:eastAsia="x-none"/>
        </w:rPr>
      </w:pPr>
    </w:p>
    <w:p w14:paraId="7A463214" w14:textId="24E9DCCB" w:rsidR="00CE42E3" w:rsidRDefault="00D966AF" w:rsidP="0003390F">
      <w:pPr>
        <w:spacing w:line="360" w:lineRule="auto"/>
        <w:ind w:firstLine="709"/>
        <w:jc w:val="both"/>
        <w:rPr>
          <w:rFonts w:ascii="NewsGotT" w:hAnsi="NewsGotT"/>
          <w:lang w:val="pt-PT" w:eastAsia="x-none"/>
        </w:rPr>
      </w:pPr>
      <w:r>
        <w:rPr>
          <w:rFonts w:ascii="NewsGotT" w:hAnsi="NewsGotT"/>
          <w:lang w:val="pt-PT" w:eastAsia="x-none"/>
        </w:rPr>
        <w:t>A doença de Parkinson</w:t>
      </w:r>
      <w:r w:rsidR="000B7736">
        <w:rPr>
          <w:rFonts w:ascii="NewsGotT" w:hAnsi="NewsGotT"/>
          <w:lang w:val="pt-PT" w:eastAsia="x-none"/>
        </w:rPr>
        <w:t xml:space="preserve"> é a segunda doença degenerativa</w:t>
      </w:r>
      <w:r w:rsidR="00DD60BA">
        <w:rPr>
          <w:rFonts w:ascii="NewsGotT" w:hAnsi="NewsGotT"/>
          <w:lang w:val="pt-PT" w:eastAsia="x-none"/>
        </w:rPr>
        <w:t xml:space="preserve"> do SNC </w:t>
      </w:r>
      <w:r w:rsidR="000B7736">
        <w:rPr>
          <w:rFonts w:ascii="NewsGotT" w:hAnsi="NewsGotT"/>
          <w:lang w:val="pt-PT" w:eastAsia="x-none"/>
        </w:rPr>
        <w:t>mais prevalente nas sociedades</w:t>
      </w:r>
      <w:r w:rsidR="008A751D">
        <w:rPr>
          <w:rFonts w:ascii="NewsGotT" w:hAnsi="NewsGotT"/>
          <w:lang w:val="pt-PT" w:eastAsia="x-none"/>
        </w:rPr>
        <w:t xml:space="preserve"> </w:t>
      </w:r>
      <w:r w:rsidR="008A751D">
        <w:rPr>
          <w:rFonts w:ascii="NewsGotT" w:hAnsi="NewsGotT"/>
          <w:lang w:val="pt-PT" w:eastAsia="x-none"/>
        </w:rPr>
        <w:fldChar w:fldCharType="begin" w:fldLock="1"/>
      </w:r>
      <w:r w:rsidR="00531003">
        <w:rPr>
          <w:rFonts w:ascii="NewsGotT" w:hAnsi="NewsGotT"/>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rFonts w:ascii="NewsGotT" w:hAnsi="NewsGotT"/>
          <w:lang w:val="pt-PT" w:eastAsia="x-none"/>
        </w:rPr>
        <w:fldChar w:fldCharType="separate"/>
      </w:r>
      <w:r w:rsidR="008A751D" w:rsidRPr="008A751D">
        <w:rPr>
          <w:rFonts w:ascii="NewsGotT" w:hAnsi="NewsGotT"/>
          <w:noProof/>
          <w:lang w:val="pt-PT" w:eastAsia="x-none"/>
        </w:rPr>
        <w:t>(Cacabelos, 2017)</w:t>
      </w:r>
      <w:r w:rsidR="008A751D">
        <w:rPr>
          <w:rFonts w:ascii="NewsGotT" w:hAnsi="NewsGotT"/>
          <w:lang w:val="pt-PT" w:eastAsia="x-none"/>
        </w:rPr>
        <w:fldChar w:fldCharType="end"/>
      </w:r>
      <w:r w:rsidR="000B7736">
        <w:rPr>
          <w:rFonts w:ascii="NewsGotT" w:hAnsi="NewsGotT"/>
          <w:lang w:val="pt-PT" w:eastAsia="x-none"/>
        </w:rPr>
        <w:t>. É</w:t>
      </w:r>
      <w:r>
        <w:rPr>
          <w:rFonts w:ascii="NewsGotT" w:hAnsi="NewsGotT"/>
          <w:lang w:val="pt-PT" w:eastAsia="x-none"/>
        </w:rPr>
        <w:t xml:space="preserve"> um distúrbio degenerativo do SNC que se caracteriza pela lentidão e falta de movimentos, rigidez muscular, tremores em repouso e desequilíbrio postural</w:t>
      </w:r>
      <w:r w:rsidR="00152F90">
        <w:rPr>
          <w:rFonts w:ascii="NewsGotT" w:hAnsi="NewsGotT"/>
          <w:lang w:val="pt-PT" w:eastAsia="x-none"/>
        </w:rPr>
        <w:t xml:space="preserve"> </w:t>
      </w:r>
      <w:r w:rsidR="00152F90">
        <w:rPr>
          <w:rFonts w:ascii="NewsGotT" w:hAnsi="NewsGotT"/>
          <w:lang w:val="pt-PT" w:eastAsia="x-none"/>
        </w:rPr>
        <w:fldChar w:fldCharType="begin" w:fldLock="1"/>
      </w:r>
      <w:r w:rsidR="00152F90">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(Brunton et al., 2011)</w:t>
      </w:r>
      <w:r w:rsidR="00152F90">
        <w:rPr>
          <w:rFonts w:ascii="NewsGotT" w:hAnsi="NewsGotT"/>
          <w:lang w:val="pt-PT" w:eastAsia="x-none"/>
        </w:rPr>
        <w:fldChar w:fldCharType="end"/>
      </w:r>
      <w:r>
        <w:rPr>
          <w:rFonts w:ascii="NewsGotT" w:hAnsi="NewsGotT"/>
          <w:lang w:val="pt-PT" w:eastAsia="x-none"/>
        </w:rPr>
        <w:t xml:space="preserve">. </w:t>
      </w:r>
      <w:r w:rsidR="002E1445" w:rsidRPr="002E1445">
        <w:rPr>
          <w:rFonts w:ascii="NewsGotT" w:hAnsi="NewsGotT"/>
          <w:lang w:val="pt-PT" w:eastAsia="x-none"/>
        </w:rPr>
        <w:t xml:space="preserve">De </w:t>
      </w:r>
      <w:r w:rsidR="002E1445">
        <w:rPr>
          <w:rFonts w:ascii="NewsGotT" w:hAnsi="NewsGotT"/>
          <w:lang w:val="pt-PT" w:eastAsia="x-none"/>
        </w:rPr>
        <w:t xml:space="preserve">uma forma simplista na </w:t>
      </w:r>
      <w:r w:rsidR="002E1445" w:rsidRPr="002E1445">
        <w:rPr>
          <w:rFonts w:ascii="NewsGotT" w:hAnsi="NewsGotT"/>
          <w:lang w:val="pt-PT" w:eastAsia="x-none"/>
        </w:rPr>
        <w:t>fisiopatologia da doença de Parkinson, os medicamentos utilizados no seu tratamento dividem-se em anticolinérgicos e dopaminomiméticos</w:t>
      </w:r>
      <w:r w:rsidR="002E1445">
        <w:rPr>
          <w:rFonts w:ascii="NewsGotT" w:hAnsi="NewsGotT"/>
          <w:lang w:val="pt-PT" w:eastAsia="x-none"/>
        </w:rPr>
        <w:t xml:space="preserve">. Segundo a história, os fármacos </w:t>
      </w:r>
      <w:proofErr w:type="spellStart"/>
      <w:r w:rsidR="002E1445">
        <w:rPr>
          <w:rFonts w:ascii="NewsGotT" w:hAnsi="NewsGotT"/>
          <w:lang w:val="pt-PT" w:eastAsia="x-none"/>
        </w:rPr>
        <w:t>antiparkinsónicos</w:t>
      </w:r>
      <w:proofErr w:type="spellEnd"/>
      <w:r w:rsidR="002E1445">
        <w:rPr>
          <w:rFonts w:ascii="NewsGotT" w:hAnsi="NewsGotT"/>
          <w:lang w:val="pt-PT" w:eastAsia="x-none"/>
        </w:rPr>
        <w:t xml:space="preserve"> anticolinérgicos foram os primeiros fármacos a mostrarem-se eficazes no controlo de sintomas do parkinsonismo</w:t>
      </w:r>
      <w:r w:rsidR="00152F90">
        <w:rPr>
          <w:rFonts w:ascii="NewsGotT" w:hAnsi="NewsGotT"/>
          <w:lang w:val="pt-PT" w:eastAsia="x-none"/>
        </w:rPr>
        <w:t xml:space="preserve"> </w:t>
      </w:r>
      <w:r w:rsidR="00152F90">
        <w:rPr>
          <w:rFonts w:ascii="NewsGotT" w:hAnsi="NewsGotT"/>
          <w:lang w:val="pt-PT" w:eastAsia="x-none"/>
        </w:rPr>
        <w:fldChar w:fldCharType="begin" w:fldLock="1"/>
      </w:r>
      <w:r w:rsidR="00214145">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(INFARMED &amp; Ministério da Saúde, 2012)</w:t>
      </w:r>
      <w:r w:rsidR="00152F90">
        <w:rPr>
          <w:rFonts w:ascii="NewsGotT" w:hAnsi="NewsGotT"/>
          <w:lang w:val="pt-PT" w:eastAsia="x-none"/>
        </w:rPr>
        <w:fldChar w:fldCharType="end"/>
      </w:r>
      <w:r w:rsidR="002E1445">
        <w:rPr>
          <w:rFonts w:ascii="NewsGotT" w:hAnsi="NewsGotT"/>
          <w:lang w:val="pt-PT" w:eastAsia="x-none"/>
        </w:rPr>
        <w:t xml:space="preserve">. No caso especifico do </w:t>
      </w:r>
      <w:proofErr w:type="spellStart"/>
      <w:r w:rsidR="002E1445">
        <w:rPr>
          <w:rFonts w:ascii="NewsGotT" w:hAnsi="NewsGotT"/>
          <w:lang w:val="pt-PT" w:eastAsia="x-none"/>
        </w:rPr>
        <w:t>t</w:t>
      </w:r>
      <w:r w:rsidR="002E1445" w:rsidRPr="002E1445">
        <w:rPr>
          <w:rFonts w:ascii="NewsGotT" w:hAnsi="NewsGotT"/>
          <w:lang w:val="pt-PT" w:eastAsia="x-none"/>
        </w:rPr>
        <w:t>ri-hexifenidilo</w:t>
      </w:r>
      <w:proofErr w:type="spellEnd"/>
      <w:r w:rsidR="00CA76E7">
        <w:rPr>
          <w:rFonts w:ascii="NewsGotT" w:hAnsi="NewsGotT"/>
          <w:lang w:val="pt-PT" w:eastAsia="x-none"/>
        </w:rPr>
        <w:t xml:space="preserve">, um medicamento pertence à classe mencionada anteriormente, é indicado para </w:t>
      </w:r>
      <w:r w:rsidR="00CA76E7" w:rsidRPr="00CA76E7">
        <w:rPr>
          <w:rFonts w:ascii="NewsGotT" w:hAnsi="NewsGotT"/>
          <w:lang w:val="pt-PT" w:eastAsia="x-none"/>
        </w:rPr>
        <w:t>o tratamento da doença de Parkinson e outras formas de</w:t>
      </w:r>
      <w:r w:rsidR="00CA76E7">
        <w:rPr>
          <w:rFonts w:ascii="NewsGotT" w:hAnsi="NewsGotT"/>
          <w:lang w:val="pt-PT" w:eastAsia="x-none"/>
        </w:rPr>
        <w:t xml:space="preserve"> </w:t>
      </w:r>
      <w:r w:rsidR="00CA76E7" w:rsidRPr="00CA76E7">
        <w:rPr>
          <w:rFonts w:ascii="NewsGotT" w:hAnsi="NewsGotT"/>
          <w:lang w:val="pt-PT" w:eastAsia="x-none"/>
        </w:rPr>
        <w:t xml:space="preserve">parkinsonismo, nomeadamente </w:t>
      </w:r>
      <w:r w:rsidR="00CA76E7">
        <w:rPr>
          <w:rFonts w:ascii="NewsGotT" w:hAnsi="NewsGotT"/>
          <w:lang w:val="pt-PT" w:eastAsia="x-none"/>
        </w:rPr>
        <w:t xml:space="preserve">o </w:t>
      </w:r>
      <w:r w:rsidR="00CA76E7" w:rsidRPr="00CA76E7">
        <w:rPr>
          <w:rFonts w:ascii="NewsGotT" w:hAnsi="NewsGotT"/>
          <w:lang w:val="pt-PT" w:eastAsia="x-none"/>
        </w:rPr>
        <w:t>induzido por drogas</w:t>
      </w:r>
      <w:r w:rsidR="00CA76E7">
        <w:rPr>
          <w:rFonts w:ascii="NewsGotT" w:hAnsi="NewsGotT"/>
          <w:lang w:val="pt-PT" w:eastAsia="x-none"/>
        </w:rPr>
        <w:t xml:space="preserve">. É também </w:t>
      </w:r>
      <w:r w:rsidR="00CA76E7" w:rsidRPr="00CA76E7">
        <w:rPr>
          <w:rFonts w:ascii="NewsGotT" w:hAnsi="NewsGotT"/>
          <w:lang w:val="pt-PT" w:eastAsia="x-none"/>
        </w:rPr>
        <w:t>eficaz na diminuição da rigidez muscular, do tremor das extremidades</w:t>
      </w:r>
      <w:r w:rsidR="00CA76E7">
        <w:rPr>
          <w:rFonts w:ascii="NewsGotT" w:hAnsi="NewsGotT"/>
          <w:lang w:val="pt-PT" w:eastAsia="x-none"/>
        </w:rPr>
        <w:t xml:space="preserve"> e </w:t>
      </w:r>
      <w:r w:rsidR="00CA76E7" w:rsidRPr="00CA76E7">
        <w:rPr>
          <w:rFonts w:ascii="NewsGotT" w:hAnsi="NewsGotT"/>
          <w:lang w:val="pt-PT" w:eastAsia="x-none"/>
        </w:rPr>
        <w:t xml:space="preserve">da </w:t>
      </w:r>
      <w:proofErr w:type="spellStart"/>
      <w:r w:rsidR="00CA76E7" w:rsidRPr="00CA76E7">
        <w:rPr>
          <w:rFonts w:ascii="NewsGotT" w:hAnsi="NewsGotT"/>
          <w:lang w:val="pt-PT" w:eastAsia="x-none"/>
        </w:rPr>
        <w:lastRenderedPageBreak/>
        <w:t>bradicinésia</w:t>
      </w:r>
      <w:proofErr w:type="spellEnd"/>
      <w:r w:rsidR="00CA76E7" w:rsidRPr="00CA76E7">
        <w:rPr>
          <w:rFonts w:ascii="NewsGotT" w:hAnsi="NewsGotT"/>
          <w:lang w:val="pt-PT" w:eastAsia="x-none"/>
        </w:rPr>
        <w:t xml:space="preserve"> associados à Doença de Parkinson, e também, dos efeitos</w:t>
      </w:r>
      <w:r w:rsidR="00CA76E7">
        <w:rPr>
          <w:rFonts w:ascii="NewsGotT" w:hAnsi="NewsGotT"/>
          <w:lang w:val="pt-PT" w:eastAsia="x-none"/>
        </w:rPr>
        <w:t xml:space="preserve"> extrapiramidais causados por medicamentos antipsicóticos. </w:t>
      </w:r>
      <w:r w:rsidR="00152F90">
        <w:rPr>
          <w:rFonts w:ascii="NewsGotT" w:hAnsi="NewsGotT"/>
          <w:lang w:val="pt-PT" w:eastAsia="x-none"/>
        </w:rPr>
        <w:t xml:space="preserve">Tem sido reportados efeitos adversos </w:t>
      </w:r>
      <w:r w:rsidR="004F02EF">
        <w:rPr>
          <w:rFonts w:ascii="NewsGotT" w:hAnsi="NewsGotT"/>
          <w:lang w:val="pt-PT" w:eastAsia="x-none"/>
        </w:rPr>
        <w:t>relacionados com esquecimento, agitação psico-motora, confusão mental, alucinações, paranóia, psicoses, alterações do sono, sonolência</w:t>
      </w:r>
      <w:r w:rsidR="00214145">
        <w:rPr>
          <w:rFonts w:ascii="NewsGotT" w:hAnsi="NewsGotT"/>
          <w:lang w:val="pt-PT" w:eastAsia="x-none"/>
        </w:rPr>
        <w:t xml:space="preserve"> </w:t>
      </w:r>
      <w:r w:rsidR="00214145">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rFonts w:ascii="NewsGotT" w:hAnsi="NewsGotT"/>
          <w:lang w:val="pt-PT" w:eastAsia="x-none"/>
        </w:rPr>
        <w:fldChar w:fldCharType="separate"/>
      </w:r>
      <w:r w:rsidR="00214145" w:rsidRPr="00214145">
        <w:rPr>
          <w:rFonts w:ascii="NewsGotT" w:hAnsi="NewsGotT"/>
          <w:noProof/>
          <w:lang w:val="pt-PT" w:eastAsia="x-none"/>
        </w:rPr>
        <w:t>(INFARMED, 2009)</w:t>
      </w:r>
      <w:r w:rsidR="00214145">
        <w:rPr>
          <w:rFonts w:ascii="NewsGotT" w:hAnsi="NewsGotT"/>
          <w:lang w:val="pt-PT" w:eastAsia="x-none"/>
        </w:rPr>
        <w:fldChar w:fldCharType="end"/>
      </w:r>
      <w:r w:rsidR="004F02EF">
        <w:rPr>
          <w:rFonts w:ascii="NewsGotT" w:hAnsi="NewsGotT"/>
          <w:lang w:val="pt-PT" w:eastAsia="x-none"/>
        </w:rPr>
        <w:t>. E</w:t>
      </w:r>
      <w:r w:rsidR="00214145">
        <w:rPr>
          <w:rFonts w:ascii="NewsGotT" w:hAnsi="NewsGotT"/>
          <w:lang w:val="pt-PT" w:eastAsia="x-none"/>
        </w:rPr>
        <w:t>mbora seja mencionando que e</w:t>
      </w:r>
      <w:r w:rsidR="004F02EF">
        <w:rPr>
          <w:rFonts w:ascii="NewsGotT" w:hAnsi="NewsGotT"/>
          <w:lang w:val="pt-PT" w:eastAsia="x-none"/>
        </w:rPr>
        <w:t>stes efeitos colaterais</w:t>
      </w:r>
      <w:r w:rsidR="00214145">
        <w:rPr>
          <w:rFonts w:ascii="NewsGotT" w:hAnsi="NewsGotT"/>
          <w:lang w:val="pt-PT" w:eastAsia="x-none"/>
        </w:rPr>
        <w:t xml:space="preserve"> ocorrem raramente,</w:t>
      </w:r>
      <w:r w:rsidR="004F02EF">
        <w:rPr>
          <w:rFonts w:ascii="NewsGotT" w:hAnsi="NewsGotT"/>
          <w:lang w:val="pt-PT" w:eastAsia="x-none"/>
        </w:rPr>
        <w:t xml:space="preserve"> são muito relevantes </w:t>
      </w:r>
      <w:r w:rsidR="00214145">
        <w:rPr>
          <w:rFonts w:ascii="NewsGotT" w:hAnsi="NewsGotT"/>
          <w:lang w:val="pt-PT" w:eastAsia="x-none"/>
        </w:rPr>
        <w:t>o estudo da predição da</w:t>
      </w:r>
      <w:r w:rsidR="004F02EF">
        <w:rPr>
          <w:rFonts w:ascii="NewsGotT" w:hAnsi="NewsGotT"/>
          <w:lang w:val="pt-PT" w:eastAsia="x-none"/>
        </w:rPr>
        <w:t xml:space="preserve"> síndrome de </w:t>
      </w:r>
      <w:r w:rsidR="004F02EF" w:rsidRPr="004F02EF">
        <w:rPr>
          <w:rFonts w:ascii="NewsGotT" w:hAnsi="NewsGotT"/>
          <w:i/>
          <w:iCs/>
          <w:lang w:val="pt-PT" w:eastAsia="x-none"/>
        </w:rPr>
        <w:t>delirium</w:t>
      </w:r>
      <w:r w:rsidR="00214145">
        <w:rPr>
          <w:rFonts w:ascii="NewsGotT" w:hAnsi="NewsGotT"/>
          <w:lang w:val="pt-PT" w:eastAsia="x-none"/>
        </w:rPr>
        <w:t xml:space="preserve">. </w:t>
      </w:r>
    </w:p>
    <w:p w14:paraId="2810D8D3" w14:textId="3C69C64F" w:rsidR="00A311B8" w:rsidRDefault="00A311B8" w:rsidP="00A311B8">
      <w:pPr>
        <w:pStyle w:val="Heading3"/>
        <w:spacing w:line="360" w:lineRule="auto"/>
        <w:jc w:val="both"/>
        <w:rPr>
          <w:rFonts w:ascii="NewsGotT" w:hAnsi="NewsGotT"/>
          <w:lang w:val="pt-BR" w:eastAsia="x-none"/>
        </w:rPr>
      </w:pPr>
      <w:proofErr w:type="spellStart"/>
      <w:r w:rsidRPr="00F224F7">
        <w:rPr>
          <w:rFonts w:ascii="NewsGotT" w:hAnsi="NewsGotT"/>
          <w:lang w:val="pt-BR" w:eastAsia="x-none"/>
        </w:rPr>
        <w:t>Anti</w:t>
      </w:r>
      <w:r>
        <w:rPr>
          <w:rFonts w:ascii="NewsGotT" w:hAnsi="NewsGotT"/>
          <w:lang w:val="pt-BR" w:eastAsia="x-none"/>
        </w:rPr>
        <w:t>tússicos</w:t>
      </w:r>
      <w:proofErr w:type="spellEnd"/>
      <w:r>
        <w:rPr>
          <w:rFonts w:ascii="NewsGotT" w:hAnsi="NewsGotT"/>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spacing w:line="360" w:lineRule="auto"/>
        <w:ind w:firstLine="709"/>
        <w:jc w:val="both"/>
        <w:rPr>
          <w:rFonts w:ascii="NewsGotT" w:hAnsi="NewsGotT"/>
          <w:lang w:val="pt-PT" w:eastAsia="x-none"/>
        </w:rPr>
      </w:pPr>
      <w:r>
        <w:rPr>
          <w:rFonts w:ascii="NewsGotT" w:hAnsi="NewsGotT"/>
          <w:lang w:val="pt-PT" w:eastAsia="x-none"/>
        </w:rPr>
        <w:t xml:space="preserve">A tosse caracteriza-se por um movimento voluntário ou reflexo ativado pela reação a uma irritação da laringe, traqueia ou brônquios. </w:t>
      </w:r>
      <w:r w:rsidR="007C2728">
        <w:rPr>
          <w:rFonts w:ascii="NewsGotT" w:hAnsi="NewsGotT"/>
          <w:lang w:val="pt-PT" w:eastAsia="x-none"/>
        </w:rPr>
        <w:t>É considerado um mecanismo protetor que visa a remoção de partículas estranhas inaladas e de secreções das vias respiratórias superiores</w:t>
      </w:r>
      <w:r w:rsidR="00531003">
        <w:rPr>
          <w:rFonts w:ascii="NewsGotT" w:hAnsi="NewsGotT"/>
          <w:lang w:val="pt-PT" w:eastAsia="x-none"/>
        </w:rPr>
        <w:t xml:space="preserve"> </w:t>
      </w:r>
      <w:r w:rsidR="00531003">
        <w:rPr>
          <w:rFonts w:ascii="NewsGotT" w:hAnsi="NewsGotT"/>
          <w:lang w:val="pt-PT" w:eastAsia="x-none"/>
        </w:rPr>
        <w:fldChar w:fldCharType="begin" w:fldLock="1"/>
      </w:r>
      <w:r w:rsidR="005C5D28">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rFonts w:ascii="NewsGotT" w:hAnsi="NewsGotT"/>
          <w:lang w:val="pt-PT" w:eastAsia="x-none"/>
        </w:rPr>
        <w:fldChar w:fldCharType="separate"/>
      </w:r>
      <w:r w:rsidR="00531003" w:rsidRPr="00531003">
        <w:rPr>
          <w:rFonts w:ascii="NewsGotT" w:hAnsi="NewsGotT"/>
          <w:noProof/>
          <w:lang w:val="pt-PT" w:eastAsia="x-none"/>
        </w:rPr>
        <w:t>(INFARMED &amp; Ministério da Saúde, 2012)</w:t>
      </w:r>
      <w:r w:rsidR="00531003">
        <w:rPr>
          <w:rFonts w:ascii="NewsGotT" w:hAnsi="NewsGotT"/>
          <w:lang w:val="pt-PT" w:eastAsia="x-none"/>
        </w:rPr>
        <w:fldChar w:fldCharType="end"/>
      </w:r>
      <w:r w:rsidR="007C2728">
        <w:rPr>
          <w:rFonts w:ascii="NewsGotT" w:hAnsi="NewsGotT"/>
          <w:lang w:val="pt-PT" w:eastAsia="x-none"/>
        </w:rPr>
        <w:t>. No entanto, também pode ser um sintoma de doença</w:t>
      </w:r>
      <w:r w:rsidR="00531003">
        <w:rPr>
          <w:rFonts w:ascii="NewsGotT" w:hAnsi="NewsGotT"/>
          <w:lang w:val="pt-PT" w:eastAsia="x-none"/>
        </w:rPr>
        <w:t xml:space="preserve"> das vias respiratórias</w:t>
      </w:r>
      <w:r w:rsidR="007C2728">
        <w:rPr>
          <w:rFonts w:ascii="NewsGotT" w:hAnsi="NewsGotT"/>
          <w:lang w:val="pt-PT" w:eastAsia="x-none"/>
        </w:rPr>
        <w:t xml:space="preserve">, e é neste ponto que os fármacos se tornam essenciais para a melhoria da qualidade de vida dos indivíduos. </w:t>
      </w:r>
      <w:r w:rsidR="003A48B0">
        <w:rPr>
          <w:rFonts w:ascii="NewsGotT" w:hAnsi="NewsGotT"/>
          <w:lang w:val="pt-PT" w:eastAsia="x-none"/>
        </w:rPr>
        <w:t>Para o tratamento deste sintoma são comumente utilizados os</w:t>
      </w:r>
      <w:r w:rsidR="00531003" w:rsidRPr="00531003">
        <w:rPr>
          <w:rFonts w:ascii="NewsGotT" w:hAnsi="NewsGotT"/>
          <w:lang w:val="pt-PT" w:eastAsia="x-none"/>
        </w:rPr>
        <w:t xml:space="preserve"> antitússicos de ação central não estupefacientes</w:t>
      </w:r>
      <w:r w:rsidR="003A48B0">
        <w:rPr>
          <w:rFonts w:ascii="NewsGotT" w:hAnsi="NewsGotT"/>
          <w:lang w:val="pt-PT" w:eastAsia="x-none"/>
        </w:rPr>
        <w:t xml:space="preserve">, estes que </w:t>
      </w:r>
      <w:r w:rsidR="00531003" w:rsidRPr="00531003">
        <w:rPr>
          <w:rFonts w:ascii="NewsGotT" w:hAnsi="NewsGotT"/>
          <w:lang w:val="pt-PT" w:eastAsia="x-none"/>
        </w:rPr>
        <w:t>aliam um efeito antitússico a uma menor possibilidade de provocarem reações adversas</w:t>
      </w:r>
      <w:r w:rsidR="003A48B0">
        <w:rPr>
          <w:rFonts w:ascii="NewsGotT" w:hAnsi="NewsGotT"/>
          <w:lang w:val="pt-PT" w:eastAsia="x-none"/>
        </w:rPr>
        <w:t xml:space="preserve">. </w:t>
      </w:r>
    </w:p>
    <w:p w14:paraId="5B7A19DA" w14:textId="11BB2899" w:rsidR="00896157" w:rsidRDefault="00F01AC8" w:rsidP="00896157">
      <w:pPr>
        <w:spacing w:line="360" w:lineRule="auto"/>
        <w:ind w:firstLine="709"/>
        <w:jc w:val="both"/>
        <w:rPr>
          <w:rFonts w:ascii="NewsGotT" w:hAnsi="NewsGotT"/>
          <w:lang w:val="pt-PT" w:eastAsia="x-none"/>
        </w:rPr>
      </w:pPr>
      <w:r>
        <w:rPr>
          <w:rFonts w:ascii="NewsGotT" w:hAnsi="NewsGotT"/>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rFonts w:ascii="NewsGotT" w:hAnsi="NewsGotT"/>
          <w:lang w:val="pt-PT" w:eastAsia="x-none"/>
        </w:rPr>
        <w:t>este processo deve-se à</w:t>
      </w:r>
      <w:r>
        <w:rPr>
          <w:rFonts w:ascii="NewsGotT" w:hAnsi="NewsGotT"/>
          <w:lang w:val="pt-PT" w:eastAsia="x-none"/>
        </w:rPr>
        <w:t xml:space="preserve"> </w:t>
      </w:r>
      <w:r w:rsidRPr="0003390F">
        <w:rPr>
          <w:rFonts w:ascii="NewsGotT" w:hAnsi="NewsGotT"/>
          <w:lang w:val="pt-PT" w:eastAsia="x-none"/>
        </w:rPr>
        <w:t>enzima hepática CYP2D6</w:t>
      </w:r>
      <w:r>
        <w:rPr>
          <w:rFonts w:ascii="NewsGotT" w:hAnsi="NewsGotT"/>
          <w:lang w:val="pt-PT" w:eastAsia="x-none"/>
        </w:rPr>
        <w:t xml:space="preserve"> </w:t>
      </w:r>
      <w:r w:rsidR="00896157">
        <w:rPr>
          <w:rFonts w:ascii="NewsGotT" w:hAnsi="NewsGotT"/>
          <w:lang w:val="pt-PT" w:eastAsia="x-none"/>
        </w:rPr>
        <w:t xml:space="preserve">que </w:t>
      </w:r>
      <w:r w:rsidRPr="00F01AC8">
        <w:rPr>
          <w:rFonts w:ascii="NewsGotT" w:hAnsi="NewsGotT"/>
          <w:lang w:val="pt-PT" w:eastAsia="x-none"/>
        </w:rPr>
        <w:t>converte a codeína em morfina</w:t>
      </w:r>
      <w:r w:rsidR="005C5D28">
        <w:rPr>
          <w:rFonts w:ascii="NewsGotT" w:hAnsi="NewsGotT"/>
          <w:lang w:val="pt-PT" w:eastAsia="x-none"/>
        </w:rPr>
        <w:t xml:space="preserve"> </w:t>
      </w:r>
      <w:r w:rsidR="005C5D28">
        <w:rPr>
          <w:rFonts w:ascii="NewsGotT" w:hAnsi="NewsGotT"/>
          <w:lang w:val="pt-PT" w:eastAsia="x-none"/>
        </w:rPr>
        <w:fldChar w:fldCharType="begin" w:fldLock="1"/>
      </w:r>
      <w:r w:rsidR="005C5D28">
        <w:rPr>
          <w:rFonts w:ascii="NewsGotT" w:hAnsi="NewsGotT"/>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rFonts w:ascii="NewsGotT" w:hAnsi="NewsGotT"/>
          <w:lang w:val="pt-PT" w:eastAsia="x-none"/>
        </w:rPr>
        <w:fldChar w:fldCharType="separate"/>
      </w:r>
      <w:r w:rsidR="005C5D28" w:rsidRPr="005C5D28">
        <w:rPr>
          <w:rFonts w:ascii="NewsGotT" w:hAnsi="NewsGotT"/>
          <w:noProof/>
          <w:lang w:val="pt-PT" w:eastAsia="x-none"/>
        </w:rPr>
        <w:t>(Diseases, 2012)</w:t>
      </w:r>
      <w:r w:rsidR="005C5D28">
        <w:rPr>
          <w:rFonts w:ascii="NewsGotT" w:hAnsi="NewsGotT"/>
          <w:lang w:val="pt-PT" w:eastAsia="x-none"/>
        </w:rPr>
        <w:fldChar w:fldCharType="end"/>
      </w:r>
      <w:r w:rsidR="00896157">
        <w:rPr>
          <w:rFonts w:ascii="NewsGotT" w:hAnsi="NewsGotT"/>
          <w:lang w:val="pt-PT" w:eastAsia="x-none"/>
        </w:rPr>
        <w:t>. Porém, esta enzima exibe um polimorfismo genético</w:t>
      </w:r>
      <w:r w:rsidR="00D134D6">
        <w:rPr>
          <w:rFonts w:ascii="NewsGotT" w:hAnsi="NewsGotT"/>
          <w:lang w:val="pt-PT" w:eastAsia="x-none"/>
        </w:rPr>
        <w:t>,</w:t>
      </w:r>
      <w:r w:rsidR="00896157">
        <w:rPr>
          <w:rFonts w:ascii="NewsGotT" w:hAnsi="NewsGotT"/>
          <w:lang w:val="pt-PT" w:eastAsia="x-none"/>
        </w:rPr>
        <w:t xml:space="preserve"> e</w:t>
      </w:r>
      <w:r w:rsidR="00D134D6">
        <w:rPr>
          <w:rFonts w:ascii="NewsGotT" w:hAnsi="NewsGotT"/>
          <w:lang w:val="pt-PT" w:eastAsia="x-none"/>
        </w:rPr>
        <w:t xml:space="preserve"> c</w:t>
      </w:r>
      <w:r w:rsidR="0003390F">
        <w:rPr>
          <w:rFonts w:ascii="NewsGotT" w:hAnsi="NewsGotT"/>
          <w:lang w:val="pt-PT" w:eastAsia="x-none"/>
        </w:rPr>
        <w:t xml:space="preserve">aso o doente tenha uma deficiência ou ausência desta enzima, não será obtido efeito terapêutico. </w:t>
      </w:r>
      <w:r w:rsidR="002F629E">
        <w:rPr>
          <w:rFonts w:ascii="NewsGotT" w:hAnsi="NewsGotT"/>
          <w:lang w:val="pt-PT" w:eastAsia="x-none"/>
        </w:rPr>
        <w:t>Por outro lado, se o paciente metabolizar rapidamente aquela enzima, existe o risco acrescido de desenvolver efeitos secundários de toxicidade opióide. Os sintomas gera</w:t>
      </w:r>
      <w:r w:rsidR="0062262F">
        <w:rPr>
          <w:rFonts w:ascii="NewsGotT" w:hAnsi="NewsGotT"/>
          <w:lang w:val="pt-PT" w:eastAsia="x-none"/>
        </w:rPr>
        <w:t>i</w:t>
      </w:r>
      <w:r w:rsidR="002F629E">
        <w:rPr>
          <w:rFonts w:ascii="NewsGotT" w:hAnsi="NewsGotT"/>
          <w:lang w:val="pt-PT" w:eastAsia="x-none"/>
        </w:rPr>
        <w:t>s de toxicidade</w:t>
      </w:r>
      <w:r w:rsidR="00896157">
        <w:rPr>
          <w:rFonts w:ascii="NewsGotT" w:hAnsi="NewsGotT"/>
          <w:lang w:val="pt-PT" w:eastAsia="x-none"/>
        </w:rPr>
        <w:t xml:space="preserve"> relacionados com o excesso metabólico da enzima </w:t>
      </w:r>
      <w:r w:rsidR="00896157" w:rsidRPr="0003390F">
        <w:rPr>
          <w:rFonts w:ascii="NewsGotT" w:hAnsi="NewsGotT"/>
          <w:lang w:val="pt-PT" w:eastAsia="x-none"/>
        </w:rPr>
        <w:t>CYP2D6</w:t>
      </w:r>
      <w:r w:rsidR="002F629E">
        <w:rPr>
          <w:rFonts w:ascii="NewsGotT" w:hAnsi="NewsGotT"/>
          <w:lang w:val="pt-PT" w:eastAsia="x-none"/>
        </w:rPr>
        <w:t xml:space="preserve"> </w:t>
      </w:r>
      <w:r w:rsidR="002F629E" w:rsidRPr="002F629E">
        <w:rPr>
          <w:rFonts w:ascii="NewsGotT" w:hAnsi="NewsGotT"/>
          <w:lang w:val="pt-PT" w:eastAsia="x-none"/>
        </w:rPr>
        <w:t>incluem confusão, sonolência, respiração</w:t>
      </w:r>
      <w:r w:rsidR="002F629E">
        <w:rPr>
          <w:rFonts w:ascii="NewsGotT" w:hAnsi="NewsGotT"/>
          <w:lang w:val="pt-PT" w:eastAsia="x-none"/>
        </w:rPr>
        <w:t xml:space="preserve"> </w:t>
      </w:r>
      <w:r w:rsidR="002F629E" w:rsidRPr="002F629E">
        <w:rPr>
          <w:rFonts w:ascii="NewsGotT" w:hAnsi="NewsGotT"/>
          <w:lang w:val="pt-PT" w:eastAsia="x-none"/>
        </w:rPr>
        <w:t>superficial, contração das pupilas, náuseas, vómitos, obstipação e falta de apetite</w:t>
      </w:r>
      <w:r w:rsidR="005C5D28">
        <w:rPr>
          <w:rFonts w:ascii="NewsGotT" w:hAnsi="NewsGotT"/>
          <w:lang w:val="pt-PT" w:eastAsia="x-none"/>
        </w:rPr>
        <w:t xml:space="preserve"> </w:t>
      </w:r>
      <w:r w:rsidR="005C5D28">
        <w:rPr>
          <w:rFonts w:ascii="NewsGotT" w:hAnsi="NewsGotT"/>
          <w:lang w:val="pt-PT" w:eastAsia="x-none"/>
        </w:rPr>
        <w:fldChar w:fldCharType="begin" w:fldLock="1"/>
      </w:r>
      <w:r w:rsidR="00542F9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rFonts w:ascii="NewsGotT" w:hAnsi="NewsGotT"/>
          <w:lang w:val="pt-PT" w:eastAsia="x-none"/>
        </w:rPr>
        <w:fldChar w:fldCharType="separate"/>
      </w:r>
      <w:r w:rsidR="005C5D28" w:rsidRPr="005C5D28">
        <w:rPr>
          <w:rFonts w:ascii="NewsGotT" w:hAnsi="NewsGotT"/>
          <w:noProof/>
          <w:lang w:val="pt-PT" w:eastAsia="x-none"/>
        </w:rPr>
        <w:t>(INFARMED, 2017)</w:t>
      </w:r>
      <w:r w:rsidR="005C5D28">
        <w:rPr>
          <w:rFonts w:ascii="NewsGotT" w:hAnsi="NewsGotT"/>
          <w:lang w:val="pt-PT" w:eastAsia="x-none"/>
        </w:rPr>
        <w:fldChar w:fldCharType="end"/>
      </w:r>
      <w:r w:rsidR="0062262F">
        <w:rPr>
          <w:rFonts w:ascii="NewsGotT" w:hAnsi="NewsGotT"/>
          <w:lang w:val="pt-PT" w:eastAsia="x-none"/>
        </w:rPr>
        <w:t>.</w:t>
      </w:r>
    </w:p>
    <w:p w14:paraId="06CFE660" w14:textId="7B4A80C3" w:rsidR="00A311B8" w:rsidRDefault="00836F2F" w:rsidP="00901AE6">
      <w:pPr>
        <w:spacing w:line="360" w:lineRule="auto"/>
        <w:ind w:firstLine="709"/>
        <w:jc w:val="both"/>
        <w:rPr>
          <w:rFonts w:ascii="NewsGotT" w:hAnsi="NewsGotT"/>
          <w:lang w:val="pt-PT" w:eastAsia="x-none"/>
        </w:rPr>
      </w:pPr>
      <w:r>
        <w:rPr>
          <w:rFonts w:ascii="NewsGotT" w:hAnsi="NewsGotT"/>
          <w:lang w:val="pt-PT" w:eastAsia="x-none"/>
        </w:rPr>
        <w:t xml:space="preserve">Quando se avaliam os </w:t>
      </w:r>
      <w:r w:rsidR="0062262F">
        <w:rPr>
          <w:rFonts w:ascii="NewsGotT" w:hAnsi="NewsGotT"/>
          <w:lang w:val="pt-PT" w:eastAsia="x-none"/>
        </w:rPr>
        <w:t>efeitos indesejáveis da codeína</w:t>
      </w:r>
      <w:r>
        <w:rPr>
          <w:rFonts w:ascii="NewsGotT" w:hAnsi="NewsGotT"/>
          <w:lang w:val="pt-PT" w:eastAsia="x-none"/>
        </w:rPr>
        <w:t xml:space="preserve"> na população geral</w:t>
      </w:r>
      <w:r w:rsidR="0062262F">
        <w:rPr>
          <w:rFonts w:ascii="NewsGotT" w:hAnsi="NewsGotT"/>
          <w:lang w:val="pt-PT" w:eastAsia="x-none"/>
        </w:rPr>
        <w:t xml:space="preserve"> é referido que em doses terapêuticas </w:t>
      </w:r>
      <w:r>
        <w:rPr>
          <w:rFonts w:ascii="NewsGotT" w:hAnsi="NewsGotT"/>
          <w:lang w:val="pt-PT" w:eastAsia="x-none"/>
        </w:rPr>
        <w:t xml:space="preserve">estes </w:t>
      </w:r>
      <w:r w:rsidR="0062262F">
        <w:rPr>
          <w:rFonts w:ascii="NewsGotT" w:hAnsi="NewsGotT"/>
          <w:lang w:val="pt-PT" w:eastAsia="x-none"/>
        </w:rPr>
        <w:t>ocorrem muito raramente.</w:t>
      </w:r>
      <w:r>
        <w:rPr>
          <w:rFonts w:ascii="NewsGotT" w:hAnsi="NewsGotT"/>
          <w:lang w:val="pt-PT" w:eastAsia="x-none"/>
        </w:rPr>
        <w:t xml:space="preserve"> Mas, da</w:t>
      </w:r>
      <w:r w:rsidR="0062262F" w:rsidRPr="0062262F">
        <w:rPr>
          <w:rFonts w:ascii="NewsGotT" w:hAnsi="NewsGotT"/>
          <w:lang w:val="pt-PT" w:eastAsia="x-none"/>
        </w:rPr>
        <w:t>s reações adversas características da classe dos opiáceos</w:t>
      </w:r>
      <w:r w:rsidR="00A36A56">
        <w:rPr>
          <w:rFonts w:ascii="NewsGotT" w:hAnsi="NewsGotT"/>
          <w:lang w:val="pt-PT" w:eastAsia="x-none"/>
        </w:rPr>
        <w:t>,</w:t>
      </w:r>
      <w:r w:rsidR="0062262F" w:rsidRPr="0062262F">
        <w:rPr>
          <w:rFonts w:ascii="NewsGotT" w:hAnsi="NewsGotT"/>
          <w:lang w:val="pt-PT" w:eastAsia="x-none"/>
        </w:rPr>
        <w:t xml:space="preserve"> </w:t>
      </w:r>
      <w:r>
        <w:rPr>
          <w:rFonts w:ascii="NewsGotT" w:hAnsi="NewsGotT"/>
          <w:lang w:val="pt-PT" w:eastAsia="x-none"/>
        </w:rPr>
        <w:t>podem destacar-se</w:t>
      </w:r>
      <w:r>
        <w:rPr>
          <w:rFonts w:ascii="NewsGotT" w:hAnsi="NewsGotT"/>
          <w:lang w:val="pt-PT" w:eastAsia="x-none"/>
        </w:rPr>
        <w:t xml:space="preserve"> </w:t>
      </w:r>
      <w:r w:rsidRPr="0062262F">
        <w:rPr>
          <w:rFonts w:ascii="NewsGotT" w:hAnsi="NewsGotT"/>
          <w:lang w:val="pt-PT" w:eastAsia="x-none"/>
        </w:rPr>
        <w:t>as</w:t>
      </w:r>
      <w:r>
        <w:rPr>
          <w:rFonts w:ascii="NewsGotT" w:hAnsi="NewsGotT"/>
          <w:lang w:val="pt-PT" w:eastAsia="x-none"/>
        </w:rPr>
        <w:t xml:space="preserve"> </w:t>
      </w:r>
      <w:r w:rsidRPr="0062262F">
        <w:rPr>
          <w:rFonts w:ascii="NewsGotT" w:hAnsi="NewsGotT"/>
          <w:lang w:val="pt-PT" w:eastAsia="x-none"/>
        </w:rPr>
        <w:t>tonturas</w:t>
      </w:r>
      <w:r>
        <w:rPr>
          <w:rFonts w:ascii="NewsGotT" w:hAnsi="NewsGotT"/>
          <w:lang w:val="pt-PT" w:eastAsia="x-none"/>
        </w:rPr>
        <w:t>,</w:t>
      </w:r>
      <w:r w:rsidR="0062262F" w:rsidRPr="0062262F">
        <w:rPr>
          <w:rFonts w:ascii="NewsGotT" w:hAnsi="NewsGotT"/>
          <w:lang w:val="pt-PT" w:eastAsia="x-none"/>
        </w:rPr>
        <w:t xml:space="preserve"> sedação, náuseas e vómitos e sudação. Além destas</w:t>
      </w:r>
      <w:r>
        <w:rPr>
          <w:rFonts w:ascii="NewsGotT" w:hAnsi="NewsGotT"/>
          <w:lang w:val="pt-PT" w:eastAsia="x-none"/>
        </w:rPr>
        <w:t xml:space="preserve">, também são descritos casos de </w:t>
      </w:r>
      <w:r w:rsidR="0062262F" w:rsidRPr="0062262F">
        <w:rPr>
          <w:rFonts w:ascii="NewsGotT" w:hAnsi="NewsGotT"/>
          <w:lang w:val="pt-PT" w:eastAsia="x-none"/>
        </w:rPr>
        <w:t>euforia, disforia, estados confusionais, insónia, agitação, medo, alucinações,</w:t>
      </w:r>
      <w:r w:rsidR="0062262F">
        <w:rPr>
          <w:rFonts w:ascii="NewsGotT" w:hAnsi="NewsGotT"/>
          <w:lang w:val="pt-PT" w:eastAsia="x-none"/>
        </w:rPr>
        <w:t xml:space="preserve"> </w:t>
      </w:r>
      <w:r w:rsidR="0062262F" w:rsidRPr="0062262F">
        <w:rPr>
          <w:rFonts w:ascii="NewsGotT" w:hAnsi="NewsGotT"/>
          <w:lang w:val="pt-PT" w:eastAsia="x-none"/>
        </w:rPr>
        <w:t>sonolência, alteração do humor, cefaleias, alterações da visão</w:t>
      </w:r>
      <w:r w:rsidR="00542F9D">
        <w:rPr>
          <w:rFonts w:ascii="NewsGotT" w:hAnsi="NewsGotT"/>
          <w:lang w:val="pt-PT" w:eastAsia="x-none"/>
        </w:rPr>
        <w:t xml:space="preserve"> </w:t>
      </w:r>
      <w:r w:rsidR="00542F9D">
        <w:rPr>
          <w:rFonts w:ascii="NewsGotT" w:hAnsi="NewsGotT"/>
          <w:lang w:val="pt-PT" w:eastAsia="x-none"/>
        </w:rPr>
        <w:fldChar w:fldCharType="begin" w:fldLock="1"/>
      </w:r>
      <w:r w:rsidR="00AF5D6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rFonts w:ascii="NewsGotT" w:hAnsi="NewsGotT"/>
          <w:lang w:val="pt-PT" w:eastAsia="x-none"/>
        </w:rPr>
        <w:fldChar w:fldCharType="separate"/>
      </w:r>
      <w:r w:rsidR="00542F9D" w:rsidRPr="00542F9D">
        <w:rPr>
          <w:rFonts w:ascii="NewsGotT" w:hAnsi="NewsGotT"/>
          <w:noProof/>
          <w:lang w:val="pt-PT" w:eastAsia="x-none"/>
        </w:rPr>
        <w:t>(INFARMED, 2017)</w:t>
      </w:r>
      <w:r w:rsidR="00542F9D">
        <w:rPr>
          <w:rFonts w:ascii="NewsGotT" w:hAnsi="NewsGotT"/>
          <w:lang w:val="pt-PT" w:eastAsia="x-none"/>
        </w:rPr>
        <w:fldChar w:fldCharType="end"/>
      </w:r>
      <w:r w:rsidR="00901AE6">
        <w:rPr>
          <w:rFonts w:ascii="NewsGotT" w:hAnsi="NewsGotT"/>
          <w:lang w:val="pt-PT" w:eastAsia="x-none"/>
        </w:rPr>
        <w:t xml:space="preserve">. </w:t>
      </w:r>
    </w:p>
    <w:p w14:paraId="277A5A59" w14:textId="523A6E96" w:rsidR="0003390F" w:rsidRPr="00292126" w:rsidRDefault="00767180" w:rsidP="0003390F">
      <w:pPr>
        <w:pStyle w:val="Heading3"/>
        <w:spacing w:line="360" w:lineRule="auto"/>
        <w:jc w:val="both"/>
        <w:rPr>
          <w:rFonts w:ascii="NewsGotT" w:hAnsi="NewsGotT"/>
          <w:lang w:val="pt-BR" w:eastAsia="x-none"/>
        </w:rPr>
      </w:pPr>
      <w:r>
        <w:rPr>
          <w:rFonts w:ascii="NewsGotT" w:hAnsi="NewsGotT"/>
          <w:lang w:val="pt-BR" w:eastAsia="x-none"/>
        </w:rPr>
        <w:lastRenderedPageBreak/>
        <w:t xml:space="preserve">Digitálicos </w:t>
      </w:r>
    </w:p>
    <w:p w14:paraId="7710E137" w14:textId="0D54E428" w:rsidR="00292126" w:rsidRDefault="00292126" w:rsidP="00E25253">
      <w:pPr>
        <w:spacing w:line="360" w:lineRule="auto"/>
        <w:jc w:val="both"/>
        <w:rPr>
          <w:rFonts w:ascii="NewsGotT" w:hAnsi="NewsGotT"/>
          <w:lang w:val="pt-BR" w:eastAsia="x-none"/>
        </w:rPr>
      </w:pPr>
    </w:p>
    <w:p w14:paraId="01D9DE46" w14:textId="77777777" w:rsidR="00B51259" w:rsidRDefault="00E25253" w:rsidP="00B51259">
      <w:pPr>
        <w:spacing w:line="360" w:lineRule="auto"/>
        <w:ind w:firstLine="709"/>
        <w:jc w:val="both"/>
        <w:rPr>
          <w:rFonts w:ascii="NewsGotT" w:hAnsi="NewsGotT"/>
          <w:lang w:val="pt-PT" w:eastAsia="x-none"/>
        </w:rPr>
      </w:pPr>
      <w:r w:rsidRPr="00E25253">
        <w:rPr>
          <w:rFonts w:ascii="NewsGotT" w:hAnsi="NewsGotT"/>
          <w:lang w:val="pt-BR" w:eastAsia="x-none"/>
        </w:rPr>
        <w:t xml:space="preserve">A </w:t>
      </w:r>
      <w:r>
        <w:rPr>
          <w:rFonts w:ascii="NewsGotT" w:hAnsi="NewsGotT"/>
          <w:lang w:val="pt-BR" w:eastAsia="x-none"/>
        </w:rPr>
        <w:t>insuficiência cardíaca</w:t>
      </w:r>
      <w:r w:rsidRPr="00E25253">
        <w:rPr>
          <w:rFonts w:ascii="NewsGotT" w:hAnsi="NewsGotT"/>
          <w:lang w:val="pt-BR" w:eastAsia="x-none"/>
        </w:rPr>
        <w:t xml:space="preserve"> </w:t>
      </w:r>
      <w:r>
        <w:rPr>
          <w:rFonts w:ascii="NewsGotT" w:hAnsi="NewsGotT"/>
          <w:lang w:val="pt-BR" w:eastAsia="x-none"/>
        </w:rPr>
        <w:t xml:space="preserve">é </w:t>
      </w:r>
      <w:r w:rsidRPr="00E25253">
        <w:rPr>
          <w:rFonts w:ascii="NewsGotT" w:hAnsi="NewsGotT"/>
          <w:lang w:val="pt-BR" w:eastAsia="x-none"/>
        </w:rPr>
        <w:t xml:space="preserve">uma síndrome causada por uma anomalia da função cardíaca, </w:t>
      </w:r>
      <w:r>
        <w:rPr>
          <w:rFonts w:ascii="NewsGotT" w:hAnsi="NewsGotT"/>
          <w:lang w:val="pt-BR" w:eastAsia="x-none"/>
        </w:rPr>
        <w:t>causando</w:t>
      </w:r>
      <w:r w:rsidRPr="00E25253">
        <w:rPr>
          <w:rFonts w:ascii="NewsGotT" w:hAnsi="NewsGotT"/>
          <w:lang w:val="pt-BR" w:eastAsia="x-none"/>
        </w:rPr>
        <w:t xml:space="preserve"> um débito sanguíneo inadequado às necessidades metabólicas do organismo </w:t>
      </w:r>
      <w:r>
        <w:rPr>
          <w:rFonts w:ascii="NewsGotT" w:hAnsi="NewsGotT"/>
          <w:lang w:val="pt-BR" w:eastAsia="x-none"/>
        </w:rPr>
        <w:t xml:space="preserve">quer </w:t>
      </w:r>
      <w:r w:rsidRPr="00E25253">
        <w:rPr>
          <w:rFonts w:ascii="NewsGotT" w:hAnsi="NewsGotT"/>
          <w:lang w:val="pt-BR" w:eastAsia="x-none"/>
        </w:rPr>
        <w:t xml:space="preserve">em repouso </w:t>
      </w:r>
      <w:r w:rsidR="003D0CC4">
        <w:rPr>
          <w:rFonts w:ascii="NewsGotT" w:hAnsi="NewsGotT"/>
          <w:lang w:val="pt-BR" w:eastAsia="x-none"/>
        </w:rPr>
        <w:t>quer</w:t>
      </w:r>
      <w:r>
        <w:rPr>
          <w:rFonts w:ascii="NewsGotT" w:hAnsi="NewsGotT"/>
          <w:lang w:val="pt-BR" w:eastAsia="x-none"/>
        </w:rPr>
        <w:t xml:space="preserve"> em</w:t>
      </w:r>
      <w:r w:rsidRPr="00E25253">
        <w:rPr>
          <w:rFonts w:ascii="NewsGotT" w:hAnsi="NewsGotT"/>
          <w:lang w:val="pt-BR" w:eastAsia="x-none"/>
        </w:rPr>
        <w:t xml:space="preserve"> </w:t>
      </w:r>
      <w:r>
        <w:rPr>
          <w:rFonts w:ascii="NewsGotT" w:hAnsi="NewsGotT"/>
          <w:lang w:val="pt-BR" w:eastAsia="x-none"/>
        </w:rPr>
        <w:t xml:space="preserve">esforço. A prevalência desta doença aumenta não só com o avanço da idade, como também pela ocorrência de hipertensão arterial e de enfarte do miocárdio em pessoas a partir dos 65 anos </w:t>
      </w:r>
      <w:r>
        <w:rPr>
          <w:rFonts w:ascii="NewsGotT" w:hAnsi="NewsGotT"/>
          <w:lang w:val="pt-BR" w:eastAsia="x-none"/>
        </w:rPr>
        <w:fldChar w:fldCharType="begin" w:fldLock="1"/>
      </w:r>
      <w:r w:rsidR="00B51259">
        <w:rPr>
          <w:rFonts w:ascii="NewsGotT" w:hAnsi="NewsGotT"/>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rFonts w:ascii="NewsGotT" w:hAnsi="NewsGotT"/>
          <w:lang w:val="pt-BR" w:eastAsia="x-none"/>
        </w:rPr>
        <w:instrText>, medium</w:instrText>
      </w:r>
      <w:r w:rsidR="00B51259">
        <w:rPr>
          <w:rFonts w:ascii="Cambria Math" w:hAnsi="Cambria Math" w:cs="Cambria Math"/>
          <w:lang w:val="pt-BR" w:eastAsia="x-none"/>
        </w:rPr>
        <w:instrText>‐</w:instrText>
      </w:r>
      <w:r w:rsidR="00B51259">
        <w:rPr>
          <w:rFonts w:ascii="NewsGotT" w:hAnsi="NewsGotT"/>
          <w:lang w:val="pt-BR" w:eastAsia="x-none"/>
        </w:rPr>
        <w:instrText xml:space="preserve"> and long</w:instrText>
      </w:r>
      <w:r w:rsidR="00B51259">
        <w:rPr>
          <w:rFonts w:ascii="Cambria Math" w:hAnsi="Cambria Math" w:cs="Cambria Math"/>
          <w:lang w:val="pt-BR" w:eastAsia="x-none"/>
        </w:rPr>
        <w:instrText>‐</w:instrText>
      </w:r>
      <w:r w:rsidR="00B51259">
        <w:rPr>
          <w:rFonts w:ascii="NewsGotT" w:hAnsi="NewsGotT"/>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rFonts w:ascii="NewsGotT" w:hAnsi="NewsGotT"/>
          <w:lang w:val="pt-BR" w:eastAsia="x-none"/>
        </w:rPr>
        <w:fldChar w:fldCharType="separate"/>
      </w:r>
      <w:r w:rsidRPr="00E25253">
        <w:rPr>
          <w:rFonts w:ascii="NewsGotT" w:hAnsi="NewsGotT"/>
          <w:noProof/>
          <w:lang w:val="pt-BR" w:eastAsia="x-none"/>
        </w:rPr>
        <w:t>(Fonseca et al., 2017)</w:t>
      </w:r>
      <w:r>
        <w:rPr>
          <w:rFonts w:ascii="NewsGotT" w:hAnsi="NewsGotT"/>
          <w:lang w:val="pt-BR" w:eastAsia="x-none"/>
        </w:rPr>
        <w:fldChar w:fldCharType="end"/>
      </w:r>
      <w:r>
        <w:rPr>
          <w:rFonts w:ascii="NewsGotT" w:hAnsi="NewsGotT"/>
          <w:lang w:val="pt-BR" w:eastAsia="x-none"/>
        </w:rPr>
        <w:t xml:space="preserve">. De modo a melhorar a qualidade de vida dos indivíduos com esta patologia, </w:t>
      </w:r>
      <w:r w:rsidR="00AE05E9">
        <w:rPr>
          <w:rFonts w:ascii="NewsGotT" w:hAnsi="NewsGotT"/>
          <w:lang w:val="pt-BR" w:eastAsia="x-none"/>
        </w:rPr>
        <w:t xml:space="preserve">ao longo dos anos </w:t>
      </w:r>
      <w:r>
        <w:rPr>
          <w:rFonts w:ascii="NewsGotT" w:hAnsi="NewsGotT"/>
          <w:lang w:val="pt-BR" w:eastAsia="x-none"/>
        </w:rPr>
        <w:t>foram estudados diversos fármacos para o tratamento desta doença</w:t>
      </w:r>
      <w:r w:rsidR="00AE05E9">
        <w:rPr>
          <w:rFonts w:ascii="NewsGotT" w:hAnsi="NewsGotT"/>
          <w:lang w:val="pt-BR" w:eastAsia="x-none"/>
        </w:rPr>
        <w:t xml:space="preserve">, alguns deles já referidos anteriormente e que não pertencem a esta classe. </w:t>
      </w:r>
      <w:r w:rsidR="00537E30">
        <w:rPr>
          <w:rFonts w:ascii="NewsGotT" w:hAnsi="NewsGotT"/>
          <w:lang w:val="pt-BR" w:eastAsia="x-none"/>
        </w:rPr>
        <w:t xml:space="preserve">Dentro desta classe de medicamentos, </w:t>
      </w:r>
      <w:r w:rsidR="003D0CC4">
        <w:rPr>
          <w:rFonts w:ascii="NewsGotT" w:hAnsi="NewsGotT"/>
          <w:lang w:val="pt-BR" w:eastAsia="x-none"/>
        </w:rPr>
        <w:t xml:space="preserve">frisa-se a digoxina. </w:t>
      </w:r>
      <w:r w:rsidR="003D0CC4">
        <w:rPr>
          <w:rFonts w:ascii="NewsGotT" w:hAnsi="NewsGotT"/>
          <w:lang w:val="pt-PT" w:eastAsia="x-none"/>
        </w:rPr>
        <w:t>Este medicamento</w:t>
      </w:r>
      <w:r w:rsidR="003D0CC4" w:rsidRPr="00767180">
        <w:rPr>
          <w:rFonts w:ascii="NewsGotT" w:hAnsi="NewsGotT"/>
          <w:lang w:val="pt-PT" w:eastAsia="x-none"/>
        </w:rPr>
        <w:t xml:space="preserve"> é usad</w:t>
      </w:r>
      <w:r w:rsidR="003D0CC4">
        <w:rPr>
          <w:rFonts w:ascii="NewsGotT" w:hAnsi="NewsGotT"/>
          <w:lang w:val="pt-PT" w:eastAsia="x-none"/>
        </w:rPr>
        <w:t>o</w:t>
      </w:r>
      <w:r w:rsidR="003D0CC4" w:rsidRPr="00767180">
        <w:rPr>
          <w:rFonts w:ascii="NewsGotT" w:hAnsi="NewsGotT"/>
          <w:lang w:val="pt-PT" w:eastAsia="x-none"/>
        </w:rPr>
        <w:t xml:space="preserve"> para o tratamento da a insuficiência cardíaca crónica e para o tratamento de algumas arritmias supraventriculares, particularmente flutter e </w:t>
      </w:r>
      <w:proofErr w:type="spellStart"/>
      <w:r w:rsidR="003D0CC4" w:rsidRPr="00767180">
        <w:rPr>
          <w:rFonts w:ascii="NewsGotT" w:hAnsi="NewsGotT"/>
          <w:lang w:val="pt-PT" w:eastAsia="x-none"/>
        </w:rPr>
        <w:t>fibrilhação</w:t>
      </w:r>
      <w:proofErr w:type="spellEnd"/>
      <w:r w:rsidR="003D0CC4" w:rsidRPr="00767180">
        <w:rPr>
          <w:rFonts w:ascii="NewsGotT" w:hAnsi="NewsGotT"/>
          <w:lang w:val="pt-PT" w:eastAsia="x-none"/>
        </w:rPr>
        <w:t xml:space="preserve"> auricular crónicos</w:t>
      </w:r>
      <w:r w:rsidR="00B51259">
        <w:rPr>
          <w:rFonts w:ascii="NewsGotT" w:hAnsi="NewsGotT"/>
          <w:lang w:val="pt-PT" w:eastAsia="x-none"/>
        </w:rPr>
        <w:t xml:space="preserve"> </w:t>
      </w:r>
      <w:r w:rsidR="00B51259">
        <w:rPr>
          <w:rFonts w:ascii="NewsGotT" w:hAnsi="NewsGotT"/>
          <w:lang w:val="pt-PT" w:eastAsia="x-none"/>
        </w:rPr>
        <w:fldChar w:fldCharType="begin" w:fldLock="1"/>
      </w:r>
      <w:r w:rsidR="00B51259">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rFonts w:ascii="NewsGotT" w:hAnsi="NewsGotT"/>
          <w:lang w:val="pt-PT" w:eastAsia="x-none"/>
        </w:rPr>
        <w:fldChar w:fldCharType="separate"/>
      </w:r>
      <w:r w:rsidR="00B51259" w:rsidRPr="00B51259">
        <w:rPr>
          <w:rFonts w:ascii="NewsGotT" w:hAnsi="NewsGotT"/>
          <w:noProof/>
          <w:lang w:val="pt-PT" w:eastAsia="x-none"/>
        </w:rPr>
        <w:t>(INFARMED, 2011)</w:t>
      </w:r>
      <w:r w:rsidR="00B51259">
        <w:rPr>
          <w:rFonts w:ascii="NewsGotT" w:hAnsi="NewsGotT"/>
          <w:lang w:val="pt-PT" w:eastAsia="x-none"/>
        </w:rPr>
        <w:fldChar w:fldCharType="end"/>
      </w:r>
      <w:r w:rsidR="003D0CC4" w:rsidRPr="00767180">
        <w:rPr>
          <w:rFonts w:ascii="NewsGotT" w:hAnsi="NewsGotT"/>
          <w:lang w:val="pt-PT" w:eastAsia="x-none"/>
        </w:rPr>
        <w:t xml:space="preserve">. </w:t>
      </w:r>
    </w:p>
    <w:p w14:paraId="2AA94E04" w14:textId="1A9CF2C5" w:rsidR="00B51259" w:rsidRDefault="00767180" w:rsidP="00B51259">
      <w:pPr>
        <w:spacing w:line="360" w:lineRule="auto"/>
        <w:ind w:firstLine="709"/>
        <w:jc w:val="both"/>
        <w:rPr>
          <w:rFonts w:ascii="NewsGotT" w:hAnsi="NewsGotT"/>
          <w:lang w:val="pt-PT" w:eastAsia="x-none"/>
        </w:rPr>
      </w:pPr>
      <w:r w:rsidRPr="00767180">
        <w:rPr>
          <w:rFonts w:ascii="NewsGotT" w:hAnsi="NewsGotT"/>
          <w:lang w:val="pt-BR" w:eastAsia="x-none"/>
        </w:rPr>
        <w:t>A digoxina</w:t>
      </w:r>
      <w:r w:rsidR="00B51259">
        <w:rPr>
          <w:rFonts w:ascii="NewsGotT" w:hAnsi="NewsGotT"/>
          <w:lang w:val="pt-BR" w:eastAsia="x-none"/>
        </w:rPr>
        <w:t xml:space="preserve"> tem dois mecanismos de ação principais que são utilizados seletivamente, um deles é o efeito inotrópico positivo em que</w:t>
      </w:r>
      <w:r w:rsidRPr="00767180">
        <w:rPr>
          <w:rFonts w:ascii="NewsGotT" w:hAnsi="NewsGotT"/>
          <w:lang w:val="pt-BR" w:eastAsia="x-none"/>
        </w:rPr>
        <w:t xml:space="preserve"> aumenta a contratilidade do miocárdio por ação direta</w:t>
      </w:r>
      <w:r>
        <w:rPr>
          <w:rFonts w:ascii="NewsGotT" w:hAnsi="NewsGotT"/>
          <w:lang w:val="pt-BR" w:eastAsia="x-none"/>
        </w:rPr>
        <w:t xml:space="preserve">. </w:t>
      </w:r>
      <w:r w:rsidR="00B51259">
        <w:rPr>
          <w:rFonts w:ascii="NewsGotT" w:hAnsi="NewsGotT"/>
          <w:lang w:val="pt-BR" w:eastAsia="x-none"/>
        </w:rPr>
        <w:t xml:space="preserve">Este efeito faz com que a força de contração do coração seja aumentada através da </w:t>
      </w:r>
      <w:r w:rsidRPr="00767180">
        <w:rPr>
          <w:rFonts w:ascii="NewsGotT" w:hAnsi="NewsGotT"/>
          <w:lang w:val="pt-BR" w:eastAsia="x-none"/>
        </w:rPr>
        <w:t>inibição específica da adenosina</w:t>
      </w:r>
      <w:r>
        <w:rPr>
          <w:rFonts w:ascii="NewsGotT" w:hAnsi="NewsGotT"/>
          <w:lang w:val="pt-BR" w:eastAsia="x-none"/>
        </w:rPr>
        <w:t xml:space="preserve"> </w:t>
      </w:r>
      <w:proofErr w:type="spellStart"/>
      <w:r w:rsidRPr="00767180">
        <w:rPr>
          <w:rFonts w:ascii="NewsGotT" w:hAnsi="NewsGotT"/>
          <w:lang w:val="pt-BR" w:eastAsia="x-none"/>
        </w:rPr>
        <w:t>trifosfatase</w:t>
      </w:r>
      <w:proofErr w:type="spellEnd"/>
      <w:r w:rsidRPr="00767180">
        <w:rPr>
          <w:rFonts w:ascii="NewsGotT" w:hAnsi="NewsGotT"/>
          <w:lang w:val="pt-BR" w:eastAsia="x-none"/>
        </w:rPr>
        <w:t xml:space="preserve"> alterando assim a atividade d</w:t>
      </w:r>
      <w:r w:rsidR="00B51259">
        <w:rPr>
          <w:rFonts w:ascii="NewsGotT" w:hAnsi="NewsGotT"/>
          <w:lang w:val="pt-BR" w:eastAsia="x-none"/>
        </w:rPr>
        <w:t>as</w:t>
      </w:r>
      <w:r w:rsidRPr="00767180">
        <w:rPr>
          <w:rFonts w:ascii="NewsGotT" w:hAnsi="NewsGotT"/>
          <w:lang w:val="pt-BR" w:eastAsia="x-none"/>
        </w:rPr>
        <w:t xml:space="preserve"> troca</w:t>
      </w:r>
      <w:r w:rsidR="00B51259">
        <w:rPr>
          <w:rFonts w:ascii="NewsGotT" w:hAnsi="NewsGotT"/>
          <w:lang w:val="pt-BR" w:eastAsia="x-none"/>
        </w:rPr>
        <w:t>s</w:t>
      </w:r>
      <w:r w:rsidRPr="00767180">
        <w:rPr>
          <w:rFonts w:ascii="NewsGotT" w:hAnsi="NewsGotT"/>
          <w:lang w:val="pt-BR" w:eastAsia="x-none"/>
        </w:rPr>
        <w:t xml:space="preserve"> sódio-potássio</w:t>
      </w:r>
      <w:r w:rsidR="003D0CC4">
        <w:rPr>
          <w:rFonts w:ascii="NewsGotT" w:hAnsi="NewsGotT"/>
          <w:lang w:val="pt-BR" w:eastAsia="x-none"/>
        </w:rPr>
        <w:t>. E</w:t>
      </w:r>
      <w:r w:rsidRPr="00767180">
        <w:rPr>
          <w:rFonts w:ascii="NewsGotT" w:hAnsi="NewsGotT"/>
          <w:lang w:val="pt-BR" w:eastAsia="x-none"/>
        </w:rPr>
        <w:t>sta</w:t>
      </w:r>
      <w:r>
        <w:rPr>
          <w:rFonts w:ascii="NewsGotT" w:hAnsi="NewsGotT"/>
          <w:lang w:val="pt-BR" w:eastAsia="x-none"/>
        </w:rPr>
        <w:t xml:space="preserve"> </w:t>
      </w:r>
      <w:r w:rsidRPr="00767180">
        <w:rPr>
          <w:rFonts w:ascii="NewsGotT" w:hAnsi="NewsGotT"/>
          <w:lang w:val="pt-BR" w:eastAsia="x-none"/>
        </w:rPr>
        <w:t xml:space="preserve">alteração iónica distribuída pela membrana, resulta num aumento do influxo do </w:t>
      </w:r>
      <w:proofErr w:type="spellStart"/>
      <w:r w:rsidRPr="00767180">
        <w:rPr>
          <w:rFonts w:ascii="NewsGotT" w:hAnsi="NewsGotT"/>
          <w:lang w:val="pt-BR" w:eastAsia="x-none"/>
        </w:rPr>
        <w:t>ião</w:t>
      </w:r>
      <w:proofErr w:type="spellEnd"/>
      <w:r>
        <w:rPr>
          <w:rFonts w:ascii="NewsGotT" w:hAnsi="NewsGotT"/>
          <w:lang w:val="pt-BR" w:eastAsia="x-none"/>
        </w:rPr>
        <w:t xml:space="preserve"> </w:t>
      </w:r>
      <w:r w:rsidRPr="00767180">
        <w:rPr>
          <w:rFonts w:ascii="NewsGotT" w:hAnsi="NewsGotT"/>
          <w:lang w:val="pt-BR" w:eastAsia="x-none"/>
        </w:rPr>
        <w:t>cálcio</w:t>
      </w:r>
      <w:r w:rsidR="00B51259">
        <w:rPr>
          <w:rFonts w:ascii="NewsGotT" w:hAnsi="NewsGotT"/>
          <w:lang w:val="pt-BR" w:eastAsia="x-none"/>
        </w:rPr>
        <w:t xml:space="preserve"> no coração</w:t>
      </w:r>
      <w:r w:rsidRPr="00767180">
        <w:rPr>
          <w:rFonts w:ascii="NewsGotT" w:hAnsi="NewsGotT"/>
          <w:lang w:val="pt-BR" w:eastAsia="x-none"/>
        </w:rPr>
        <w:t xml:space="preserve"> causando um aumento da </w:t>
      </w:r>
      <w:r w:rsidR="00B51259">
        <w:rPr>
          <w:rFonts w:ascii="NewsGotT" w:hAnsi="NewsGotT"/>
          <w:lang w:val="pt-BR" w:eastAsia="x-none"/>
        </w:rPr>
        <w:t xml:space="preserve">contractilidade </w:t>
      </w:r>
      <w:r w:rsidR="00B51259">
        <w:rPr>
          <w:rFonts w:ascii="NewsGotT" w:hAnsi="NewsGotT"/>
          <w:lang w:val="pt-BR" w:eastAsia="x-none"/>
        </w:rPr>
        <w:fldChar w:fldCharType="begin" w:fldLock="1"/>
      </w:r>
      <w:r w:rsidR="00954F5A">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rFonts w:ascii="NewsGotT" w:hAnsi="NewsGotT"/>
          <w:lang w:val="pt-BR" w:eastAsia="x-none"/>
        </w:rPr>
        <w:fldChar w:fldCharType="separate"/>
      </w:r>
      <w:r w:rsidR="00B51259" w:rsidRPr="00B51259">
        <w:rPr>
          <w:rFonts w:ascii="NewsGotT" w:hAnsi="NewsGotT"/>
          <w:noProof/>
          <w:lang w:val="pt-BR" w:eastAsia="x-none"/>
        </w:rPr>
        <w:t>(Brunton et al., 2011; INFARMED, 2011)</w:t>
      </w:r>
      <w:r w:rsidR="00B51259">
        <w:rPr>
          <w:rFonts w:ascii="NewsGotT" w:hAnsi="NewsGotT"/>
          <w:lang w:val="pt-BR" w:eastAsia="x-none"/>
        </w:rPr>
        <w:fldChar w:fldCharType="end"/>
      </w:r>
      <w:r w:rsidRPr="00767180">
        <w:rPr>
          <w:rFonts w:ascii="NewsGotT" w:hAnsi="NewsGotT"/>
          <w:lang w:val="pt-BR" w:eastAsia="x-none"/>
        </w:rPr>
        <w:t>.</w:t>
      </w:r>
      <w:r w:rsidR="003D0CC4">
        <w:rPr>
          <w:rFonts w:ascii="NewsGotT" w:hAnsi="NewsGotT"/>
          <w:lang w:val="pt-PT" w:eastAsia="x-none"/>
        </w:rPr>
        <w:t xml:space="preserve"> </w:t>
      </w:r>
      <w:r w:rsidR="00B51259">
        <w:rPr>
          <w:rFonts w:ascii="NewsGotT" w:hAnsi="NewsGotT"/>
          <w:lang w:val="pt-PT" w:eastAsia="x-none"/>
        </w:rPr>
        <w:t xml:space="preserve">Por outro lado, a digoxina </w:t>
      </w:r>
      <w:r w:rsidR="00B51259" w:rsidRPr="00B51259">
        <w:rPr>
          <w:rFonts w:ascii="NewsGotT" w:hAnsi="NewsGotT"/>
          <w:lang w:val="pt-PT" w:eastAsia="x-none"/>
        </w:rPr>
        <w:t>exerce o mesmo efeito fundamental de inibição do mecanismo de troca</w:t>
      </w:r>
      <w:r w:rsidR="00B51259">
        <w:rPr>
          <w:rFonts w:ascii="NewsGotT" w:hAnsi="NewsGotT"/>
          <w:lang w:val="pt-PT" w:eastAsia="x-none"/>
        </w:rPr>
        <w:t xml:space="preserve"> </w:t>
      </w:r>
      <w:r w:rsidR="00B51259" w:rsidRPr="00767180">
        <w:rPr>
          <w:rFonts w:ascii="NewsGotT" w:hAnsi="NewsGotT"/>
          <w:lang w:val="pt-BR" w:eastAsia="x-none"/>
        </w:rPr>
        <w:t>sódio-potássio</w:t>
      </w:r>
      <w:r w:rsidR="00B51259" w:rsidRPr="00B51259">
        <w:rPr>
          <w:rFonts w:ascii="NewsGotT" w:hAnsi="NewsGotT"/>
          <w:lang w:val="pt-PT" w:eastAsia="x-none"/>
        </w:rPr>
        <w:t xml:space="preserve"> </w:t>
      </w:r>
      <w:r w:rsidR="00B51259" w:rsidRPr="00B51259">
        <w:rPr>
          <w:rFonts w:ascii="NewsGotT" w:hAnsi="NewsGotT"/>
          <w:lang w:val="pt-PT" w:eastAsia="x-none"/>
        </w:rPr>
        <w:t>nas células do sistema nervoso autónomo, estimulando-as a exercer atividade</w:t>
      </w:r>
      <w:r w:rsidR="00B51259">
        <w:rPr>
          <w:rFonts w:ascii="NewsGotT" w:hAnsi="NewsGotT"/>
          <w:lang w:val="pt-PT" w:eastAsia="x-none"/>
        </w:rPr>
        <w:t xml:space="preserve"> </w:t>
      </w:r>
      <w:r w:rsidR="00B51259" w:rsidRPr="00B51259">
        <w:rPr>
          <w:rFonts w:ascii="NewsGotT" w:hAnsi="NewsGotT"/>
          <w:lang w:val="pt-PT" w:eastAsia="x-none"/>
        </w:rPr>
        <w:t>cardíaca indireta.</w:t>
      </w:r>
      <w:r w:rsidR="00B51259">
        <w:rPr>
          <w:rFonts w:ascii="NewsGotT" w:hAnsi="NewsGotT"/>
          <w:lang w:val="pt-PT" w:eastAsia="x-none"/>
        </w:rPr>
        <w:t xml:space="preserve"> Este mecanismo retarda a condução elétrica no nódulo atrioventricular diminuindo assim a frequência cardíaca</w:t>
      </w:r>
      <w:r w:rsidR="00954F5A">
        <w:rPr>
          <w:rFonts w:ascii="NewsGotT" w:hAnsi="NewsGotT"/>
          <w:lang w:val="pt-PT" w:eastAsia="x-none"/>
        </w:rPr>
        <w:t xml:space="preserve"> </w:t>
      </w:r>
      <w:r w:rsidR="00954F5A">
        <w:rPr>
          <w:rFonts w:ascii="NewsGotT" w:hAnsi="NewsGotT"/>
          <w:lang w:val="pt-PT" w:eastAsia="x-none"/>
        </w:rPr>
        <w:fldChar w:fldCharType="begin" w:fldLock="1"/>
      </w:r>
      <w:r w:rsidR="0096092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rFonts w:ascii="NewsGotT" w:hAnsi="NewsGotT"/>
          <w:lang w:val="pt-PT" w:eastAsia="x-none"/>
        </w:rPr>
        <w:fldChar w:fldCharType="separate"/>
      </w:r>
      <w:r w:rsidR="00954F5A" w:rsidRPr="00954F5A">
        <w:rPr>
          <w:rFonts w:ascii="NewsGotT" w:hAnsi="NewsGotT"/>
          <w:noProof/>
          <w:lang w:val="pt-PT" w:eastAsia="x-none"/>
        </w:rPr>
        <w:t>(INFARMED, 2011)</w:t>
      </w:r>
      <w:r w:rsidR="00954F5A">
        <w:rPr>
          <w:rFonts w:ascii="NewsGotT" w:hAnsi="NewsGotT"/>
          <w:lang w:val="pt-PT" w:eastAsia="x-none"/>
        </w:rPr>
        <w:fldChar w:fldCharType="end"/>
      </w:r>
      <w:r w:rsidR="00B51259">
        <w:rPr>
          <w:rFonts w:ascii="NewsGotT" w:hAnsi="NewsGotT"/>
          <w:lang w:val="pt-PT" w:eastAsia="x-none"/>
        </w:rPr>
        <w:t xml:space="preserve">. </w:t>
      </w:r>
    </w:p>
    <w:p w14:paraId="33CC6257" w14:textId="0D82369E" w:rsidR="00292126" w:rsidRPr="00954F5A" w:rsidRDefault="00954F5A" w:rsidP="00954F5A">
      <w:pPr>
        <w:spacing w:line="360" w:lineRule="auto"/>
        <w:ind w:firstLine="709"/>
        <w:jc w:val="both"/>
        <w:rPr>
          <w:rFonts w:ascii="NewsGotT" w:hAnsi="NewsGotT"/>
          <w:lang w:val="pt-PT" w:eastAsia="x-none"/>
        </w:rPr>
      </w:pPr>
      <w:r>
        <w:rPr>
          <w:rFonts w:ascii="NewsGotT" w:hAnsi="NewsGotT"/>
          <w:lang w:val="pt-PT" w:eastAsia="x-none"/>
        </w:rPr>
        <w:t>Este medicamento apresenta algumas</w:t>
      </w:r>
      <w:r w:rsidR="00292126" w:rsidRPr="00767180">
        <w:rPr>
          <w:rFonts w:ascii="NewsGotT" w:hAnsi="NewsGotT"/>
          <w:lang w:val="pt-PT" w:eastAsia="x-none"/>
        </w:rPr>
        <w:t xml:space="preserve"> </w:t>
      </w:r>
      <w:r w:rsidR="00292126" w:rsidRPr="00767180">
        <w:rPr>
          <w:rFonts w:ascii="NewsGotT" w:hAnsi="NewsGotT"/>
          <w:lang w:val="pt-PT" w:eastAsia="x-none"/>
        </w:rPr>
        <w:t>reações</w:t>
      </w:r>
      <w:r w:rsidR="00292126" w:rsidRPr="00767180">
        <w:rPr>
          <w:rFonts w:ascii="NewsGotT" w:hAnsi="NewsGotT"/>
          <w:lang w:val="pt-PT" w:eastAsia="x-none"/>
        </w:rPr>
        <w:t xml:space="preserve"> adversas </w:t>
      </w:r>
      <w:r w:rsidR="003B75EC">
        <w:rPr>
          <w:rFonts w:ascii="NewsGotT" w:hAnsi="NewsGotT"/>
          <w:lang w:val="pt-PT" w:eastAsia="x-none"/>
        </w:rPr>
        <w:t xml:space="preserve">ocorridas devido </w:t>
      </w:r>
      <w:r w:rsidR="003D1043">
        <w:rPr>
          <w:rFonts w:ascii="NewsGotT" w:hAnsi="NewsGotT"/>
          <w:lang w:val="pt-PT" w:eastAsia="x-none"/>
        </w:rPr>
        <w:t>ao uso da</w:t>
      </w:r>
      <w:r w:rsidR="00292126" w:rsidRPr="00767180">
        <w:rPr>
          <w:rFonts w:ascii="NewsGotT" w:hAnsi="NewsGotT"/>
          <w:lang w:val="pt-PT" w:eastAsia="x-none"/>
        </w:rPr>
        <w:t xml:space="preserve"> </w:t>
      </w:r>
      <w:r>
        <w:rPr>
          <w:rFonts w:ascii="NewsGotT" w:hAnsi="NewsGotT"/>
          <w:lang w:val="pt-PT" w:eastAsia="x-none"/>
        </w:rPr>
        <w:t>substância</w:t>
      </w:r>
      <w:r w:rsidR="008A3196">
        <w:rPr>
          <w:rFonts w:ascii="NewsGotT" w:hAnsi="NewsGotT"/>
          <w:lang w:val="pt-PT" w:eastAsia="x-none"/>
        </w:rPr>
        <w:t xml:space="preserve"> </w:t>
      </w:r>
      <w:r w:rsidR="003867AB" w:rsidRPr="00767180">
        <w:rPr>
          <w:rFonts w:ascii="NewsGotT" w:hAnsi="NewsGotT"/>
          <w:lang w:val="pt-PT" w:eastAsia="x-none"/>
        </w:rPr>
        <w:t>destaca</w:t>
      </w:r>
      <w:r>
        <w:rPr>
          <w:rFonts w:ascii="NewsGotT" w:hAnsi="NewsGotT"/>
          <w:lang w:val="pt-PT" w:eastAsia="x-none"/>
        </w:rPr>
        <w:t>ndo-se</w:t>
      </w:r>
      <w:r w:rsidR="0019440A" w:rsidRPr="00767180">
        <w:rPr>
          <w:rFonts w:ascii="NewsGotT" w:hAnsi="NewsGotT"/>
          <w:lang w:val="pt-PT" w:eastAsia="x-none"/>
        </w:rPr>
        <w:t xml:space="preserve"> perturbações do foro psiquiátrico </w:t>
      </w:r>
      <w:r w:rsidR="008A3196">
        <w:rPr>
          <w:rFonts w:ascii="NewsGotT" w:hAnsi="NewsGotT"/>
          <w:lang w:val="pt-PT" w:eastAsia="x-none"/>
        </w:rPr>
        <w:t>que envolvem</w:t>
      </w:r>
      <w:r w:rsidR="0019440A" w:rsidRPr="00767180">
        <w:rPr>
          <w:rFonts w:ascii="NewsGotT" w:hAnsi="NewsGotT"/>
          <w:lang w:val="pt-PT" w:eastAsia="x-none"/>
        </w:rPr>
        <w:t xml:space="preserve"> depressão, psicose, apatia</w:t>
      </w:r>
      <w:r w:rsidR="003867AB" w:rsidRPr="00767180">
        <w:rPr>
          <w:rFonts w:ascii="NewsGotT" w:hAnsi="NewsGotT"/>
          <w:lang w:val="pt-PT" w:eastAsia="x-none"/>
        </w:rPr>
        <w:t xml:space="preserve"> e estados de </w:t>
      </w:r>
      <w:r w:rsidR="0019440A" w:rsidRPr="00767180">
        <w:rPr>
          <w:rFonts w:ascii="NewsGotT" w:hAnsi="NewsGotT"/>
          <w:lang w:val="pt-PT" w:eastAsia="x-none"/>
        </w:rPr>
        <w:t>confusão. São também referidos distúrbios do SNC, tonturas e dores de cabeça</w:t>
      </w:r>
      <w:r w:rsidR="003D1043">
        <w:rPr>
          <w:rFonts w:ascii="NewsGotT" w:hAnsi="NewsGotT"/>
          <w:lang w:val="pt-PT" w:eastAsia="x-none"/>
        </w:rPr>
        <w:t>, visão turva, arritmias e fadiga</w:t>
      </w:r>
      <w:r w:rsidR="00AF5D6F" w:rsidRPr="00767180">
        <w:rPr>
          <w:rFonts w:ascii="NewsGotT" w:hAnsi="NewsGotT"/>
          <w:lang w:val="pt-PT" w:eastAsia="x-none"/>
        </w:rPr>
        <w:t xml:space="preserve"> </w:t>
      </w:r>
      <w:r w:rsidR="00AF5D6F" w:rsidRPr="00767180">
        <w:rPr>
          <w:rFonts w:ascii="NewsGotT" w:hAnsi="NewsGotT"/>
          <w:lang w:val="pt-PT" w:eastAsia="x-none"/>
        </w:rPr>
        <w:fldChar w:fldCharType="begin" w:fldLock="1"/>
      </w:r>
      <w:r w:rsidR="00E25253">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rFonts w:ascii="NewsGotT" w:hAnsi="NewsGotT"/>
          <w:lang w:val="pt-PT" w:eastAsia="x-none"/>
        </w:rPr>
        <w:fldChar w:fldCharType="separate"/>
      </w:r>
      <w:r w:rsidR="00AF5D6F" w:rsidRPr="00767180">
        <w:rPr>
          <w:rFonts w:ascii="NewsGotT" w:hAnsi="NewsGotT"/>
          <w:noProof/>
          <w:lang w:val="pt-PT" w:eastAsia="x-none"/>
        </w:rPr>
        <w:t>(INFARMED, 2011)</w:t>
      </w:r>
      <w:r w:rsidR="00AF5D6F" w:rsidRPr="00767180">
        <w:rPr>
          <w:rFonts w:ascii="NewsGotT" w:hAnsi="NewsGotT"/>
          <w:lang w:val="pt-PT" w:eastAsia="x-none"/>
        </w:rPr>
        <w:fldChar w:fldCharType="end"/>
      </w:r>
      <w:r w:rsidR="0019440A" w:rsidRPr="00767180">
        <w:rPr>
          <w:rFonts w:ascii="NewsGotT" w:hAnsi="NewsGotT"/>
          <w:lang w:val="pt-PT" w:eastAsia="x-none"/>
        </w:rPr>
        <w:t xml:space="preserve">. </w:t>
      </w:r>
    </w:p>
    <w:p w14:paraId="0DBC4C07" w14:textId="0735711E" w:rsidR="0003390F" w:rsidRPr="00954F5A" w:rsidRDefault="0003390F" w:rsidP="00954F5A">
      <w:pPr>
        <w:pStyle w:val="Heading3"/>
        <w:spacing w:line="360" w:lineRule="auto"/>
        <w:jc w:val="both"/>
        <w:rPr>
          <w:rFonts w:ascii="NewsGotT" w:hAnsi="NewsGotT"/>
          <w:lang w:eastAsia="x-none"/>
        </w:rPr>
      </w:pPr>
      <w:proofErr w:type="spellStart"/>
      <w:r w:rsidRPr="00292126">
        <w:rPr>
          <w:rFonts w:ascii="NewsGotT" w:hAnsi="NewsGotT"/>
          <w:lang w:val="pt-BR" w:eastAsia="x-none"/>
        </w:rPr>
        <w:t>Corticosteroídes</w:t>
      </w:r>
      <w:proofErr w:type="spellEnd"/>
      <w:r w:rsidR="00954F5A">
        <w:rPr>
          <w:rFonts w:ascii="NewsGotT" w:hAnsi="NewsGotT"/>
          <w:lang w:val="pt-BR" w:eastAsia="x-none"/>
        </w:rPr>
        <w:t xml:space="preserve">  </w:t>
      </w:r>
      <w:proofErr w:type="spellStart"/>
      <w:r w:rsidR="00954F5A" w:rsidRPr="00954F5A">
        <w:rPr>
          <w:rFonts w:ascii="NewsGotT" w:hAnsi="NewsGotT"/>
          <w:lang w:eastAsia="x-none"/>
        </w:rPr>
        <w:t>Glucocorticóides</w:t>
      </w:r>
      <w:proofErr w:type="spellEnd"/>
    </w:p>
    <w:p w14:paraId="2170FC3C" w14:textId="77777777" w:rsidR="00954F5A" w:rsidRDefault="00954F5A" w:rsidP="00954F5A">
      <w:pPr>
        <w:rPr>
          <w:rFonts w:ascii="NewsGotT" w:hAnsi="NewsGotT"/>
          <w:lang w:val="pt-PT" w:eastAsia="x-none"/>
        </w:rPr>
      </w:pPr>
    </w:p>
    <w:p w14:paraId="1D7E421F" w14:textId="77777777" w:rsidR="002F5BFB" w:rsidRDefault="00954F5A" w:rsidP="007F739B">
      <w:pPr>
        <w:spacing w:line="360" w:lineRule="auto"/>
        <w:ind w:firstLine="709"/>
        <w:jc w:val="both"/>
        <w:rPr>
          <w:rFonts w:ascii="NewsGotT" w:hAnsi="NewsGotT"/>
          <w:lang w:val="pt-PT" w:eastAsia="x-none"/>
        </w:rPr>
      </w:pPr>
      <w:r>
        <w:rPr>
          <w:rFonts w:ascii="NewsGotT" w:hAnsi="NewsGotT"/>
          <w:lang w:val="pt-PT" w:eastAsia="x-none"/>
        </w:rPr>
        <w:t>O</w:t>
      </w:r>
      <w:r w:rsidRPr="00954F5A">
        <w:rPr>
          <w:rFonts w:ascii="NewsGotT" w:hAnsi="NewsGotT"/>
          <w:lang w:val="pt-PT" w:eastAsia="x-none"/>
        </w:rPr>
        <w:t xml:space="preserve"> sistema endócrino</w:t>
      </w:r>
      <w:r>
        <w:rPr>
          <w:rFonts w:ascii="NewsGotT" w:hAnsi="NewsGotT"/>
          <w:lang w:val="pt-PT" w:eastAsia="x-none"/>
        </w:rPr>
        <w:t xml:space="preserve"> </w:t>
      </w:r>
      <w:r w:rsidRPr="00954F5A">
        <w:rPr>
          <w:rFonts w:ascii="NewsGotT" w:hAnsi="NewsGotT"/>
          <w:lang w:val="pt-PT" w:eastAsia="x-none"/>
        </w:rPr>
        <w:t>é formado por um</w:t>
      </w:r>
      <w:r>
        <w:rPr>
          <w:rFonts w:ascii="NewsGotT" w:hAnsi="NewsGotT"/>
          <w:lang w:val="pt-PT" w:eastAsia="x-none"/>
        </w:rPr>
        <w:t xml:space="preserve"> </w:t>
      </w:r>
      <w:r w:rsidRPr="00954F5A">
        <w:rPr>
          <w:rFonts w:ascii="NewsGotT" w:hAnsi="NewsGotT"/>
          <w:lang w:val="pt-PT" w:eastAsia="x-none"/>
        </w:rPr>
        <w:t>conjunto de glândulas produtoras de hormonas, muitas das quais reguladas por</w:t>
      </w:r>
      <w:r>
        <w:rPr>
          <w:rFonts w:ascii="NewsGotT" w:hAnsi="NewsGotT"/>
          <w:lang w:val="pt-PT" w:eastAsia="x-none"/>
        </w:rPr>
        <w:t xml:space="preserve"> </w:t>
      </w:r>
      <w:r w:rsidRPr="00954F5A">
        <w:rPr>
          <w:rFonts w:ascii="NewsGotT" w:hAnsi="NewsGotT"/>
          <w:lang w:val="pt-PT" w:eastAsia="x-none"/>
        </w:rPr>
        <w:t>hormonas estimuladoras segregadas pela hipófise, a qual estabelece a</w:t>
      </w:r>
      <w:r>
        <w:rPr>
          <w:rFonts w:ascii="NewsGotT" w:hAnsi="NewsGotT"/>
          <w:lang w:val="pt-PT" w:eastAsia="x-none"/>
        </w:rPr>
        <w:t xml:space="preserve"> </w:t>
      </w:r>
      <w:r w:rsidRPr="00954F5A">
        <w:rPr>
          <w:rFonts w:ascii="NewsGotT" w:hAnsi="NewsGotT"/>
          <w:lang w:val="pt-PT" w:eastAsia="x-none"/>
        </w:rPr>
        <w:t xml:space="preserve">ligação entre o sistema endócrino e o hipotálamo. É uma </w:t>
      </w:r>
      <w:r>
        <w:rPr>
          <w:rFonts w:ascii="NewsGotT" w:hAnsi="NewsGotT"/>
          <w:lang w:val="pt-PT" w:eastAsia="x-none"/>
        </w:rPr>
        <w:t xml:space="preserve">rede </w:t>
      </w:r>
      <w:r w:rsidRPr="00954F5A">
        <w:rPr>
          <w:rFonts w:ascii="NewsGotT" w:hAnsi="NewsGotT"/>
          <w:lang w:val="pt-PT" w:eastAsia="x-none"/>
        </w:rPr>
        <w:t xml:space="preserve">complexa de sinais e mensagens químicas que controla as funções e </w:t>
      </w:r>
      <w:r w:rsidRPr="00954F5A">
        <w:rPr>
          <w:rFonts w:ascii="NewsGotT" w:hAnsi="NewsGotT"/>
          <w:lang w:val="pt-PT" w:eastAsia="x-none"/>
        </w:rPr>
        <w:t>reações</w:t>
      </w:r>
      <w:r w:rsidRPr="00954F5A">
        <w:rPr>
          <w:rFonts w:ascii="NewsGotT" w:hAnsi="NewsGotT"/>
          <w:lang w:val="pt-PT" w:eastAsia="x-none"/>
        </w:rPr>
        <w:t xml:space="preserve"> corporais</w:t>
      </w:r>
      <w:r>
        <w:rPr>
          <w:rFonts w:ascii="NewsGotT" w:hAnsi="NewsGotT"/>
          <w:lang w:val="pt-PT" w:eastAsia="x-none"/>
        </w:rPr>
        <w:t xml:space="preserve"> </w:t>
      </w:r>
      <w:r w:rsidRPr="00954F5A">
        <w:rPr>
          <w:rFonts w:ascii="NewsGotT" w:hAnsi="NewsGotT"/>
          <w:lang w:val="pt-PT" w:eastAsia="x-none"/>
        </w:rPr>
        <w:t>interagindo diretamente com o sistema nervoso</w:t>
      </w:r>
      <w:r w:rsidR="00E7097C">
        <w:rPr>
          <w:rFonts w:ascii="NewsGotT" w:hAnsi="NewsGotT"/>
          <w:lang w:val="pt-PT" w:eastAsia="x-none"/>
        </w:rPr>
        <w:t xml:space="preserve"> </w:t>
      </w:r>
      <w:r w:rsidR="00E7097C">
        <w:rPr>
          <w:rFonts w:ascii="NewsGotT" w:hAnsi="NewsGotT"/>
          <w:lang w:val="pt-PT" w:eastAsia="x-none"/>
        </w:rPr>
        <w:fldChar w:fldCharType="begin" w:fldLock="1"/>
      </w:r>
      <w:r w:rsidR="00E7097C">
        <w:rPr>
          <w:rFonts w:ascii="NewsGotT" w:hAnsi="NewsGotT"/>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2001)"},"properties":{"noteIndex":0},"schema":"https://github.com/citation-style-language/schema/raw/master/csl-citation.json"}</w:instrText>
      </w:r>
      <w:r w:rsidR="00E7097C">
        <w:rPr>
          <w:rFonts w:ascii="NewsGotT" w:hAnsi="NewsGotT"/>
          <w:lang w:val="pt-PT" w:eastAsia="x-none"/>
        </w:rPr>
        <w:fldChar w:fldCharType="separate"/>
      </w:r>
      <w:r w:rsidR="00E7097C" w:rsidRPr="00E7097C">
        <w:rPr>
          <w:rFonts w:ascii="NewsGotT" w:hAnsi="NewsGotT"/>
          <w:noProof/>
          <w:lang w:val="pt-PT" w:eastAsia="x-none"/>
        </w:rPr>
        <w:t xml:space="preserve">(Nussey &amp; </w:t>
      </w:r>
      <w:r w:rsidR="00E7097C" w:rsidRPr="00E7097C">
        <w:rPr>
          <w:rFonts w:ascii="NewsGotT" w:hAnsi="NewsGotT"/>
          <w:noProof/>
          <w:lang w:val="pt-PT" w:eastAsia="x-none"/>
        </w:rPr>
        <w:lastRenderedPageBreak/>
        <w:t>Whitehead, 2001)</w:t>
      </w:r>
      <w:r w:rsidR="00E7097C">
        <w:rPr>
          <w:rFonts w:ascii="NewsGotT" w:hAnsi="NewsGotT"/>
          <w:lang w:val="pt-PT" w:eastAsia="x-none"/>
        </w:rPr>
        <w:fldChar w:fldCharType="end"/>
      </w:r>
      <w:r>
        <w:rPr>
          <w:rFonts w:ascii="NewsGotT" w:hAnsi="NewsGotT"/>
          <w:lang w:val="pt-PT" w:eastAsia="x-none"/>
        </w:rPr>
        <w:t xml:space="preserve">. Existe uma grande diversidade de glândulas e hormonas que desempenham um papel </w:t>
      </w:r>
      <w:r w:rsidRPr="00954F5A">
        <w:rPr>
          <w:rFonts w:ascii="NewsGotT" w:hAnsi="NewsGotT"/>
          <w:lang w:val="pt-PT" w:eastAsia="x-none"/>
        </w:rPr>
        <w:t>fundamental no crescimento e desenvolvimento, na reprodução e na</w:t>
      </w:r>
      <w:r>
        <w:rPr>
          <w:rFonts w:ascii="NewsGotT" w:hAnsi="NewsGotT"/>
          <w:lang w:val="pt-PT" w:eastAsia="x-none"/>
        </w:rPr>
        <w:t xml:space="preserve"> </w:t>
      </w:r>
      <w:r w:rsidRPr="00954F5A">
        <w:rPr>
          <w:rFonts w:ascii="NewsGotT" w:hAnsi="NewsGotT"/>
          <w:lang w:val="pt-PT" w:eastAsia="x-none"/>
        </w:rPr>
        <w:t>diferenciação sexual e ainda na formação do sistema nervoso e imunológico</w:t>
      </w:r>
      <w:r w:rsidR="00960927">
        <w:rPr>
          <w:rFonts w:ascii="NewsGotT" w:hAnsi="NewsGotT"/>
          <w:lang w:val="pt-PT" w:eastAsia="x-none"/>
        </w:rPr>
        <w:t xml:space="preserve"> </w:t>
      </w:r>
      <w:r w:rsidR="00960927">
        <w:rPr>
          <w:rFonts w:ascii="NewsGotT" w:hAnsi="NewsGotT"/>
          <w:lang w:val="pt-PT" w:eastAsia="x-none"/>
        </w:rPr>
        <w:fldChar w:fldCharType="begin" w:fldLock="1"/>
      </w:r>
      <w:r w:rsidR="00395DE8">
        <w:rPr>
          <w:rFonts w:ascii="NewsGotT" w:hAnsi="NewsGotT"/>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rFonts w:ascii="NewsGotT" w:hAnsi="NewsGotT"/>
          <w:lang w:val="pt-PT" w:eastAsia="x-none"/>
        </w:rPr>
        <w:fldChar w:fldCharType="separate"/>
      </w:r>
      <w:r w:rsidR="00960927" w:rsidRPr="00960927">
        <w:rPr>
          <w:rFonts w:ascii="NewsGotT" w:hAnsi="NewsGotT"/>
          <w:noProof/>
          <w:lang w:val="pt-PT" w:eastAsia="x-none"/>
        </w:rPr>
        <w:t>(Chrousos, 1993; Jaszczyk &amp; Juszczak, 2021)</w:t>
      </w:r>
      <w:r w:rsidR="00960927">
        <w:rPr>
          <w:rFonts w:ascii="NewsGotT" w:hAnsi="NewsGotT"/>
          <w:lang w:val="pt-PT" w:eastAsia="x-none"/>
        </w:rPr>
        <w:fldChar w:fldCharType="end"/>
      </w:r>
      <w:r w:rsidRPr="00954F5A">
        <w:rPr>
          <w:rFonts w:ascii="NewsGotT" w:hAnsi="NewsGotT"/>
          <w:lang w:val="pt-PT" w:eastAsia="x-none"/>
        </w:rPr>
        <w:t>.</w:t>
      </w:r>
      <w:r>
        <w:rPr>
          <w:rFonts w:ascii="NewsGotT" w:hAnsi="NewsGotT"/>
          <w:lang w:val="pt-PT" w:eastAsia="x-none"/>
        </w:rPr>
        <w:t xml:space="preserve"> </w:t>
      </w:r>
    </w:p>
    <w:p w14:paraId="22C9B779" w14:textId="77777777" w:rsidR="002F5BFB" w:rsidRDefault="00954F5A" w:rsidP="007F739B">
      <w:pPr>
        <w:spacing w:line="360" w:lineRule="auto"/>
        <w:ind w:firstLine="709"/>
        <w:jc w:val="both"/>
        <w:rPr>
          <w:rFonts w:ascii="NewsGotT" w:hAnsi="NewsGotT"/>
          <w:lang w:val="pt-PT" w:eastAsia="x-none"/>
        </w:rPr>
      </w:pPr>
      <w:r w:rsidRPr="00954F5A">
        <w:rPr>
          <w:rFonts w:ascii="NewsGotT" w:hAnsi="NewsGotT"/>
          <w:lang w:val="pt-PT" w:eastAsia="x-none"/>
        </w:rPr>
        <w:t xml:space="preserve">As hormonas </w:t>
      </w:r>
      <w:r w:rsidR="00395DE8">
        <w:rPr>
          <w:rFonts w:ascii="NewsGotT" w:hAnsi="NewsGotT"/>
          <w:lang w:val="pt-PT" w:eastAsia="x-none"/>
        </w:rPr>
        <w:t xml:space="preserve">estão </w:t>
      </w:r>
      <w:r w:rsidRPr="00954F5A">
        <w:rPr>
          <w:rFonts w:ascii="NewsGotT" w:hAnsi="NewsGotT"/>
          <w:lang w:val="pt-PT" w:eastAsia="x-none"/>
        </w:rPr>
        <w:t>presentes na natureza,</w:t>
      </w:r>
      <w:r>
        <w:rPr>
          <w:rFonts w:ascii="NewsGotT" w:hAnsi="NewsGotT"/>
          <w:lang w:val="pt-PT" w:eastAsia="x-none"/>
        </w:rPr>
        <w:t xml:space="preserve"> </w:t>
      </w:r>
      <w:r w:rsidRPr="00954F5A">
        <w:rPr>
          <w:rFonts w:ascii="NewsGotT" w:hAnsi="NewsGotT"/>
          <w:lang w:val="pt-PT" w:eastAsia="x-none"/>
        </w:rPr>
        <w:t>tanto em espécies animais como em espécies vegetais</w:t>
      </w:r>
      <w:r w:rsidR="009568FF">
        <w:rPr>
          <w:rFonts w:ascii="NewsGotT" w:hAnsi="NewsGotT"/>
          <w:lang w:val="pt-PT" w:eastAsia="x-none"/>
        </w:rPr>
        <w:t xml:space="preserve">, e embora </w:t>
      </w:r>
      <w:r w:rsidR="009568FF" w:rsidRPr="009568FF">
        <w:rPr>
          <w:rFonts w:ascii="NewsGotT" w:hAnsi="NewsGotT"/>
          <w:lang w:val="pt-PT" w:eastAsia="x-none"/>
        </w:rPr>
        <w:t xml:space="preserve">existam diferenças de estrutura e função, o mecanismo de </w:t>
      </w:r>
      <w:r w:rsidR="009568FF" w:rsidRPr="009568FF">
        <w:rPr>
          <w:rFonts w:ascii="NewsGotT" w:hAnsi="NewsGotT"/>
          <w:lang w:val="pt-PT" w:eastAsia="x-none"/>
        </w:rPr>
        <w:t>ação</w:t>
      </w:r>
      <w:r w:rsidR="009568FF" w:rsidRPr="009568FF">
        <w:rPr>
          <w:rFonts w:ascii="NewsGotT" w:hAnsi="NewsGotT"/>
          <w:lang w:val="pt-PT" w:eastAsia="x-none"/>
        </w:rPr>
        <w:t xml:space="preserve"> é</w:t>
      </w:r>
      <w:r w:rsidR="009568FF">
        <w:rPr>
          <w:rFonts w:ascii="NewsGotT" w:hAnsi="NewsGotT"/>
          <w:lang w:val="pt-PT" w:eastAsia="x-none"/>
        </w:rPr>
        <w:t xml:space="preserve"> </w:t>
      </w:r>
      <w:r w:rsidR="009568FF" w:rsidRPr="009568FF">
        <w:rPr>
          <w:rFonts w:ascii="NewsGotT" w:hAnsi="NewsGotT"/>
          <w:lang w:val="pt-PT" w:eastAsia="x-none"/>
        </w:rPr>
        <w:t>semelhante.</w:t>
      </w:r>
      <w:r w:rsidR="009568FF">
        <w:rPr>
          <w:rFonts w:ascii="NewsGotT" w:hAnsi="NewsGotT"/>
          <w:lang w:val="pt-PT" w:eastAsia="x-none"/>
        </w:rPr>
        <w:t xml:space="preserve"> </w:t>
      </w:r>
      <w:r w:rsidRPr="00954F5A">
        <w:rPr>
          <w:rFonts w:ascii="NewsGotT" w:hAnsi="NewsGotT"/>
          <w:lang w:val="pt-PT" w:eastAsia="x-none"/>
        </w:rPr>
        <w:t>Esta é a razão pela qual, qualquer substância que interfira no mecanismo</w:t>
      </w:r>
      <w:r>
        <w:rPr>
          <w:rFonts w:ascii="NewsGotT" w:hAnsi="NewsGotT"/>
          <w:lang w:val="pt-PT" w:eastAsia="x-none"/>
        </w:rPr>
        <w:t xml:space="preserve"> </w:t>
      </w:r>
      <w:r w:rsidRPr="00954F5A">
        <w:rPr>
          <w:rFonts w:ascii="NewsGotT" w:hAnsi="NewsGotT"/>
          <w:lang w:val="pt-PT" w:eastAsia="x-none"/>
        </w:rPr>
        <w:t>de ação hormonal pode alterar o desenvolvimento, a reprodução e outras funções</w:t>
      </w:r>
      <w:r>
        <w:rPr>
          <w:rFonts w:ascii="NewsGotT" w:hAnsi="NewsGotT"/>
          <w:lang w:val="pt-PT" w:eastAsia="x-none"/>
        </w:rPr>
        <w:t xml:space="preserve"> </w:t>
      </w:r>
      <w:r w:rsidRPr="00954F5A">
        <w:rPr>
          <w:rFonts w:ascii="NewsGotT" w:hAnsi="NewsGotT"/>
          <w:lang w:val="pt-PT" w:eastAsia="x-none"/>
        </w:rPr>
        <w:t>dos seres vivos das diversas espécies</w:t>
      </w:r>
      <w:r w:rsidR="00395DE8">
        <w:rPr>
          <w:rFonts w:ascii="NewsGotT" w:hAnsi="NewsGotT"/>
          <w:lang w:val="pt-PT" w:eastAsia="x-none"/>
        </w:rPr>
        <w:t xml:space="preserve"> </w:t>
      </w:r>
      <w:r w:rsidR="00395DE8">
        <w:rPr>
          <w:rFonts w:ascii="NewsGotT" w:hAnsi="NewsGotT"/>
          <w:lang w:val="pt-PT" w:eastAsia="x-none"/>
        </w:rPr>
        <w:fldChar w:fldCharType="begin" w:fldLock="1"/>
      </w:r>
      <w:r w:rsidR="00395DE8">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rFonts w:ascii="NewsGotT" w:hAnsi="NewsGotT"/>
          <w:lang w:val="pt-PT" w:eastAsia="x-none"/>
        </w:rPr>
        <w:fldChar w:fldCharType="separate"/>
      </w:r>
      <w:r w:rsidR="00395DE8" w:rsidRPr="00395DE8">
        <w:rPr>
          <w:rFonts w:ascii="NewsGotT" w:hAnsi="NewsGotT"/>
          <w:noProof/>
          <w:lang w:val="pt-PT" w:eastAsia="x-none"/>
        </w:rPr>
        <w:t>(Brunton et al., 2011)</w:t>
      </w:r>
      <w:r w:rsidR="00395DE8">
        <w:rPr>
          <w:rFonts w:ascii="NewsGotT" w:hAnsi="NewsGotT"/>
          <w:lang w:val="pt-PT" w:eastAsia="x-none"/>
        </w:rPr>
        <w:fldChar w:fldCharType="end"/>
      </w:r>
      <w:r w:rsidRPr="00954F5A">
        <w:rPr>
          <w:rFonts w:ascii="NewsGotT" w:hAnsi="NewsGotT"/>
          <w:lang w:val="pt-PT" w:eastAsia="x-none"/>
        </w:rPr>
        <w:t>.</w:t>
      </w:r>
      <w:r w:rsidR="009568FF">
        <w:rPr>
          <w:rFonts w:ascii="NewsGotT" w:hAnsi="NewsGotT"/>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rFonts w:ascii="NewsGotT" w:hAnsi="NewsGotT"/>
          <w:lang w:val="pt-PT" w:eastAsia="x-none"/>
        </w:rPr>
        <w:t>A síntese das hormonas esteróides ocorre a partir do colesterol</w:t>
      </w:r>
      <w:r w:rsidR="009568FF">
        <w:rPr>
          <w:rFonts w:ascii="NewsGotT" w:hAnsi="NewsGotT"/>
          <w:lang w:val="pt-PT" w:eastAsia="x-none"/>
        </w:rPr>
        <w:t xml:space="preserve"> </w:t>
      </w:r>
      <w:r w:rsidR="009568FF" w:rsidRPr="009568FF">
        <w:rPr>
          <w:rFonts w:ascii="NewsGotT" w:hAnsi="NewsGotT"/>
          <w:lang w:val="pt-PT" w:eastAsia="x-none"/>
        </w:rPr>
        <w:t xml:space="preserve">em diversos </w:t>
      </w:r>
      <w:r w:rsidR="009568FF" w:rsidRPr="009568FF">
        <w:rPr>
          <w:rFonts w:ascii="NewsGotT" w:hAnsi="NewsGotT"/>
          <w:lang w:val="pt-PT" w:eastAsia="x-none"/>
        </w:rPr>
        <w:t>órgãos</w:t>
      </w:r>
      <w:r w:rsidR="009568FF" w:rsidRPr="009568FF">
        <w:rPr>
          <w:rFonts w:ascii="NewsGotT" w:hAnsi="NewsGotT"/>
          <w:lang w:val="pt-PT" w:eastAsia="x-none"/>
        </w:rPr>
        <w:t xml:space="preserve"> como o fígado, cérebro, </w:t>
      </w:r>
      <w:r w:rsidR="009568FF" w:rsidRPr="009568FF">
        <w:rPr>
          <w:rFonts w:ascii="NewsGotT" w:hAnsi="NewsGotT"/>
          <w:lang w:val="pt-PT" w:eastAsia="x-none"/>
        </w:rPr>
        <w:t>órgãos</w:t>
      </w:r>
      <w:r w:rsidR="009568FF" w:rsidRPr="009568FF">
        <w:rPr>
          <w:rFonts w:ascii="NewsGotT" w:hAnsi="NewsGotT"/>
          <w:lang w:val="pt-PT" w:eastAsia="x-none"/>
        </w:rPr>
        <w:t xml:space="preserve"> reprodutores femininos e</w:t>
      </w:r>
      <w:r w:rsidR="009568FF">
        <w:rPr>
          <w:rFonts w:ascii="NewsGotT" w:hAnsi="NewsGotT"/>
          <w:lang w:val="pt-PT" w:eastAsia="x-none"/>
        </w:rPr>
        <w:t xml:space="preserve"> </w:t>
      </w:r>
      <w:r w:rsidR="009568FF" w:rsidRPr="009568FF">
        <w:rPr>
          <w:rFonts w:ascii="NewsGotT" w:hAnsi="NewsGotT"/>
          <w:lang w:val="pt-PT" w:eastAsia="x-none"/>
        </w:rPr>
        <w:t>masculinos. A classe das hormonas esteróides liga-se a recetores intracelulares que</w:t>
      </w:r>
      <w:r w:rsidR="009568FF">
        <w:rPr>
          <w:rFonts w:ascii="NewsGotT" w:hAnsi="NewsGotT"/>
          <w:lang w:val="pt-PT" w:eastAsia="x-none"/>
        </w:rPr>
        <w:t xml:space="preserve"> </w:t>
      </w:r>
      <w:r w:rsidR="009568FF" w:rsidRPr="009568FF">
        <w:rPr>
          <w:rFonts w:ascii="NewsGotT" w:hAnsi="NewsGotT"/>
          <w:lang w:val="pt-PT" w:eastAsia="x-none"/>
        </w:rPr>
        <w:t>possuem características funcionais idênticas. Assim, esta classe pode ser subdividida</w:t>
      </w:r>
      <w:r w:rsidR="009568FF">
        <w:rPr>
          <w:rFonts w:ascii="NewsGotT" w:hAnsi="NewsGotT"/>
          <w:lang w:val="pt-PT" w:eastAsia="x-none"/>
        </w:rPr>
        <w:t xml:space="preserve"> </w:t>
      </w:r>
      <w:r w:rsidR="009568FF" w:rsidRPr="009568FF">
        <w:rPr>
          <w:rFonts w:ascii="NewsGotT" w:hAnsi="NewsGotT"/>
          <w:lang w:val="pt-PT" w:eastAsia="x-none"/>
        </w:rPr>
        <w:t>em cinco grupos de acordo com o recetor ao qual se liga</w:t>
      </w:r>
      <w:r w:rsidR="009568FF">
        <w:rPr>
          <w:rFonts w:ascii="NewsGotT" w:hAnsi="NewsGotT"/>
          <w:lang w:val="pt-PT" w:eastAsia="x-none"/>
        </w:rPr>
        <w:t xml:space="preserve">: </w:t>
      </w:r>
      <w:proofErr w:type="spellStart"/>
      <w:r w:rsidR="009568FF">
        <w:rPr>
          <w:rFonts w:ascii="NewsGotT" w:hAnsi="NewsGotT"/>
          <w:lang w:val="pt-PT" w:eastAsia="x-none"/>
        </w:rPr>
        <w:t>g</w:t>
      </w:r>
      <w:r w:rsidR="009568FF" w:rsidRPr="009568FF">
        <w:rPr>
          <w:rFonts w:ascii="NewsGotT" w:hAnsi="NewsGotT"/>
          <w:lang w:val="pt-PT" w:eastAsia="x-none"/>
        </w:rPr>
        <w:t>lucocorticóides</w:t>
      </w:r>
      <w:proofErr w:type="spellEnd"/>
      <w:r w:rsidR="009568FF">
        <w:rPr>
          <w:rFonts w:ascii="NewsGotT" w:hAnsi="NewsGotT"/>
          <w:lang w:val="pt-PT" w:eastAsia="x-none"/>
        </w:rPr>
        <w:t xml:space="preserve">, </w:t>
      </w:r>
      <w:proofErr w:type="spellStart"/>
      <w:r w:rsidR="009568FF">
        <w:rPr>
          <w:rFonts w:ascii="NewsGotT" w:hAnsi="NewsGotT"/>
          <w:lang w:val="pt-PT" w:eastAsia="x-none"/>
        </w:rPr>
        <w:t>mineralcorticóides</w:t>
      </w:r>
      <w:proofErr w:type="spellEnd"/>
      <w:r w:rsidR="009568FF">
        <w:rPr>
          <w:rFonts w:ascii="NewsGotT" w:hAnsi="NewsGotT"/>
          <w:lang w:val="pt-PT" w:eastAsia="x-none"/>
        </w:rPr>
        <w:t xml:space="preserve">, androgénios, estrogénios e </w:t>
      </w:r>
      <w:proofErr w:type="spellStart"/>
      <w:r w:rsidR="009568FF">
        <w:rPr>
          <w:rFonts w:ascii="NewsGotT" w:hAnsi="NewsGotT"/>
          <w:lang w:val="pt-PT" w:eastAsia="x-none"/>
        </w:rPr>
        <w:t>progestrogénios</w:t>
      </w:r>
      <w:proofErr w:type="spellEnd"/>
      <w:r w:rsidR="00395DE8">
        <w:rPr>
          <w:rFonts w:ascii="NewsGotT" w:hAnsi="NewsGotT"/>
          <w:lang w:val="pt-PT" w:eastAsia="x-none"/>
        </w:rPr>
        <w:t xml:space="preserve"> </w:t>
      </w:r>
      <w:r w:rsidR="00395DE8">
        <w:rPr>
          <w:rFonts w:ascii="NewsGotT" w:hAnsi="NewsGotT"/>
          <w:lang w:val="pt-PT" w:eastAsia="x-none"/>
        </w:rPr>
        <w:fldChar w:fldCharType="begin" w:fldLock="1"/>
      </w:r>
      <w:r w:rsidR="00E7097C">
        <w:rPr>
          <w:rFonts w:ascii="NewsGotT" w:hAnsi="NewsGotT"/>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rFonts w:ascii="NewsGotT" w:hAnsi="NewsGotT"/>
          <w:lang w:val="pt-PT" w:eastAsia="x-none"/>
        </w:rPr>
        <w:fldChar w:fldCharType="separate"/>
      </w:r>
      <w:r w:rsidR="00395DE8" w:rsidRPr="00395DE8">
        <w:rPr>
          <w:rFonts w:ascii="NewsGotT" w:hAnsi="NewsGotT"/>
          <w:noProof/>
          <w:lang w:val="pt-PT" w:eastAsia="x-none"/>
        </w:rPr>
        <w:t>(Nussey &amp; Whitehead, 2001)</w:t>
      </w:r>
      <w:r w:rsidR="00395DE8">
        <w:rPr>
          <w:rFonts w:ascii="NewsGotT" w:hAnsi="NewsGotT"/>
          <w:lang w:val="pt-PT" w:eastAsia="x-none"/>
        </w:rPr>
        <w:fldChar w:fldCharType="end"/>
      </w:r>
      <w:r w:rsidR="009568FF">
        <w:rPr>
          <w:rFonts w:ascii="NewsGotT" w:hAnsi="NewsGotT"/>
          <w:lang w:val="pt-PT" w:eastAsia="x-none"/>
        </w:rPr>
        <w:t xml:space="preserve">. Destes grupos, apenas se dará realce aos </w:t>
      </w:r>
      <w:proofErr w:type="spellStart"/>
      <w:r w:rsidR="009568FF">
        <w:rPr>
          <w:rFonts w:ascii="NewsGotT" w:hAnsi="NewsGotT"/>
          <w:lang w:val="pt-PT" w:eastAsia="x-none"/>
        </w:rPr>
        <w:t>glucocorticóides</w:t>
      </w:r>
      <w:proofErr w:type="spellEnd"/>
      <w:r w:rsidR="009568FF">
        <w:rPr>
          <w:rFonts w:ascii="NewsGotT" w:hAnsi="NewsGotT"/>
          <w:lang w:val="pt-PT" w:eastAsia="x-none"/>
        </w:rPr>
        <w:t xml:space="preserve"> que se caracterizam pela</w:t>
      </w:r>
      <w:r w:rsidR="007F739B">
        <w:rPr>
          <w:rFonts w:ascii="NewsGotT" w:hAnsi="NewsGotT"/>
          <w:lang w:val="pt-PT" w:eastAsia="x-none"/>
        </w:rPr>
        <w:t xml:space="preserve"> sua</w:t>
      </w:r>
      <w:r w:rsidR="009568FF">
        <w:rPr>
          <w:rFonts w:ascii="NewsGotT" w:hAnsi="NewsGotT"/>
          <w:lang w:val="pt-PT" w:eastAsia="x-none"/>
        </w:rPr>
        <w:t xml:space="preserve"> ligação ao cortisol. </w:t>
      </w:r>
    </w:p>
    <w:p w14:paraId="1DA22AA9" w14:textId="2E83CF41" w:rsidR="00954F5A" w:rsidRPr="002F5BFB" w:rsidRDefault="007F739B" w:rsidP="007F739B">
      <w:pPr>
        <w:spacing w:line="360" w:lineRule="auto"/>
        <w:ind w:firstLine="709"/>
        <w:jc w:val="both"/>
        <w:rPr>
          <w:rFonts w:ascii="NewsGotT" w:hAnsi="NewsGotT"/>
          <w:lang w:val="pt-BR" w:eastAsia="x-none"/>
        </w:rPr>
      </w:pPr>
      <w:r>
        <w:rPr>
          <w:rFonts w:ascii="NewsGotT" w:hAnsi="NewsGotT"/>
          <w:lang w:val="pt-PT" w:eastAsia="x-none"/>
        </w:rPr>
        <w:t xml:space="preserve">De um modo geral, os </w:t>
      </w:r>
      <w:proofErr w:type="spellStart"/>
      <w:r w:rsidRPr="007F739B">
        <w:rPr>
          <w:rFonts w:ascii="NewsGotT" w:hAnsi="NewsGotT"/>
          <w:lang w:val="pt-PT" w:eastAsia="x-none"/>
        </w:rPr>
        <w:t>glucocorticóides</w:t>
      </w:r>
      <w:proofErr w:type="spellEnd"/>
      <w:r w:rsidRPr="007F739B">
        <w:rPr>
          <w:rFonts w:ascii="NewsGotT" w:hAnsi="NewsGotT"/>
          <w:lang w:val="pt-PT" w:eastAsia="x-none"/>
        </w:rPr>
        <w:t xml:space="preserve"> são hormonas</w:t>
      </w:r>
      <w:r>
        <w:rPr>
          <w:rFonts w:ascii="NewsGotT" w:hAnsi="NewsGotT"/>
          <w:lang w:val="pt-PT" w:eastAsia="x-none"/>
        </w:rPr>
        <w:t xml:space="preserve"> </w:t>
      </w:r>
      <w:r w:rsidRPr="007F739B">
        <w:rPr>
          <w:rFonts w:ascii="NewsGotT" w:hAnsi="NewsGotT"/>
          <w:lang w:val="pt-PT" w:eastAsia="x-none"/>
        </w:rPr>
        <w:t xml:space="preserve">esteróides produzidas e segregadas pelo córtex da </w:t>
      </w:r>
      <w:proofErr w:type="spellStart"/>
      <w:r>
        <w:rPr>
          <w:rFonts w:ascii="NewsGotT" w:hAnsi="NewsGotT"/>
          <w:lang w:val="pt-PT" w:eastAsia="x-none"/>
        </w:rPr>
        <w:t>supra-renal</w:t>
      </w:r>
      <w:proofErr w:type="spellEnd"/>
      <w:r>
        <w:rPr>
          <w:rFonts w:ascii="NewsGotT" w:hAnsi="NewsGotT"/>
          <w:lang w:val="pt-PT" w:eastAsia="x-none"/>
        </w:rPr>
        <w:t xml:space="preserve"> e </w:t>
      </w:r>
      <w:r w:rsidR="00954F5A" w:rsidRPr="00954F5A">
        <w:rPr>
          <w:rFonts w:ascii="NewsGotT" w:hAnsi="NewsGotT"/>
          <w:lang w:val="pt-PT" w:eastAsia="x-none"/>
        </w:rPr>
        <w:t>desempenham um papel fundamental na regulação fisiológica e</w:t>
      </w:r>
      <w:r w:rsidR="00954F5A">
        <w:rPr>
          <w:rFonts w:ascii="NewsGotT" w:hAnsi="NewsGotT"/>
          <w:lang w:val="pt-PT" w:eastAsia="x-none"/>
        </w:rPr>
        <w:t xml:space="preserve"> </w:t>
      </w:r>
      <w:r w:rsidR="00954F5A" w:rsidRPr="00954F5A">
        <w:rPr>
          <w:rFonts w:ascii="NewsGotT" w:hAnsi="NewsGotT"/>
          <w:lang w:val="pt-PT" w:eastAsia="x-none"/>
        </w:rPr>
        <w:t>na manutenção da homeostasia de vários sistemas</w:t>
      </w:r>
      <w:r w:rsidR="00CB37B6">
        <w:rPr>
          <w:rFonts w:ascii="NewsGotT" w:hAnsi="NewsGotT"/>
          <w:lang w:val="pt-PT" w:eastAsia="x-none"/>
        </w:rPr>
        <w:t>, como o</w:t>
      </w:r>
      <w:r w:rsidR="00954F5A">
        <w:rPr>
          <w:rFonts w:ascii="NewsGotT" w:hAnsi="NewsGotT"/>
          <w:lang w:val="pt-PT" w:eastAsia="x-none"/>
        </w:rPr>
        <w:t xml:space="preserve"> </w:t>
      </w:r>
      <w:r w:rsidR="00954F5A" w:rsidRPr="00954F5A">
        <w:rPr>
          <w:rFonts w:ascii="NewsGotT" w:hAnsi="NewsGotT"/>
          <w:lang w:val="pt-PT" w:eastAsia="x-none"/>
        </w:rPr>
        <w:t>cardiovascular,</w:t>
      </w:r>
      <w:r w:rsidR="002F5BFB">
        <w:rPr>
          <w:rFonts w:ascii="NewsGotT" w:hAnsi="NewsGotT"/>
          <w:lang w:val="pt-PT" w:eastAsia="x-none"/>
        </w:rPr>
        <w:t xml:space="preserve"> </w:t>
      </w:r>
      <w:r w:rsidR="00954F5A" w:rsidRPr="00954F5A">
        <w:rPr>
          <w:rFonts w:ascii="NewsGotT" w:hAnsi="NewsGotT"/>
          <w:lang w:val="pt-PT" w:eastAsia="x-none"/>
        </w:rPr>
        <w:t>imune</w:t>
      </w:r>
      <w:r w:rsidR="002F5BFB">
        <w:rPr>
          <w:rFonts w:ascii="NewsGotT" w:hAnsi="NewsGotT"/>
          <w:lang w:val="pt-PT" w:eastAsia="x-none"/>
        </w:rPr>
        <w:t xml:space="preserve">, </w:t>
      </w:r>
      <w:r w:rsidR="002F5BFB" w:rsidRPr="00954F5A">
        <w:rPr>
          <w:rFonts w:ascii="NewsGotT" w:hAnsi="NewsGotT"/>
          <w:lang w:val="pt-PT" w:eastAsia="x-none"/>
        </w:rPr>
        <w:t>metabólico</w:t>
      </w:r>
      <w:r w:rsidR="00CB37B6">
        <w:rPr>
          <w:rFonts w:ascii="NewsGotT" w:hAnsi="NewsGotT"/>
          <w:lang w:val="pt-PT" w:eastAsia="x-none"/>
        </w:rPr>
        <w:t xml:space="preserve"> ou </w:t>
      </w:r>
      <w:r w:rsidR="00954F5A" w:rsidRPr="00954F5A">
        <w:rPr>
          <w:rFonts w:ascii="NewsGotT" w:hAnsi="NewsGotT"/>
          <w:lang w:val="pt-PT" w:eastAsia="x-none"/>
        </w:rPr>
        <w:t>nervoso</w:t>
      </w:r>
      <w:r w:rsidR="00954F5A">
        <w:rPr>
          <w:rFonts w:ascii="NewsGotT" w:hAnsi="NewsGotT"/>
          <w:lang w:val="pt-PT" w:eastAsia="x-none"/>
        </w:rPr>
        <w:t xml:space="preserve"> </w:t>
      </w:r>
      <w:r w:rsidR="00954F5A" w:rsidRPr="00954F5A">
        <w:rPr>
          <w:rFonts w:ascii="NewsGotT" w:hAnsi="NewsGotT"/>
          <w:lang w:val="pt-PT" w:eastAsia="x-none"/>
        </w:rPr>
        <w:t>central</w:t>
      </w:r>
      <w:r w:rsidR="00CB37B6">
        <w:rPr>
          <w:rFonts w:ascii="NewsGotT" w:hAnsi="NewsGotT"/>
          <w:lang w:val="pt-PT" w:eastAsia="x-none"/>
        </w:rPr>
        <w:t xml:space="preserve"> </w:t>
      </w:r>
      <w:r w:rsidR="00960927">
        <w:rPr>
          <w:rFonts w:ascii="NewsGotT" w:hAnsi="NewsGotT"/>
          <w:lang w:val="pt-PT" w:eastAsia="x-none"/>
        </w:rPr>
        <w:fldChar w:fldCharType="begin" w:fldLock="1"/>
      </w:r>
      <w:r w:rsidR="00960927">
        <w:rPr>
          <w:rFonts w:ascii="NewsGotT" w:hAnsi="NewsGotT"/>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rFonts w:ascii="NewsGotT" w:hAnsi="NewsGotT"/>
          <w:lang w:val="pt-PT" w:eastAsia="x-none"/>
        </w:rPr>
        <w:fldChar w:fldCharType="separate"/>
      </w:r>
      <w:r w:rsidR="00960927" w:rsidRPr="00960927">
        <w:rPr>
          <w:rFonts w:ascii="NewsGotT" w:hAnsi="NewsGotT"/>
          <w:noProof/>
          <w:lang w:val="pt-PT" w:eastAsia="x-none"/>
        </w:rPr>
        <w:t>(Chrousos, 1993)</w:t>
      </w:r>
      <w:r w:rsidR="00960927">
        <w:rPr>
          <w:rFonts w:ascii="NewsGotT" w:hAnsi="NewsGotT"/>
          <w:lang w:val="pt-PT" w:eastAsia="x-none"/>
        </w:rPr>
        <w:fldChar w:fldCharType="end"/>
      </w:r>
      <w:r w:rsidR="00954F5A">
        <w:rPr>
          <w:rFonts w:ascii="NewsGotT" w:hAnsi="NewsGotT"/>
          <w:lang w:val="pt-PT" w:eastAsia="x-none"/>
        </w:rPr>
        <w:t>.</w:t>
      </w:r>
      <w:r w:rsidR="002F5BFB">
        <w:rPr>
          <w:rFonts w:ascii="NewsGotT" w:hAnsi="NewsGotT"/>
          <w:lang w:val="pt-PT" w:eastAsia="x-none"/>
        </w:rPr>
        <w:t xml:space="preserve"> </w:t>
      </w:r>
      <w:r w:rsidR="002F5BFB" w:rsidRPr="002F5BFB">
        <w:rPr>
          <w:rFonts w:ascii="NewsGotT" w:hAnsi="NewsGotT"/>
          <w:lang w:val="pt-BR" w:eastAsia="x-none"/>
        </w:rPr>
        <w:t>Esta classe de medicamentos</w:t>
      </w:r>
      <w:r w:rsidR="002F5BFB">
        <w:rPr>
          <w:rFonts w:ascii="NewsGotT" w:hAnsi="NewsGotT"/>
          <w:lang w:val="pt-BR" w:eastAsia="x-none"/>
        </w:rPr>
        <w:t xml:space="preserve"> é comumente utilizada para o tratamento de inflamações, doenças autoimunes e cancro. A descoberta deste fármaco iniciou-se por volta do século XX, quando </w:t>
      </w:r>
      <w:r w:rsidR="00D20FCC" w:rsidRPr="00D20FCC">
        <w:rPr>
          <w:rFonts w:ascii="NewsGotT" w:hAnsi="NewsGotT"/>
          <w:lang w:val="pt-BR" w:eastAsia="x-none"/>
        </w:rPr>
        <w:t xml:space="preserve">Edward Calvin Kendall isolou quatro compostos </w:t>
      </w:r>
      <w:proofErr w:type="spellStart"/>
      <w:r w:rsidR="00D20FCC" w:rsidRPr="00D20FCC">
        <w:rPr>
          <w:rFonts w:ascii="NewsGotT" w:hAnsi="NewsGotT"/>
          <w:lang w:val="pt-BR" w:eastAsia="x-none"/>
        </w:rPr>
        <w:t>esteroidais</w:t>
      </w:r>
      <w:proofErr w:type="spellEnd"/>
      <w:r w:rsidR="00D20FCC" w:rsidRPr="00D20FCC">
        <w:rPr>
          <w:rFonts w:ascii="NewsGotT" w:hAnsi="NewsGotT"/>
          <w:lang w:val="pt-BR" w:eastAsia="x-none"/>
        </w:rPr>
        <w:t xml:space="preserve"> de adrenalina</w:t>
      </w:r>
    </w:p>
    <w:p w14:paraId="71C412D5" w14:textId="78849E97" w:rsidR="00954F5A" w:rsidRPr="002F5BFB" w:rsidRDefault="00954F5A" w:rsidP="00954F5A">
      <w:pPr>
        <w:spacing w:line="360" w:lineRule="auto"/>
        <w:jc w:val="both"/>
        <w:rPr>
          <w:rFonts w:ascii="NewsGotT" w:hAnsi="NewsGotT"/>
          <w:lang w:val="pt-BR" w:eastAsia="x-none"/>
        </w:rPr>
      </w:pPr>
    </w:p>
    <w:p w14:paraId="0BBD720D" w14:textId="795CEC5D" w:rsidR="0003390F" w:rsidRDefault="0003390F" w:rsidP="00954F5A">
      <w:pPr>
        <w:pStyle w:val="Heading3"/>
        <w:spacing w:line="360" w:lineRule="auto"/>
        <w:jc w:val="both"/>
        <w:rPr>
          <w:rFonts w:ascii="NewsGotT" w:hAnsi="NewsGotT"/>
          <w:lang w:val="pt-BR" w:eastAsia="x-none"/>
        </w:rPr>
      </w:pPr>
      <w:r>
        <w:rPr>
          <w:rFonts w:ascii="NewsGotT" w:hAnsi="NewsGotT"/>
          <w:lang w:val="pt-BR" w:eastAsia="x-none"/>
        </w:rPr>
        <w:t xml:space="preserve">Disfunções </w:t>
      </w:r>
      <w:proofErr w:type="spellStart"/>
      <w:r>
        <w:rPr>
          <w:rFonts w:ascii="NewsGotT" w:hAnsi="NewsGotT"/>
          <w:lang w:val="pt-BR" w:eastAsia="x-none"/>
        </w:rPr>
        <w:t>genitourinárias</w:t>
      </w:r>
      <w:proofErr w:type="spellEnd"/>
      <w:r>
        <w:rPr>
          <w:rFonts w:ascii="NewsGotT" w:hAnsi="NewsGotT"/>
          <w:lang w:val="pt-BR" w:eastAsia="x-none"/>
        </w:rPr>
        <w:t xml:space="preserve"> </w:t>
      </w:r>
    </w:p>
    <w:p w14:paraId="2AD02230" w14:textId="77777777" w:rsidR="0003390F" w:rsidRPr="0003390F" w:rsidRDefault="0003390F" w:rsidP="0003390F">
      <w:pPr>
        <w:rPr>
          <w:lang w:val="pt-BR" w:eastAsia="x-none"/>
        </w:rPr>
      </w:pPr>
    </w:p>
    <w:p w14:paraId="6B38CB9A" w14:textId="7CE7D671" w:rsidR="00A311B8" w:rsidRDefault="00A311B8" w:rsidP="00A311B8">
      <w:pPr>
        <w:spacing w:line="360" w:lineRule="auto"/>
        <w:ind w:firstLine="709"/>
        <w:jc w:val="both"/>
        <w:rPr>
          <w:rFonts w:ascii="NewsGotT" w:hAnsi="NewsGotT"/>
          <w:lang w:val="pt-PT" w:eastAsia="x-none"/>
        </w:rPr>
      </w:pPr>
    </w:p>
    <w:p w14:paraId="651AA4DC" w14:textId="4A3376D8" w:rsidR="00A311B8" w:rsidRDefault="00A311B8" w:rsidP="00A311B8">
      <w:pPr>
        <w:spacing w:line="360" w:lineRule="auto"/>
        <w:ind w:firstLine="709"/>
        <w:jc w:val="both"/>
        <w:rPr>
          <w:rFonts w:ascii="NewsGotT" w:hAnsi="NewsGotT"/>
          <w:lang w:val="pt-PT" w:eastAsia="x-none"/>
        </w:rPr>
      </w:pPr>
    </w:p>
    <w:p w14:paraId="33631E07" w14:textId="77777777" w:rsidR="00A311B8" w:rsidRDefault="00A311B8" w:rsidP="00A311B8">
      <w:pPr>
        <w:spacing w:line="360" w:lineRule="auto"/>
        <w:ind w:firstLine="709"/>
        <w:jc w:val="both"/>
        <w:rPr>
          <w:rFonts w:ascii="NewsGotT" w:hAnsi="NewsGotT"/>
          <w:lang w:val="pt-PT" w:eastAsia="x-none"/>
        </w:rPr>
      </w:pPr>
    </w:p>
    <w:p w14:paraId="6333DBE9" w14:textId="77777777" w:rsidR="00CE42E3" w:rsidRPr="0085530F" w:rsidRDefault="00CE42E3"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w:t>
      </w:r>
      <w:r w:rsidRPr="001264D6">
        <w:rPr>
          <w:rFonts w:ascii="NewsGotT" w:hAnsi="NewsGotT"/>
          <w:lang w:val="pt-PT" w:eastAsia="x-none"/>
        </w:rPr>
        <w:lastRenderedPageBreak/>
        <w:t>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w:t>
      </w:r>
      <w:r w:rsidRPr="001264D6">
        <w:rPr>
          <w:rFonts w:ascii="NewsGotT" w:hAnsi="NewsGotT"/>
          <w:lang w:val="pt-PT" w:eastAsia="x-none"/>
        </w:rPr>
        <w:lastRenderedPageBreak/>
        <w:t xml:space="preserve">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lastRenderedPageBreak/>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w:t>
      </w:r>
      <w:r w:rsidRPr="001264D6">
        <w:rPr>
          <w:rFonts w:ascii="NewsGotT" w:hAnsi="NewsGotT"/>
          <w:lang w:val="pt-PT" w:eastAsia="x-none"/>
        </w:rPr>
        <w:lastRenderedPageBreak/>
        <w:t xml:space="preserve">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xml:space="preserve">,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w:t>
      </w:r>
      <w:r w:rsidRPr="001264D6">
        <w:rPr>
          <w:rFonts w:ascii="NewsGotT" w:hAnsi="NewsGotT"/>
          <w:lang w:val="pt-PT" w:eastAsia="x-none"/>
        </w:rPr>
        <w:lastRenderedPageBreak/>
        <w:t>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lastRenderedPageBreak/>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7224EE67" w14:textId="213D324A" w:rsidR="00E7097C" w:rsidRPr="00E7097C" w:rsidRDefault="00C75460" w:rsidP="00E7097C">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E7097C" w:rsidRPr="00E7097C">
        <w:rPr>
          <w:rFonts w:ascii="NewsGotT" w:hAnsi="NewsGotT"/>
          <w:noProof/>
        </w:rPr>
        <w:t xml:space="preserve">Adamis, D., Sharma, N., Whelan, P. J. P., &amp; MacDonald, A. J. D. (2010). Delirium scales: A review of current evidence. </w:t>
      </w:r>
      <w:r w:rsidR="00E7097C" w:rsidRPr="00E7097C">
        <w:rPr>
          <w:rFonts w:ascii="NewsGotT" w:hAnsi="NewsGotT"/>
          <w:i/>
          <w:iCs/>
          <w:noProof/>
        </w:rPr>
        <w:t>Aging and Mental Health</w:t>
      </w:r>
      <w:r w:rsidR="00E7097C" w:rsidRPr="00E7097C">
        <w:rPr>
          <w:rFonts w:ascii="NewsGotT" w:hAnsi="NewsGotT"/>
          <w:noProof/>
        </w:rPr>
        <w:t xml:space="preserve">, </w:t>
      </w:r>
      <w:r w:rsidR="00E7097C" w:rsidRPr="00E7097C">
        <w:rPr>
          <w:rFonts w:ascii="NewsGotT" w:hAnsi="NewsGotT"/>
          <w:i/>
          <w:iCs/>
          <w:noProof/>
        </w:rPr>
        <w:t>14</w:t>
      </w:r>
      <w:r w:rsidR="00E7097C" w:rsidRPr="00E7097C">
        <w:rPr>
          <w:rFonts w:ascii="NewsGotT" w:hAnsi="NewsGotT"/>
          <w:noProof/>
        </w:rPr>
        <w:t>(5), 543–555. https://doi.org/10.1080/13607860903421011</w:t>
      </w:r>
    </w:p>
    <w:p w14:paraId="0DDACB2D"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Adamis, D., Treloar, A., Martin, F. C., &amp; Macdonald, A. J. D. (2007). A brief review of the history of delirium as a mental disorder. </w:t>
      </w:r>
      <w:r w:rsidRPr="00E7097C">
        <w:rPr>
          <w:rFonts w:ascii="NewsGotT" w:hAnsi="NewsGotT"/>
          <w:i/>
          <w:iCs/>
          <w:noProof/>
        </w:rPr>
        <w:t>History of Psychiatry</w:t>
      </w:r>
      <w:r w:rsidRPr="00E7097C">
        <w:rPr>
          <w:rFonts w:ascii="NewsGotT" w:hAnsi="NewsGotT"/>
          <w:noProof/>
        </w:rPr>
        <w:t xml:space="preserve">, </w:t>
      </w:r>
      <w:r w:rsidRPr="00E7097C">
        <w:rPr>
          <w:rFonts w:ascii="NewsGotT" w:hAnsi="NewsGotT"/>
          <w:i/>
          <w:iCs/>
          <w:noProof/>
        </w:rPr>
        <w:t>18</w:t>
      </w:r>
      <w:r w:rsidRPr="00E7097C">
        <w:rPr>
          <w:rFonts w:ascii="NewsGotT" w:hAnsi="NewsGotT"/>
          <w:noProof/>
        </w:rPr>
        <w:t>(4), 459–469. https://doi.org/10.1177/0957154X07076467</w:t>
      </w:r>
    </w:p>
    <w:p w14:paraId="1DB1243D"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Alagiakrishnan, K., &amp; Wiens, C. A. (2004). An approach to drug induced delirium in the elderly. </w:t>
      </w:r>
      <w:r w:rsidRPr="00E7097C">
        <w:rPr>
          <w:rFonts w:ascii="NewsGotT" w:hAnsi="NewsGotT"/>
          <w:i/>
          <w:iCs/>
          <w:noProof/>
        </w:rPr>
        <w:t>Postgraduate Medical Journal</w:t>
      </w:r>
      <w:r w:rsidRPr="00E7097C">
        <w:rPr>
          <w:rFonts w:ascii="NewsGotT" w:hAnsi="NewsGotT"/>
          <w:noProof/>
        </w:rPr>
        <w:t xml:space="preserve">, </w:t>
      </w:r>
      <w:r w:rsidRPr="00E7097C">
        <w:rPr>
          <w:rFonts w:ascii="NewsGotT" w:hAnsi="NewsGotT"/>
          <w:i/>
          <w:iCs/>
          <w:noProof/>
        </w:rPr>
        <w:t>80</w:t>
      </w:r>
      <w:r w:rsidRPr="00E7097C">
        <w:rPr>
          <w:rFonts w:ascii="NewsGotT" w:hAnsi="NewsGotT"/>
          <w:noProof/>
        </w:rPr>
        <w:t>(945), 388–393. https://doi.org/10.1136/pgmj.2003.017236</w:t>
      </w:r>
    </w:p>
    <w:p w14:paraId="2FC7F60D"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Ali, J., Khan, R., Ahmad, N., &amp; Maqsood, I. (2012). Random Forests and Decision Trees. </w:t>
      </w:r>
      <w:r w:rsidRPr="00E7097C">
        <w:rPr>
          <w:rFonts w:ascii="NewsGotT" w:hAnsi="NewsGotT"/>
          <w:i/>
          <w:iCs/>
          <w:noProof/>
        </w:rPr>
        <w:t>International Journal of Computer Science Issues</w:t>
      </w:r>
      <w:r w:rsidRPr="00E7097C">
        <w:rPr>
          <w:rFonts w:ascii="NewsGotT" w:hAnsi="NewsGotT"/>
          <w:noProof/>
        </w:rPr>
        <w:t xml:space="preserve">, </w:t>
      </w:r>
      <w:r w:rsidRPr="00E7097C">
        <w:rPr>
          <w:rFonts w:ascii="NewsGotT" w:hAnsi="NewsGotT"/>
          <w:i/>
          <w:iCs/>
          <w:noProof/>
        </w:rPr>
        <w:t>9</w:t>
      </w:r>
      <w:r w:rsidRPr="00E7097C">
        <w:rPr>
          <w:rFonts w:ascii="NewsGotT" w:hAnsi="NewsGotT"/>
          <w:noProof/>
        </w:rPr>
        <w:t>(5), 272–278.</w:t>
      </w:r>
    </w:p>
    <w:p w14:paraId="25372BEA"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Ali, M. A., Hashmi, M., Ahmed, W., Raza, S. A., Khan, M. F., &amp; Salim, B. (2021). Incidence and risk factors of delirium in surgical intensive care unit. </w:t>
      </w:r>
      <w:r w:rsidRPr="00E7097C">
        <w:rPr>
          <w:rFonts w:ascii="NewsGotT" w:hAnsi="NewsGotT"/>
          <w:i/>
          <w:iCs/>
          <w:noProof/>
        </w:rPr>
        <w:t>Trauma Surgery and Acute Care Open</w:t>
      </w:r>
      <w:r w:rsidRPr="00E7097C">
        <w:rPr>
          <w:rFonts w:ascii="NewsGotT" w:hAnsi="NewsGotT"/>
          <w:noProof/>
        </w:rPr>
        <w:t xml:space="preserve">, </w:t>
      </w:r>
      <w:r w:rsidRPr="00E7097C">
        <w:rPr>
          <w:rFonts w:ascii="NewsGotT" w:hAnsi="NewsGotT"/>
          <w:i/>
          <w:iCs/>
          <w:noProof/>
        </w:rPr>
        <w:t>6</w:t>
      </w:r>
      <w:r w:rsidRPr="00E7097C">
        <w:rPr>
          <w:rFonts w:ascii="NewsGotT" w:hAnsi="NewsGotT"/>
          <w:noProof/>
        </w:rPr>
        <w:t>(1). https://doi.org/10.1136/tsaco-2020-000564</w:t>
      </w:r>
    </w:p>
    <w:p w14:paraId="509C65A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Alsuliman, T., Humaidan, D., &amp; Sliman, L. (2020). Machine learning and artificial intelligence in the service of medicine: Necessity or potentiality? </w:t>
      </w:r>
      <w:r w:rsidRPr="00E7097C">
        <w:rPr>
          <w:rFonts w:ascii="NewsGotT" w:hAnsi="NewsGotT"/>
          <w:i/>
          <w:iCs/>
          <w:noProof/>
        </w:rPr>
        <w:t>Current Research in Translational Medicine</w:t>
      </w:r>
      <w:r w:rsidRPr="00E7097C">
        <w:rPr>
          <w:rFonts w:ascii="NewsGotT" w:hAnsi="NewsGotT"/>
          <w:noProof/>
        </w:rPr>
        <w:t xml:space="preserve">, </w:t>
      </w:r>
      <w:r w:rsidRPr="00E7097C">
        <w:rPr>
          <w:rFonts w:ascii="NewsGotT" w:hAnsi="NewsGotT"/>
          <w:i/>
          <w:iCs/>
          <w:noProof/>
        </w:rPr>
        <w:t>68</w:t>
      </w:r>
      <w:r w:rsidRPr="00E7097C">
        <w:rPr>
          <w:rFonts w:ascii="NewsGotT" w:hAnsi="NewsGotT"/>
          <w:noProof/>
        </w:rPr>
        <w:t>(4), 245–251. https://doi.org/10.1016/j.retram.2020.01.002</w:t>
      </w:r>
    </w:p>
    <w:p w14:paraId="1AF4B9F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American Psychiatric Association. (1980). </w:t>
      </w:r>
      <w:r w:rsidRPr="00E7097C">
        <w:rPr>
          <w:rFonts w:ascii="NewsGotT" w:hAnsi="NewsGotT"/>
          <w:i/>
          <w:iCs/>
          <w:noProof/>
        </w:rPr>
        <w:t>Diagnostic and Statistical Manual of Mental Disorders - III</w:t>
      </w:r>
      <w:r w:rsidRPr="00E7097C">
        <w:rPr>
          <w:rFonts w:ascii="NewsGotT" w:hAnsi="NewsGotT"/>
          <w:noProof/>
        </w:rPr>
        <w:t>. Washington.</w:t>
      </w:r>
    </w:p>
    <w:p w14:paraId="398F3410"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American Psychiatric Association. (2013). </w:t>
      </w:r>
      <w:r w:rsidRPr="00E7097C">
        <w:rPr>
          <w:rFonts w:ascii="NewsGotT" w:hAnsi="NewsGotT"/>
          <w:i/>
          <w:iCs/>
          <w:noProof/>
        </w:rPr>
        <w:t>Diagnostic and statistical manual of mental disorders - DSM-5</w:t>
      </w:r>
      <w:r w:rsidRPr="00E7097C">
        <w:rPr>
          <w:rFonts w:ascii="NewsGotT" w:hAnsi="NewsGotT"/>
          <w:noProof/>
        </w:rPr>
        <w:t xml:space="preserve">. </w:t>
      </w:r>
      <w:r w:rsidRPr="00E7097C">
        <w:rPr>
          <w:rFonts w:ascii="NewsGotT" w:hAnsi="NewsGotT"/>
          <w:i/>
          <w:iCs/>
          <w:noProof/>
        </w:rPr>
        <w:t>Pediatria Integral</w:t>
      </w:r>
      <w:r w:rsidRPr="00E7097C">
        <w:rPr>
          <w:rFonts w:ascii="NewsGotT" w:hAnsi="NewsGotT"/>
          <w:noProof/>
        </w:rPr>
        <w:t xml:space="preserve"> (fifth, Vol. 17).</w:t>
      </w:r>
    </w:p>
    <w:p w14:paraId="45CD22E7"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Associação Portuguesa de Nutrição. (2018). </w:t>
      </w:r>
      <w:r w:rsidRPr="00E7097C">
        <w:rPr>
          <w:rFonts w:ascii="NewsGotT" w:hAnsi="NewsGotT"/>
          <w:i/>
          <w:iCs/>
          <w:noProof/>
        </w:rPr>
        <w:t>Dislipidemias: Caracterização e Tratamento nutricional</w:t>
      </w:r>
      <w:r w:rsidRPr="00E7097C">
        <w:rPr>
          <w:rFonts w:ascii="NewsGotT" w:hAnsi="NewsGotT"/>
          <w:noProof/>
        </w:rPr>
        <w:t>. Associação Portuguesa de Nutrição. Retrieved from http://www.jstage.jst.go.jp/article/pjab/86/5/86_5_484/_article</w:t>
      </w:r>
    </w:p>
    <w:p w14:paraId="69C0D0A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Basu, S., Faghmous, J. H., &amp; Doupe, P. (2020). Machine learning methods for precision medicine research designed to reduce health disparities: A structured tutorial. </w:t>
      </w:r>
      <w:r w:rsidRPr="00E7097C">
        <w:rPr>
          <w:rFonts w:ascii="NewsGotT" w:hAnsi="NewsGotT"/>
          <w:i/>
          <w:iCs/>
          <w:noProof/>
        </w:rPr>
        <w:t>Ethnicity and Disease</w:t>
      </w:r>
      <w:r w:rsidRPr="00E7097C">
        <w:rPr>
          <w:rFonts w:ascii="NewsGotT" w:hAnsi="NewsGotT"/>
          <w:noProof/>
        </w:rPr>
        <w:t xml:space="preserve">, </w:t>
      </w:r>
      <w:r w:rsidRPr="00E7097C">
        <w:rPr>
          <w:rFonts w:ascii="NewsGotT" w:hAnsi="NewsGotT"/>
          <w:i/>
          <w:iCs/>
          <w:noProof/>
        </w:rPr>
        <w:t>30</w:t>
      </w:r>
      <w:r w:rsidRPr="00E7097C">
        <w:rPr>
          <w:rFonts w:ascii="NewsGotT" w:hAnsi="NewsGotT"/>
          <w:noProof/>
        </w:rPr>
        <w:t>, 217–228. https://doi.org/10.18865/ed.30.S1.217</w:t>
      </w:r>
    </w:p>
    <w:p w14:paraId="2510B317"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Bial. (2006). Denominação da especialidade farmacêutica - SEDOXIL. Retrieved July 21, 2021, from https://www.bial.com/media/2780/sedoxil.pdf</w:t>
      </w:r>
    </w:p>
    <w:p w14:paraId="0CB343D6"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Bourgeois, J. A., Hategan, A., &amp; Losier, B. (2014). Delirium in the hospital: Emphasis on the management of geriatric patients. </w:t>
      </w:r>
      <w:r w:rsidRPr="00E7097C">
        <w:rPr>
          <w:rFonts w:ascii="NewsGotT" w:hAnsi="NewsGotT"/>
          <w:i/>
          <w:iCs/>
          <w:noProof/>
        </w:rPr>
        <w:t>Current Psychiatry</w:t>
      </w:r>
      <w:r w:rsidRPr="00E7097C">
        <w:rPr>
          <w:rFonts w:ascii="NewsGotT" w:hAnsi="NewsGotT"/>
          <w:noProof/>
        </w:rPr>
        <w:t xml:space="preserve">, </w:t>
      </w:r>
      <w:r w:rsidRPr="00E7097C">
        <w:rPr>
          <w:rFonts w:ascii="NewsGotT" w:hAnsi="NewsGotT"/>
          <w:i/>
          <w:iCs/>
          <w:noProof/>
        </w:rPr>
        <w:t>13</w:t>
      </w:r>
      <w:r w:rsidRPr="00E7097C">
        <w:rPr>
          <w:rFonts w:ascii="NewsGotT" w:hAnsi="NewsGotT"/>
          <w:noProof/>
        </w:rPr>
        <w:t>(8), 29–42.</w:t>
      </w:r>
    </w:p>
    <w:p w14:paraId="543E315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Braga, A. de P., Ludermir, T. B., &amp; Carvalho, A. C. P. de L. F. (2000). </w:t>
      </w:r>
      <w:r w:rsidRPr="00E7097C">
        <w:rPr>
          <w:rFonts w:ascii="NewsGotT" w:hAnsi="NewsGotT"/>
          <w:i/>
          <w:iCs/>
          <w:noProof/>
        </w:rPr>
        <w:t>Redes Neurais Artificiais: Teoria e Aplicações</w:t>
      </w:r>
      <w:r w:rsidRPr="00E7097C">
        <w:rPr>
          <w:rFonts w:ascii="NewsGotT" w:hAnsi="NewsGotT"/>
          <w:noProof/>
        </w:rPr>
        <w:t>. Rio de Janeiro: LTC - Livros técnicos e científicos editora S.A.</w:t>
      </w:r>
    </w:p>
    <w:p w14:paraId="70F7FD8B"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Breiman, L. (2001). Random forests. </w:t>
      </w:r>
      <w:r w:rsidRPr="00E7097C">
        <w:rPr>
          <w:rFonts w:ascii="NewsGotT" w:hAnsi="NewsGotT"/>
          <w:i/>
          <w:iCs/>
          <w:noProof/>
        </w:rPr>
        <w:t>Machine Learning</w:t>
      </w:r>
      <w:r w:rsidRPr="00E7097C">
        <w:rPr>
          <w:rFonts w:ascii="NewsGotT" w:hAnsi="NewsGotT"/>
          <w:noProof/>
        </w:rPr>
        <w:t xml:space="preserve">, </w:t>
      </w:r>
      <w:r w:rsidRPr="00E7097C">
        <w:rPr>
          <w:rFonts w:ascii="NewsGotT" w:hAnsi="NewsGotT"/>
          <w:i/>
          <w:iCs/>
          <w:noProof/>
        </w:rPr>
        <w:t>45</w:t>
      </w:r>
      <w:r w:rsidRPr="00E7097C">
        <w:rPr>
          <w:rFonts w:ascii="NewsGotT" w:hAnsi="NewsGotT"/>
          <w:noProof/>
        </w:rPr>
        <w:t>(1), 5–32.</w:t>
      </w:r>
    </w:p>
    <w:p w14:paraId="74C6B20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Brenner, D. M., &amp; Lacy, B. E. (2021). Antispasmodics for Chronic Abdominal Pain. </w:t>
      </w:r>
      <w:r w:rsidRPr="00E7097C">
        <w:rPr>
          <w:rFonts w:ascii="NewsGotT" w:hAnsi="NewsGotT"/>
          <w:i/>
          <w:iCs/>
          <w:noProof/>
        </w:rPr>
        <w:t>American Journal of Gastroenterology</w:t>
      </w:r>
      <w:r w:rsidRPr="00E7097C">
        <w:rPr>
          <w:rFonts w:ascii="NewsGotT" w:hAnsi="NewsGotT"/>
          <w:noProof/>
        </w:rPr>
        <w:t xml:space="preserve">, </w:t>
      </w:r>
      <w:r w:rsidRPr="00E7097C">
        <w:rPr>
          <w:rFonts w:ascii="NewsGotT" w:hAnsi="NewsGotT"/>
          <w:i/>
          <w:iCs/>
          <w:noProof/>
        </w:rPr>
        <w:t>Publish Ah</w:t>
      </w:r>
      <w:r w:rsidRPr="00E7097C">
        <w:rPr>
          <w:rFonts w:ascii="NewsGotT" w:hAnsi="NewsGotT"/>
          <w:noProof/>
        </w:rPr>
        <w:t>, 1587–1600. https://doi.org/10.14309/ajg.0000000000001266</w:t>
      </w:r>
    </w:p>
    <w:p w14:paraId="05A7E1F4"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Bruha, I., &amp; Berka, P. (2000). Discretization and Fuzzification of Numerical Attributes in Attribute-Based Learning. In </w:t>
      </w:r>
      <w:r w:rsidRPr="00E7097C">
        <w:rPr>
          <w:rFonts w:ascii="NewsGotT" w:hAnsi="NewsGotT"/>
          <w:i/>
          <w:iCs/>
          <w:noProof/>
        </w:rPr>
        <w:t>Fuzzy Systems in Medicine</w:t>
      </w:r>
      <w:r w:rsidRPr="00E7097C">
        <w:rPr>
          <w:rFonts w:ascii="NewsGotT" w:hAnsi="NewsGotT"/>
          <w:noProof/>
        </w:rPr>
        <w:t xml:space="preserve"> (Vol. 41, pp. 112–138). https://doi.org/10.1007/978-3-7908-1859-8_6</w:t>
      </w:r>
    </w:p>
    <w:p w14:paraId="1493FE6C"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Brunton, L. L., Chabner, B. A., &amp; Knollmann, B. C. (2011). </w:t>
      </w:r>
      <w:r w:rsidRPr="00E7097C">
        <w:rPr>
          <w:rFonts w:ascii="NewsGotT" w:hAnsi="NewsGotT"/>
          <w:i/>
          <w:iCs/>
          <w:noProof/>
        </w:rPr>
        <w:t>Goodman &amp; Gilman’s pharmacological basis of therapeutics</w:t>
      </w:r>
      <w:r w:rsidRPr="00E7097C">
        <w:rPr>
          <w:rFonts w:ascii="NewsGotT" w:hAnsi="NewsGotT"/>
          <w:noProof/>
        </w:rPr>
        <w:t xml:space="preserve"> (twelfth). New York, NY: McGraw-Hill Medical.</w:t>
      </w:r>
    </w:p>
    <w:p w14:paraId="0C94323B"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Burges, Christopher, J. C. (1998). A Tutorial on Support Vector Machines for Pattern Recognition. </w:t>
      </w:r>
      <w:r w:rsidRPr="00E7097C">
        <w:rPr>
          <w:rFonts w:ascii="NewsGotT" w:hAnsi="NewsGotT"/>
          <w:i/>
          <w:iCs/>
          <w:noProof/>
        </w:rPr>
        <w:t>Data Mining and Knowledge Discovery</w:t>
      </w:r>
      <w:r w:rsidRPr="00E7097C">
        <w:rPr>
          <w:rFonts w:ascii="NewsGotT" w:hAnsi="NewsGotT"/>
          <w:noProof/>
        </w:rPr>
        <w:t xml:space="preserve">, </w:t>
      </w:r>
      <w:r w:rsidRPr="00E7097C">
        <w:rPr>
          <w:rFonts w:ascii="NewsGotT" w:hAnsi="NewsGotT"/>
          <w:i/>
          <w:iCs/>
          <w:noProof/>
        </w:rPr>
        <w:t>2</w:t>
      </w:r>
      <w:r w:rsidRPr="00E7097C">
        <w:rPr>
          <w:rFonts w:ascii="NewsGotT" w:hAnsi="NewsGotT"/>
          <w:noProof/>
        </w:rPr>
        <w:t>, 121–167. https://doi.org/https://doi.org/10.1023/A:1009715923555</w:t>
      </w:r>
    </w:p>
    <w:p w14:paraId="2C57AF5E"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Cacabelos, R. (2017). Parkinson’s Disease: From Pathogenesis to Pharmacogenomics. </w:t>
      </w:r>
      <w:r w:rsidRPr="00E7097C">
        <w:rPr>
          <w:rFonts w:ascii="NewsGotT" w:hAnsi="NewsGotT"/>
          <w:i/>
          <w:iCs/>
          <w:noProof/>
        </w:rPr>
        <w:t>International Journal of Molecular Sciences</w:t>
      </w:r>
      <w:r w:rsidRPr="00E7097C">
        <w:rPr>
          <w:rFonts w:ascii="NewsGotT" w:hAnsi="NewsGotT"/>
          <w:noProof/>
        </w:rPr>
        <w:t xml:space="preserve">, </w:t>
      </w:r>
      <w:r w:rsidRPr="00E7097C">
        <w:rPr>
          <w:rFonts w:ascii="NewsGotT" w:hAnsi="NewsGotT"/>
          <w:i/>
          <w:iCs/>
          <w:noProof/>
        </w:rPr>
        <w:t>18</w:t>
      </w:r>
      <w:r w:rsidRPr="00E7097C">
        <w:rPr>
          <w:rFonts w:ascii="NewsGotT" w:hAnsi="NewsGotT"/>
          <w:noProof/>
        </w:rPr>
        <w:t>(3), 551. https://doi.org/10.3390/ijms18030551</w:t>
      </w:r>
    </w:p>
    <w:p w14:paraId="3AEF69E3"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lastRenderedPageBreak/>
        <w:t xml:space="preserve">Cano-escalera, G., Besga, A., &amp; Graña, M. (2021). Risk factors for prediction of delirium at hospital admittance. </w:t>
      </w:r>
      <w:r w:rsidRPr="00E7097C">
        <w:rPr>
          <w:rFonts w:ascii="NewsGotT" w:hAnsi="NewsGotT"/>
          <w:i/>
          <w:iCs/>
          <w:noProof/>
        </w:rPr>
        <w:t>Expert Systems</w:t>
      </w:r>
      <w:r w:rsidRPr="00E7097C">
        <w:rPr>
          <w:rFonts w:ascii="NewsGotT" w:hAnsi="NewsGotT"/>
          <w:noProof/>
        </w:rPr>
        <w:t xml:space="preserve">, </w:t>
      </w:r>
      <w:r w:rsidRPr="00E7097C">
        <w:rPr>
          <w:rFonts w:ascii="NewsGotT" w:hAnsi="NewsGotT"/>
          <w:i/>
          <w:iCs/>
          <w:noProof/>
        </w:rPr>
        <w:t>e12698</w:t>
      </w:r>
      <w:r w:rsidRPr="00E7097C">
        <w:rPr>
          <w:rFonts w:ascii="NewsGotT" w:hAnsi="NewsGotT"/>
          <w:noProof/>
        </w:rPr>
        <w:t>(December 2020), 1–10. https://doi.org/10.1111/exsy.12698</w:t>
      </w:r>
    </w:p>
    <w:p w14:paraId="0DBE00E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Casey, P., Cross, W., Mart, M. W. S., Baldwin, C., Riddell, K., &amp; D</w:t>
      </w:r>
      <w:r w:rsidRPr="00E7097C">
        <w:rPr>
          <w:rFonts w:ascii="Cambria" w:hAnsi="Cambria" w:cs="Cambria"/>
          <w:noProof/>
        </w:rPr>
        <w:t>ā</w:t>
      </w:r>
      <w:r w:rsidRPr="00E7097C">
        <w:rPr>
          <w:rFonts w:ascii="NewsGotT" w:hAnsi="NewsGotT"/>
          <w:noProof/>
        </w:rPr>
        <w:t>rzi</w:t>
      </w:r>
      <w:r w:rsidRPr="00E7097C">
        <w:rPr>
          <w:rFonts w:ascii="Cambria" w:hAnsi="Cambria" w:cs="Cambria"/>
          <w:noProof/>
        </w:rPr>
        <w:t>ņ</w:t>
      </w:r>
      <w:r w:rsidRPr="00E7097C">
        <w:rPr>
          <w:rFonts w:ascii="NewsGotT" w:hAnsi="NewsGotT"/>
          <w:noProof/>
        </w:rPr>
        <w:t xml:space="preserve">š, P. (2019). Hospital discharge data under-reports delirium occurrence: results from a point prevalence survey of delirium in a major Australian health service. </w:t>
      </w:r>
      <w:r w:rsidRPr="00E7097C">
        <w:rPr>
          <w:rFonts w:ascii="NewsGotT" w:hAnsi="NewsGotT"/>
          <w:i/>
          <w:iCs/>
          <w:noProof/>
        </w:rPr>
        <w:t>Internal Medicine Journal</w:t>
      </w:r>
      <w:r w:rsidRPr="00E7097C">
        <w:rPr>
          <w:rFonts w:ascii="NewsGotT" w:hAnsi="NewsGotT"/>
          <w:noProof/>
        </w:rPr>
        <w:t xml:space="preserve">, </w:t>
      </w:r>
      <w:r w:rsidRPr="00E7097C">
        <w:rPr>
          <w:rFonts w:ascii="NewsGotT" w:hAnsi="NewsGotT"/>
          <w:i/>
          <w:iCs/>
          <w:noProof/>
        </w:rPr>
        <w:t>49</w:t>
      </w:r>
      <w:r w:rsidRPr="00E7097C">
        <w:rPr>
          <w:rFonts w:ascii="NewsGotT" w:hAnsi="NewsGotT"/>
          <w:noProof/>
        </w:rPr>
        <w:t>(3), 338–344. https://doi.org/10.1111/imj.14066</w:t>
      </w:r>
    </w:p>
    <w:p w14:paraId="4D359D2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Chapelle, O., Vapnik, V., Bousquet, O., &amp; Mukherjee, S. (2002). Choosing Multiple Parameters for Support Vector Machines. </w:t>
      </w:r>
      <w:r w:rsidRPr="00E7097C">
        <w:rPr>
          <w:rFonts w:ascii="NewsGotT" w:hAnsi="NewsGotT"/>
          <w:i/>
          <w:iCs/>
          <w:noProof/>
        </w:rPr>
        <w:t>Machine Learning</w:t>
      </w:r>
      <w:r w:rsidRPr="00E7097C">
        <w:rPr>
          <w:rFonts w:ascii="NewsGotT" w:hAnsi="NewsGotT"/>
          <w:noProof/>
        </w:rPr>
        <w:t xml:space="preserve">, </w:t>
      </w:r>
      <w:r w:rsidRPr="00E7097C">
        <w:rPr>
          <w:rFonts w:ascii="NewsGotT" w:hAnsi="NewsGotT"/>
          <w:i/>
          <w:iCs/>
          <w:noProof/>
        </w:rPr>
        <w:t>46</w:t>
      </w:r>
      <w:r w:rsidRPr="00E7097C">
        <w:rPr>
          <w:rFonts w:ascii="NewsGotT" w:hAnsi="NewsGotT"/>
          <w:noProof/>
        </w:rPr>
        <w:t>, 131–159. https://doi.org/https://doi.org/10.1023/A:1012450327387</w:t>
      </w:r>
    </w:p>
    <w:p w14:paraId="1CDA7E9E"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Chapman, P., Clinton, J., Kerber, R., Khabaza, T., Reinartz, T., Shearer, C., &amp; Wirth, R. (2000). </w:t>
      </w:r>
      <w:r w:rsidRPr="00E7097C">
        <w:rPr>
          <w:rFonts w:ascii="NewsGotT" w:hAnsi="NewsGotT"/>
          <w:i/>
          <w:iCs/>
          <w:noProof/>
        </w:rPr>
        <w:t>CRISP-DM 1.0 Step-by-step data mining guide</w:t>
      </w:r>
      <w:r w:rsidRPr="00E7097C">
        <w:rPr>
          <w:rFonts w:ascii="NewsGotT" w:hAnsi="NewsGotT"/>
          <w:noProof/>
        </w:rPr>
        <w:t xml:space="preserve">. </w:t>
      </w:r>
      <w:r w:rsidRPr="00E7097C">
        <w:rPr>
          <w:rFonts w:ascii="NewsGotT" w:hAnsi="NewsGotT"/>
          <w:i/>
          <w:iCs/>
          <w:noProof/>
        </w:rPr>
        <w:t>SPSS inc</w:t>
      </w:r>
      <w:r w:rsidRPr="00E7097C">
        <w:rPr>
          <w:rFonts w:ascii="NewsGotT" w:hAnsi="NewsGotT"/>
          <w:noProof/>
        </w:rPr>
        <w:t>. Retrieved from http://www.crisp-dm.org/CRISPWP-0800.pdf</w:t>
      </w:r>
    </w:p>
    <w:p w14:paraId="053835A4"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Cheon, S. Y., Koo, B.-N., Kim, S. Y., Kam, E. H., Nam, J., &amp; Kim, E. J. (2021). Scopolamine promotes neuroinflammation and delirium-like neuropsychiatric disorder in mice. </w:t>
      </w:r>
      <w:r w:rsidRPr="00E7097C">
        <w:rPr>
          <w:rFonts w:ascii="NewsGotT" w:hAnsi="NewsGotT"/>
          <w:i/>
          <w:iCs/>
          <w:noProof/>
        </w:rPr>
        <w:t>Scientific Reports</w:t>
      </w:r>
      <w:r w:rsidRPr="00E7097C">
        <w:rPr>
          <w:rFonts w:ascii="NewsGotT" w:hAnsi="NewsGotT"/>
          <w:noProof/>
        </w:rPr>
        <w:t xml:space="preserve">, </w:t>
      </w:r>
      <w:r w:rsidRPr="00E7097C">
        <w:rPr>
          <w:rFonts w:ascii="NewsGotT" w:hAnsi="NewsGotT"/>
          <w:i/>
          <w:iCs/>
          <w:noProof/>
        </w:rPr>
        <w:t>11</w:t>
      </w:r>
      <w:r w:rsidRPr="00E7097C">
        <w:rPr>
          <w:rFonts w:ascii="NewsGotT" w:hAnsi="NewsGotT"/>
          <w:noProof/>
        </w:rPr>
        <w:t>(1), 8376. https://doi.org/10.1038/s41598-021-87790-y</w:t>
      </w:r>
    </w:p>
    <w:p w14:paraId="586E779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Chrousos, G. P. (1993). Syndromes of Glucocorticoid Resistance. </w:t>
      </w:r>
      <w:r w:rsidRPr="00E7097C">
        <w:rPr>
          <w:rFonts w:ascii="NewsGotT" w:hAnsi="NewsGotT"/>
          <w:i/>
          <w:iCs/>
          <w:noProof/>
        </w:rPr>
        <w:t>Annals of Internal Medicine</w:t>
      </w:r>
      <w:r w:rsidRPr="00E7097C">
        <w:rPr>
          <w:rFonts w:ascii="NewsGotT" w:hAnsi="NewsGotT"/>
          <w:noProof/>
        </w:rPr>
        <w:t xml:space="preserve">, </w:t>
      </w:r>
      <w:r w:rsidRPr="00E7097C">
        <w:rPr>
          <w:rFonts w:ascii="NewsGotT" w:hAnsi="NewsGotT"/>
          <w:i/>
          <w:iCs/>
          <w:noProof/>
        </w:rPr>
        <w:t>119</w:t>
      </w:r>
      <w:r w:rsidRPr="00E7097C">
        <w:rPr>
          <w:rFonts w:ascii="NewsGotT" w:hAnsi="NewsGotT"/>
          <w:noProof/>
        </w:rPr>
        <w:t>(11), 1113. https://doi.org/10.7326/0003-4819-119-11-199312010-00009</w:t>
      </w:r>
    </w:p>
    <w:p w14:paraId="20EDEF36"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Church, M. K., &amp; Maurer, M. (2014). Antihistamines. In </w:t>
      </w:r>
      <w:r w:rsidRPr="00E7097C">
        <w:rPr>
          <w:rFonts w:ascii="NewsGotT" w:hAnsi="NewsGotT"/>
          <w:i/>
          <w:iCs/>
          <w:noProof/>
        </w:rPr>
        <w:t>History of Allergy</w:t>
      </w:r>
      <w:r w:rsidRPr="00E7097C">
        <w:rPr>
          <w:rFonts w:ascii="NewsGotT" w:hAnsi="NewsGotT"/>
          <w:noProof/>
        </w:rPr>
        <w:t xml:space="preserve"> (Vol. 100, pp. 302–310). https://doi.org/10.1159/000359963</w:t>
      </w:r>
    </w:p>
    <w:p w14:paraId="62FEB5EB"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E7097C">
        <w:rPr>
          <w:rFonts w:ascii="NewsGotT" w:hAnsi="NewsGotT"/>
          <w:i/>
          <w:iCs/>
          <w:noProof/>
        </w:rPr>
        <w:t>International Psychogeriatrics</w:t>
      </w:r>
      <w:r w:rsidRPr="00E7097C">
        <w:rPr>
          <w:rFonts w:ascii="NewsGotT" w:hAnsi="NewsGotT"/>
          <w:noProof/>
        </w:rPr>
        <w:t xml:space="preserve">, </w:t>
      </w:r>
      <w:r w:rsidRPr="00E7097C">
        <w:rPr>
          <w:rFonts w:ascii="NewsGotT" w:hAnsi="NewsGotT"/>
          <w:i/>
          <w:iCs/>
          <w:noProof/>
        </w:rPr>
        <w:t>31</w:t>
      </w:r>
      <w:r w:rsidRPr="00E7097C">
        <w:rPr>
          <w:rFonts w:ascii="NewsGotT" w:hAnsi="NewsGotT"/>
          <w:noProof/>
        </w:rPr>
        <w:t>(2), 267–276. https://doi.org/10.1017/S1041610218000777</w:t>
      </w:r>
    </w:p>
    <w:p w14:paraId="6095E743"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Clegg, A., &amp; Young, J. B. (2011). Which medications to avoid in people at risk of delirium: A systematic review. </w:t>
      </w:r>
      <w:r w:rsidRPr="00E7097C">
        <w:rPr>
          <w:rFonts w:ascii="NewsGotT" w:hAnsi="NewsGotT"/>
          <w:i/>
          <w:iCs/>
          <w:noProof/>
        </w:rPr>
        <w:t>Age and Ageing</w:t>
      </w:r>
      <w:r w:rsidRPr="00E7097C">
        <w:rPr>
          <w:rFonts w:ascii="NewsGotT" w:hAnsi="NewsGotT"/>
          <w:noProof/>
        </w:rPr>
        <w:t xml:space="preserve">, </w:t>
      </w:r>
      <w:r w:rsidRPr="00E7097C">
        <w:rPr>
          <w:rFonts w:ascii="NewsGotT" w:hAnsi="NewsGotT"/>
          <w:i/>
          <w:iCs/>
          <w:noProof/>
        </w:rPr>
        <w:t>40</w:t>
      </w:r>
      <w:r w:rsidRPr="00E7097C">
        <w:rPr>
          <w:rFonts w:ascii="NewsGotT" w:hAnsi="NewsGotT"/>
          <w:noProof/>
        </w:rPr>
        <w:t>(1), 23–29. https://doi.org/10.1093/ageing/afq140</w:t>
      </w:r>
    </w:p>
    <w:p w14:paraId="71D5EEF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Conselho Nacional da Saúde. (2019). </w:t>
      </w:r>
      <w:r w:rsidRPr="00E7097C">
        <w:rPr>
          <w:rFonts w:ascii="NewsGotT" w:hAnsi="NewsGotT"/>
          <w:i/>
          <w:iCs/>
          <w:noProof/>
        </w:rPr>
        <w:t>Sem mais tempo a perder - Saúde mental em Portugal: um desafio para a próxima década</w:t>
      </w:r>
      <w:r w:rsidRPr="00E7097C">
        <w:rPr>
          <w:rFonts w:ascii="NewsGotT" w:hAnsi="NewsGotT"/>
          <w:noProof/>
        </w:rPr>
        <w:t xml:space="preserve">. </w:t>
      </w:r>
      <w:r w:rsidRPr="00E7097C">
        <w:rPr>
          <w:rFonts w:ascii="NewsGotT" w:hAnsi="NewsGotT"/>
          <w:i/>
          <w:iCs/>
          <w:noProof/>
        </w:rPr>
        <w:t>Conselho Nacional de Saúde</w:t>
      </w:r>
      <w:r w:rsidRPr="00E7097C">
        <w:rPr>
          <w:rFonts w:ascii="NewsGotT" w:hAnsi="NewsGotT"/>
          <w:noProof/>
        </w:rPr>
        <w:t>. Lisboa: CNS.</w:t>
      </w:r>
    </w:p>
    <w:p w14:paraId="373CB28D"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Corradi, J. P., Thompson, S., Mather, J. F., Waszynski, C. M., &amp; Dicks, R. S. (2018). Prediction of Incident Delirium Using a Random Forest classifier. </w:t>
      </w:r>
      <w:r w:rsidRPr="00E7097C">
        <w:rPr>
          <w:rFonts w:ascii="NewsGotT" w:hAnsi="NewsGotT"/>
          <w:i/>
          <w:iCs/>
          <w:noProof/>
        </w:rPr>
        <w:t>Journal of Medical Systems</w:t>
      </w:r>
      <w:r w:rsidRPr="00E7097C">
        <w:rPr>
          <w:rFonts w:ascii="NewsGotT" w:hAnsi="NewsGotT"/>
          <w:noProof/>
        </w:rPr>
        <w:t xml:space="preserve">, </w:t>
      </w:r>
      <w:r w:rsidRPr="00E7097C">
        <w:rPr>
          <w:rFonts w:ascii="NewsGotT" w:hAnsi="NewsGotT"/>
          <w:i/>
          <w:iCs/>
          <w:noProof/>
        </w:rPr>
        <w:t>42</w:t>
      </w:r>
      <w:r w:rsidRPr="00E7097C">
        <w:rPr>
          <w:rFonts w:ascii="NewsGotT" w:hAnsi="NewsGotT"/>
          <w:noProof/>
        </w:rPr>
        <w:t>(12). https://doi.org/10.1007/s10916-018-1109-0</w:t>
      </w:r>
    </w:p>
    <w:p w14:paraId="2E9A8FC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Davoudi, A., Ebadi, A., Rashidi, P., Ozrazgat-Baslanti, T., Bihorac, A., &amp; Bursian, A. C. (2017). Delirium Prediction using Machine Learning Models on Predictive Electronic Health Records Data. </w:t>
      </w:r>
      <w:r w:rsidRPr="00E7097C">
        <w:rPr>
          <w:rFonts w:ascii="NewsGotT" w:hAnsi="NewsGotT"/>
          <w:i/>
          <w:iCs/>
          <w:noProof/>
        </w:rPr>
        <w:t>Proceedings - IEEE 17th International Symposium on Bioinformatics and Bioengineering, BIBE 2017</w:t>
      </w:r>
      <w:r w:rsidRPr="00E7097C">
        <w:rPr>
          <w:rFonts w:ascii="NewsGotT" w:hAnsi="NewsGotT"/>
          <w:noProof/>
        </w:rPr>
        <w:t>, 568–573. https://doi.org/10.1109/BIBE.2017.00014</w:t>
      </w:r>
    </w:p>
    <w:p w14:paraId="7A8ACD36"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De, J., &amp; Wand, A. P. F. (2015). Delirium screening: A systematic review of delirium screening tools in hospitalized patients. </w:t>
      </w:r>
      <w:r w:rsidRPr="00E7097C">
        <w:rPr>
          <w:rFonts w:ascii="NewsGotT" w:hAnsi="NewsGotT"/>
          <w:i/>
          <w:iCs/>
          <w:noProof/>
        </w:rPr>
        <w:t>Gerontologist</w:t>
      </w:r>
      <w:r w:rsidRPr="00E7097C">
        <w:rPr>
          <w:rFonts w:ascii="NewsGotT" w:hAnsi="NewsGotT"/>
          <w:noProof/>
        </w:rPr>
        <w:t xml:space="preserve">, </w:t>
      </w:r>
      <w:r w:rsidRPr="00E7097C">
        <w:rPr>
          <w:rFonts w:ascii="NewsGotT" w:hAnsi="NewsGotT"/>
          <w:i/>
          <w:iCs/>
          <w:noProof/>
        </w:rPr>
        <w:t>55</w:t>
      </w:r>
      <w:r w:rsidRPr="00E7097C">
        <w:rPr>
          <w:rFonts w:ascii="NewsGotT" w:hAnsi="NewsGotT"/>
          <w:noProof/>
        </w:rPr>
        <w:t>(6), 1079–1099. https://doi.org/10.1093/geront/gnv100</w:t>
      </w:r>
    </w:p>
    <w:p w14:paraId="39EF7D7D"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Delaney, J., Spevack, D., Doddamani, S., &amp; Ostfeld, R. (2006). Clonidine-induced delirium. </w:t>
      </w:r>
      <w:r w:rsidRPr="00E7097C">
        <w:rPr>
          <w:rFonts w:ascii="NewsGotT" w:hAnsi="NewsGotT"/>
          <w:i/>
          <w:iCs/>
          <w:noProof/>
        </w:rPr>
        <w:t>International Journal of Cardiology</w:t>
      </w:r>
      <w:r w:rsidRPr="00E7097C">
        <w:rPr>
          <w:rFonts w:ascii="NewsGotT" w:hAnsi="NewsGotT"/>
          <w:noProof/>
        </w:rPr>
        <w:t xml:space="preserve">, </w:t>
      </w:r>
      <w:r w:rsidRPr="00E7097C">
        <w:rPr>
          <w:rFonts w:ascii="NewsGotT" w:hAnsi="NewsGotT"/>
          <w:i/>
          <w:iCs/>
          <w:noProof/>
        </w:rPr>
        <w:t>113</w:t>
      </w:r>
      <w:r w:rsidRPr="00E7097C">
        <w:rPr>
          <w:rFonts w:ascii="NewsGotT" w:hAnsi="NewsGotT"/>
          <w:noProof/>
        </w:rPr>
        <w:t>(2), 276–278. https://doi.org/10.1016/j.ijcard.2005.09.032</w:t>
      </w:r>
    </w:p>
    <w:p w14:paraId="33ADFB67"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Desforges, J. F., &amp; Lipowski, Z. J. (1989). Delirium in the Elderly Patient. </w:t>
      </w:r>
      <w:r w:rsidRPr="00E7097C">
        <w:rPr>
          <w:rFonts w:ascii="NewsGotT" w:hAnsi="NewsGotT"/>
          <w:i/>
          <w:iCs/>
          <w:noProof/>
        </w:rPr>
        <w:t>New England Journal of Medicine</w:t>
      </w:r>
      <w:r w:rsidRPr="00E7097C">
        <w:rPr>
          <w:rFonts w:ascii="NewsGotT" w:hAnsi="NewsGotT"/>
          <w:noProof/>
        </w:rPr>
        <w:t xml:space="preserve">, </w:t>
      </w:r>
      <w:r w:rsidRPr="00E7097C">
        <w:rPr>
          <w:rFonts w:ascii="NewsGotT" w:hAnsi="NewsGotT"/>
          <w:i/>
          <w:iCs/>
          <w:noProof/>
        </w:rPr>
        <w:t>320</w:t>
      </w:r>
      <w:r w:rsidRPr="00E7097C">
        <w:rPr>
          <w:rFonts w:ascii="NewsGotT" w:hAnsi="NewsGotT"/>
          <w:noProof/>
        </w:rPr>
        <w:t>(9), 578–582. https://doi.org/10.1056/NEJM198903023200907</w:t>
      </w:r>
    </w:p>
    <w:p w14:paraId="349273D6"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DGS. (n.d.). Porque se fala em saúde mental? Retrieved July 14, 2021, from https://www.dgs.pt/paginas-de-sistema/saude-de-a-a-z/programa-nacional-para-a-saude-mental/perguntas-e-respostas.aspx</w:t>
      </w:r>
    </w:p>
    <w:p w14:paraId="7172B547"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Diseases, B. (MD): N. I. of D. and D. and K. (2012). Codeine. In </w:t>
      </w:r>
      <w:r w:rsidRPr="00E7097C">
        <w:rPr>
          <w:rFonts w:ascii="NewsGotT" w:hAnsi="NewsGotT"/>
          <w:i/>
          <w:iCs/>
          <w:noProof/>
        </w:rPr>
        <w:t>LiverTox: Clinical and Research Information on Drug- Induced Liver Injury [Internet]</w:t>
      </w:r>
      <w:r w:rsidRPr="00E7097C">
        <w:rPr>
          <w:rFonts w:ascii="NewsGotT" w:hAnsi="NewsGotT"/>
          <w:noProof/>
        </w:rPr>
        <w:t xml:space="preserve"> (p. 2). Retrieved from https://www.ncbi.nlm.nih.gov/books/</w:t>
      </w:r>
    </w:p>
    <w:p w14:paraId="58A14B2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Dreiseitl, S., &amp; Ohno-Machado, L. (2002). Logistic regression and artificial neural network classification </w:t>
      </w:r>
      <w:r w:rsidRPr="00E7097C">
        <w:rPr>
          <w:rFonts w:ascii="NewsGotT" w:hAnsi="NewsGotT"/>
          <w:noProof/>
        </w:rPr>
        <w:lastRenderedPageBreak/>
        <w:t xml:space="preserve">models: A methodology review. </w:t>
      </w:r>
      <w:r w:rsidRPr="00E7097C">
        <w:rPr>
          <w:rFonts w:ascii="NewsGotT" w:hAnsi="NewsGotT"/>
          <w:i/>
          <w:iCs/>
          <w:noProof/>
        </w:rPr>
        <w:t>Journal of Biomedical Informatics</w:t>
      </w:r>
      <w:r w:rsidRPr="00E7097C">
        <w:rPr>
          <w:rFonts w:ascii="NewsGotT" w:hAnsi="NewsGotT"/>
          <w:noProof/>
        </w:rPr>
        <w:t xml:space="preserve">, </w:t>
      </w:r>
      <w:r w:rsidRPr="00E7097C">
        <w:rPr>
          <w:rFonts w:ascii="NewsGotT" w:hAnsi="NewsGotT"/>
          <w:i/>
          <w:iCs/>
          <w:noProof/>
        </w:rPr>
        <w:t>35</w:t>
      </w:r>
      <w:r w:rsidRPr="00E7097C">
        <w:rPr>
          <w:rFonts w:ascii="NewsGotT" w:hAnsi="NewsGotT"/>
          <w:noProof/>
        </w:rPr>
        <w:t>(5–6), 352–359. https://doi.org/10.1016/S1532-0464(03)00034-0</w:t>
      </w:r>
    </w:p>
    <w:p w14:paraId="3ECCA914"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Duan, K., Keerthi, S., &amp; Poo, A. (2003). Evaluation of simple performance measures for tuning SVM hyper parameters. Technical report. </w:t>
      </w:r>
      <w:r w:rsidRPr="00E7097C">
        <w:rPr>
          <w:rFonts w:ascii="NewsGotT" w:hAnsi="NewsGotT"/>
          <w:i/>
          <w:iCs/>
          <w:noProof/>
        </w:rPr>
        <w:t>Neurocomputing</w:t>
      </w:r>
      <w:r w:rsidRPr="00E7097C">
        <w:rPr>
          <w:rFonts w:ascii="NewsGotT" w:hAnsi="NewsGotT"/>
          <w:noProof/>
        </w:rPr>
        <w:t xml:space="preserve">, </w:t>
      </w:r>
      <w:r w:rsidRPr="00E7097C">
        <w:rPr>
          <w:rFonts w:ascii="NewsGotT" w:hAnsi="NewsGotT"/>
          <w:i/>
          <w:iCs/>
          <w:noProof/>
        </w:rPr>
        <w:t>51</w:t>
      </w:r>
      <w:r w:rsidRPr="00E7097C">
        <w:rPr>
          <w:rFonts w:ascii="NewsGotT" w:hAnsi="NewsGotT"/>
          <w:noProof/>
        </w:rPr>
        <w:t>, 41–59. https://doi.org/https://doi.org/10.1016/S0925-2312(02)00601-X</w:t>
      </w:r>
    </w:p>
    <w:p w14:paraId="4C7F278D"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E7097C">
        <w:rPr>
          <w:rFonts w:ascii="NewsGotT" w:hAnsi="NewsGotT"/>
          <w:i/>
          <w:iCs/>
          <w:noProof/>
        </w:rPr>
        <w:t>Critical Care Medicine</w:t>
      </w:r>
      <w:r w:rsidRPr="00E7097C">
        <w:rPr>
          <w:rFonts w:ascii="NewsGotT" w:hAnsi="NewsGotT"/>
          <w:noProof/>
        </w:rPr>
        <w:t xml:space="preserve">, </w:t>
      </w:r>
      <w:r w:rsidRPr="00E7097C">
        <w:rPr>
          <w:rFonts w:ascii="NewsGotT" w:hAnsi="NewsGotT"/>
          <w:i/>
          <w:iCs/>
          <w:noProof/>
        </w:rPr>
        <w:t>29</w:t>
      </w:r>
      <w:r w:rsidRPr="00E7097C">
        <w:rPr>
          <w:rFonts w:ascii="NewsGotT" w:hAnsi="NewsGotT"/>
          <w:noProof/>
        </w:rPr>
        <w:t>(7), 1370–1379. https://doi.org/10.1097/00003246-200107000-00012</w:t>
      </w:r>
    </w:p>
    <w:p w14:paraId="451D2A6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Ely, E. W., Truman, B., Shintani, A., Thomason, J. W. W., Wheeler, A. P., Gordon, S., … Bernard, G. R. (2003). Monitoring Sedation Status Over Time in ICU Patients. </w:t>
      </w:r>
      <w:r w:rsidRPr="00E7097C">
        <w:rPr>
          <w:rFonts w:ascii="NewsGotT" w:hAnsi="NewsGotT"/>
          <w:i/>
          <w:iCs/>
          <w:noProof/>
        </w:rPr>
        <w:t>JAMA</w:t>
      </w:r>
      <w:r w:rsidRPr="00E7097C">
        <w:rPr>
          <w:rFonts w:ascii="NewsGotT" w:hAnsi="NewsGotT"/>
          <w:noProof/>
        </w:rPr>
        <w:t xml:space="preserve">, </w:t>
      </w:r>
      <w:r w:rsidRPr="00E7097C">
        <w:rPr>
          <w:rFonts w:ascii="NewsGotT" w:hAnsi="NewsGotT"/>
          <w:i/>
          <w:iCs/>
          <w:noProof/>
        </w:rPr>
        <w:t>289</w:t>
      </w:r>
      <w:r w:rsidRPr="00E7097C">
        <w:rPr>
          <w:rFonts w:ascii="NewsGotT" w:hAnsi="NewsGotT"/>
          <w:noProof/>
        </w:rPr>
        <w:t>(22), 2983. https://doi.org/10.1001/jama.289.22.2983</w:t>
      </w:r>
    </w:p>
    <w:p w14:paraId="0AF0BDFD"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Estivill-Castro, V. (2002). Why so many clustering algorithms - a position paper. </w:t>
      </w:r>
      <w:r w:rsidRPr="00E7097C">
        <w:rPr>
          <w:rFonts w:ascii="NewsGotT" w:hAnsi="NewsGotT"/>
          <w:i/>
          <w:iCs/>
          <w:noProof/>
        </w:rPr>
        <w:t>ACM SIGKDD Explorations Newsletter</w:t>
      </w:r>
      <w:r w:rsidRPr="00E7097C">
        <w:rPr>
          <w:rFonts w:ascii="NewsGotT" w:hAnsi="NewsGotT"/>
          <w:noProof/>
        </w:rPr>
        <w:t xml:space="preserve">, </w:t>
      </w:r>
      <w:r w:rsidRPr="00E7097C">
        <w:rPr>
          <w:rFonts w:ascii="NewsGotT" w:hAnsi="NewsGotT"/>
          <w:i/>
          <w:iCs/>
          <w:noProof/>
        </w:rPr>
        <w:t>4</w:t>
      </w:r>
      <w:r w:rsidRPr="00E7097C">
        <w:rPr>
          <w:rFonts w:ascii="NewsGotT" w:hAnsi="NewsGotT"/>
          <w:noProof/>
        </w:rPr>
        <w:t>(1), 65–75. https://doi.org/10.1145/568574.568575</w:t>
      </w:r>
    </w:p>
    <w:p w14:paraId="50B53D1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Faceli, K., Lorena, A. C., Gama, J., &amp; Carvalho, A. C. P. L. . de C. (2011). </w:t>
      </w:r>
      <w:r w:rsidRPr="00E7097C">
        <w:rPr>
          <w:rFonts w:ascii="NewsGotT" w:hAnsi="NewsGotT"/>
          <w:i/>
          <w:iCs/>
          <w:noProof/>
        </w:rPr>
        <w:t>Inteligência Artificial. Uma Abordagem de Aprendizado de Máquina (Em Portugues do Brasil)</w:t>
      </w:r>
      <w:r w:rsidRPr="00E7097C">
        <w:rPr>
          <w:rFonts w:ascii="NewsGotT" w:hAnsi="NewsGotT"/>
          <w:noProof/>
        </w:rPr>
        <w:t>. GEN: LTC. Retrieved from http://amazon.com/o/ASIN/8521618808/</w:t>
      </w:r>
    </w:p>
    <w:p w14:paraId="53F5A5AC"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Field, R. R., &amp; Wall, M. H. (2013). Delirium: Past, present, and future. </w:t>
      </w:r>
      <w:r w:rsidRPr="00E7097C">
        <w:rPr>
          <w:rFonts w:ascii="NewsGotT" w:hAnsi="NewsGotT"/>
          <w:i/>
          <w:iCs/>
          <w:noProof/>
        </w:rPr>
        <w:t>Seminars in Cardiothoracic and Vascular Anesthesia</w:t>
      </w:r>
      <w:r w:rsidRPr="00E7097C">
        <w:rPr>
          <w:rFonts w:ascii="NewsGotT" w:hAnsi="NewsGotT"/>
          <w:noProof/>
        </w:rPr>
        <w:t xml:space="preserve">, </w:t>
      </w:r>
      <w:r w:rsidRPr="00E7097C">
        <w:rPr>
          <w:rFonts w:ascii="NewsGotT" w:hAnsi="NewsGotT"/>
          <w:i/>
          <w:iCs/>
          <w:noProof/>
        </w:rPr>
        <w:t>17</w:t>
      </w:r>
      <w:r w:rsidRPr="00E7097C">
        <w:rPr>
          <w:rFonts w:ascii="NewsGotT" w:hAnsi="NewsGotT"/>
          <w:noProof/>
        </w:rPr>
        <w:t>(3), 170–179. https://doi.org/10.1177/1089253213476957</w:t>
      </w:r>
    </w:p>
    <w:p w14:paraId="11E19D2A"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Flacker, J. M., &amp; Lipsitz, L. A. (1999). Neural Mechanisms of Delirium: Current Hypotheses and Evolving Concepts. </w:t>
      </w:r>
      <w:r w:rsidRPr="00E7097C">
        <w:rPr>
          <w:rFonts w:ascii="NewsGotT" w:hAnsi="NewsGotT"/>
          <w:i/>
          <w:iCs/>
          <w:noProof/>
        </w:rPr>
        <w:t>The Journals of Gerontology Series A: Biological Sciences and Medical Sciences</w:t>
      </w:r>
      <w:r w:rsidRPr="00E7097C">
        <w:rPr>
          <w:rFonts w:ascii="NewsGotT" w:hAnsi="NewsGotT"/>
          <w:noProof/>
        </w:rPr>
        <w:t xml:space="preserve">, </w:t>
      </w:r>
      <w:r w:rsidRPr="00E7097C">
        <w:rPr>
          <w:rFonts w:ascii="NewsGotT" w:hAnsi="NewsGotT"/>
          <w:i/>
          <w:iCs/>
          <w:noProof/>
        </w:rPr>
        <w:t>54</w:t>
      </w:r>
      <w:r w:rsidRPr="00E7097C">
        <w:rPr>
          <w:rFonts w:ascii="NewsGotT" w:hAnsi="NewsGotT"/>
          <w:noProof/>
        </w:rPr>
        <w:t>(6), B239–B246. https://doi.org/10.1093/gerona/54.6.B239</w:t>
      </w:r>
    </w:p>
    <w:p w14:paraId="17571A6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Fonseca, C., Brito, D., Cernadas, R., Ferreira, J., Franco, F., Rodrigues, T., … Silva Cardoso, J. (2017). Pela melhoria do tratamento da insuficiência cardíaca em Portugal – documento de consenso. </w:t>
      </w:r>
      <w:r w:rsidRPr="00E7097C">
        <w:rPr>
          <w:rFonts w:ascii="NewsGotT" w:hAnsi="NewsGotT"/>
          <w:i/>
          <w:iCs/>
          <w:noProof/>
        </w:rPr>
        <w:t>Revista Portuguesa de Cardiologia</w:t>
      </w:r>
      <w:r w:rsidRPr="00E7097C">
        <w:rPr>
          <w:rFonts w:ascii="NewsGotT" w:hAnsi="NewsGotT"/>
          <w:noProof/>
        </w:rPr>
        <w:t xml:space="preserve">, </w:t>
      </w:r>
      <w:r w:rsidRPr="00E7097C">
        <w:rPr>
          <w:rFonts w:ascii="NewsGotT" w:hAnsi="NewsGotT"/>
          <w:i/>
          <w:iCs/>
          <w:noProof/>
        </w:rPr>
        <w:t>36</w:t>
      </w:r>
      <w:r w:rsidRPr="00E7097C">
        <w:rPr>
          <w:rFonts w:ascii="NewsGotT" w:hAnsi="NewsGotT"/>
          <w:noProof/>
        </w:rPr>
        <w:t>(1), 1–8. https://doi.org/10.1016/j.repc.2016.10.006</w:t>
      </w:r>
    </w:p>
    <w:p w14:paraId="039C48C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Francis, J. (1996). Drug-Induced Delirium</w:t>
      </w:r>
      <w:r w:rsidRPr="00E7097C">
        <w:rPr>
          <w:noProof/>
        </w:rPr>
        <w:t> </w:t>
      </w:r>
      <w:r w:rsidRPr="00E7097C">
        <w:rPr>
          <w:rFonts w:ascii="NewsGotT" w:hAnsi="NewsGotT"/>
          <w:noProof/>
        </w:rPr>
        <w:t xml:space="preserve">: Diagnosis and treatment. </w:t>
      </w:r>
      <w:r w:rsidRPr="00E7097C">
        <w:rPr>
          <w:rFonts w:ascii="NewsGotT" w:hAnsi="NewsGotT"/>
          <w:i/>
          <w:iCs/>
          <w:noProof/>
        </w:rPr>
        <w:t>CNS Drugs</w:t>
      </w:r>
      <w:r w:rsidRPr="00E7097C">
        <w:rPr>
          <w:rFonts w:ascii="NewsGotT" w:hAnsi="NewsGotT"/>
          <w:noProof/>
        </w:rPr>
        <w:t xml:space="preserve">, </w:t>
      </w:r>
      <w:r w:rsidRPr="00E7097C">
        <w:rPr>
          <w:rFonts w:ascii="NewsGotT" w:hAnsi="NewsGotT"/>
          <w:i/>
          <w:iCs/>
          <w:noProof/>
        </w:rPr>
        <w:t>5</w:t>
      </w:r>
      <w:r w:rsidRPr="00E7097C">
        <w:rPr>
          <w:rFonts w:ascii="NewsGotT" w:hAnsi="NewsGotT"/>
          <w:noProof/>
        </w:rPr>
        <w:t>(2), 103–114.</w:t>
      </w:r>
    </w:p>
    <w:p w14:paraId="1DA06A43"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Frederick, A. L., &amp; Stanwood, G. D. (2009). Drugs, biogenic amine targets and the developing brain. </w:t>
      </w:r>
      <w:r w:rsidRPr="00E7097C">
        <w:rPr>
          <w:rFonts w:ascii="NewsGotT" w:hAnsi="NewsGotT"/>
          <w:i/>
          <w:iCs/>
          <w:noProof/>
        </w:rPr>
        <w:t>Developmental Neuroscience</w:t>
      </w:r>
      <w:r w:rsidRPr="00E7097C">
        <w:rPr>
          <w:rFonts w:ascii="NewsGotT" w:hAnsi="NewsGotT"/>
          <w:noProof/>
        </w:rPr>
        <w:t xml:space="preserve">, </w:t>
      </w:r>
      <w:r w:rsidRPr="00E7097C">
        <w:rPr>
          <w:rFonts w:ascii="NewsGotT" w:hAnsi="NewsGotT"/>
          <w:i/>
          <w:iCs/>
          <w:noProof/>
        </w:rPr>
        <w:t>31</w:t>
      </w:r>
      <w:r w:rsidRPr="00E7097C">
        <w:rPr>
          <w:rFonts w:ascii="NewsGotT" w:hAnsi="NewsGotT"/>
          <w:noProof/>
        </w:rPr>
        <w:t>(1–2), 7–22. https://doi.org/10.1159/000207490</w:t>
      </w:r>
    </w:p>
    <w:p w14:paraId="2E1944C3"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Friedman, J. H. (2002). Stochastic gradient boosting. </w:t>
      </w:r>
      <w:r w:rsidRPr="00E7097C">
        <w:rPr>
          <w:rFonts w:ascii="NewsGotT" w:hAnsi="NewsGotT"/>
          <w:i/>
          <w:iCs/>
          <w:noProof/>
        </w:rPr>
        <w:t>Computational Statistics and Data Analysis</w:t>
      </w:r>
      <w:r w:rsidRPr="00E7097C">
        <w:rPr>
          <w:rFonts w:ascii="NewsGotT" w:hAnsi="NewsGotT"/>
          <w:noProof/>
        </w:rPr>
        <w:t xml:space="preserve">, </w:t>
      </w:r>
      <w:r w:rsidRPr="00E7097C">
        <w:rPr>
          <w:rFonts w:ascii="NewsGotT" w:hAnsi="NewsGotT"/>
          <w:i/>
          <w:iCs/>
          <w:noProof/>
        </w:rPr>
        <w:t>38</w:t>
      </w:r>
      <w:r w:rsidRPr="00E7097C">
        <w:rPr>
          <w:rFonts w:ascii="NewsGotT" w:hAnsi="NewsGotT"/>
          <w:noProof/>
        </w:rPr>
        <w:t>(4), 367–378. https://doi.org/10.1016/S0167-9473(01)00065-2</w:t>
      </w:r>
    </w:p>
    <w:p w14:paraId="1A6FBE1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Furtado, C. (2013). </w:t>
      </w:r>
      <w:r w:rsidRPr="00E7097C">
        <w:rPr>
          <w:rFonts w:ascii="NewsGotT" w:hAnsi="NewsGotT"/>
          <w:i/>
          <w:iCs/>
          <w:noProof/>
        </w:rPr>
        <w:t>Psicofármacos: Evolução do consumo em Portugal Continental (2000 – 2012)</w:t>
      </w:r>
      <w:r w:rsidRPr="00E7097C">
        <w:rPr>
          <w:rFonts w:ascii="NewsGotT" w:hAnsi="NewsGotT"/>
          <w:noProof/>
        </w:rPr>
        <w:t>. Retrieved from https://www.infarmed.pt/documents/15786/17838/psicofarmacos_relatorio2013+%281%29.pdf/3e52568f-7f90-47c8-9903-d128395c73e5</w:t>
      </w:r>
    </w:p>
    <w:p w14:paraId="4BDB41C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Gaudreau, J. D., Gagnon, P., Harel, F., Roy, M. A., &amp; Tremblay, A. (2005). Psychoactive medications and risk of delirium in hospitalized cancer patients. </w:t>
      </w:r>
      <w:r w:rsidRPr="00E7097C">
        <w:rPr>
          <w:rFonts w:ascii="NewsGotT" w:hAnsi="NewsGotT"/>
          <w:i/>
          <w:iCs/>
          <w:noProof/>
        </w:rPr>
        <w:t>Journal of Clinical Oncology</w:t>
      </w:r>
      <w:r w:rsidRPr="00E7097C">
        <w:rPr>
          <w:rFonts w:ascii="NewsGotT" w:hAnsi="NewsGotT"/>
          <w:noProof/>
        </w:rPr>
        <w:t xml:space="preserve">, </w:t>
      </w:r>
      <w:r w:rsidRPr="00E7097C">
        <w:rPr>
          <w:rFonts w:ascii="NewsGotT" w:hAnsi="NewsGotT"/>
          <w:i/>
          <w:iCs/>
          <w:noProof/>
        </w:rPr>
        <w:t>23</w:t>
      </w:r>
      <w:r w:rsidRPr="00E7097C">
        <w:rPr>
          <w:rFonts w:ascii="NewsGotT" w:hAnsi="NewsGotT"/>
          <w:noProof/>
        </w:rPr>
        <w:t>(27), 6712–6718. https://doi.org/10.1200/JCO.2005.05.140</w:t>
      </w:r>
    </w:p>
    <w:p w14:paraId="3576701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Gross, A. L., Jones, R. N., Habtemariam, D. A., Fong, T. G., Tommet, D., Quach, L., … Inouye, S. K. (2012). Delirium and long-term cognitive trajectory among persons with dementia. </w:t>
      </w:r>
      <w:r w:rsidRPr="00E7097C">
        <w:rPr>
          <w:rFonts w:ascii="NewsGotT" w:hAnsi="NewsGotT"/>
          <w:i/>
          <w:iCs/>
          <w:noProof/>
        </w:rPr>
        <w:t>Archives of Internal Medicine</w:t>
      </w:r>
      <w:r w:rsidRPr="00E7097C">
        <w:rPr>
          <w:rFonts w:ascii="NewsGotT" w:hAnsi="NewsGotT"/>
          <w:noProof/>
        </w:rPr>
        <w:t xml:space="preserve">, </w:t>
      </w:r>
      <w:r w:rsidRPr="00E7097C">
        <w:rPr>
          <w:rFonts w:ascii="NewsGotT" w:hAnsi="NewsGotT"/>
          <w:i/>
          <w:iCs/>
          <w:noProof/>
        </w:rPr>
        <w:t>172</w:t>
      </w:r>
      <w:r w:rsidRPr="00E7097C">
        <w:rPr>
          <w:rFonts w:ascii="NewsGotT" w:hAnsi="NewsGotT"/>
          <w:noProof/>
        </w:rPr>
        <w:t>(17), 1324–1331. https://doi.org/10.1001/archinternmed.2012.3203</w:t>
      </w:r>
    </w:p>
    <w:p w14:paraId="1BB605A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Han, J. H., Eden, S., Shintani, A., Morandi, A., Schnelle, J., Dittus, R. S., … Ely, E. W. (2011). Delirium in older emergency department patients is an independent predictor of hospital length of stay. </w:t>
      </w:r>
      <w:r w:rsidRPr="00E7097C">
        <w:rPr>
          <w:rFonts w:ascii="NewsGotT" w:hAnsi="NewsGotT"/>
          <w:i/>
          <w:iCs/>
          <w:noProof/>
        </w:rPr>
        <w:t>Academic Emergency Medicine</w:t>
      </w:r>
      <w:r w:rsidRPr="00E7097C">
        <w:rPr>
          <w:rFonts w:ascii="NewsGotT" w:hAnsi="NewsGotT"/>
          <w:noProof/>
        </w:rPr>
        <w:t xml:space="preserve">, </w:t>
      </w:r>
      <w:r w:rsidRPr="00E7097C">
        <w:rPr>
          <w:rFonts w:ascii="NewsGotT" w:hAnsi="NewsGotT"/>
          <w:i/>
          <w:iCs/>
          <w:noProof/>
        </w:rPr>
        <w:t>18</w:t>
      </w:r>
      <w:r w:rsidRPr="00E7097C">
        <w:rPr>
          <w:rFonts w:ascii="NewsGotT" w:hAnsi="NewsGotT"/>
          <w:noProof/>
        </w:rPr>
        <w:t>(5), 451–457. https://doi.org/10.1111/j.1553-2712.2011.01065.x</w:t>
      </w:r>
    </w:p>
    <w:p w14:paraId="3104C55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Han, J., Kamber, M., &amp; Pei, J. (2012). </w:t>
      </w:r>
      <w:r w:rsidRPr="00E7097C">
        <w:rPr>
          <w:rFonts w:ascii="NewsGotT" w:hAnsi="NewsGotT"/>
          <w:i/>
          <w:iCs/>
          <w:noProof/>
        </w:rPr>
        <w:t>Data mining: Concepts and Techniques</w:t>
      </w:r>
      <w:r w:rsidRPr="00E7097C">
        <w:rPr>
          <w:rFonts w:ascii="NewsGotT" w:hAnsi="NewsGotT"/>
          <w:noProof/>
        </w:rPr>
        <w:t xml:space="preserve">. </w:t>
      </w:r>
      <w:r w:rsidRPr="00E7097C">
        <w:rPr>
          <w:rFonts w:ascii="NewsGotT" w:hAnsi="NewsGotT"/>
          <w:i/>
          <w:iCs/>
          <w:noProof/>
        </w:rPr>
        <w:t>Elsevier</w:t>
      </w:r>
      <w:r w:rsidRPr="00E7097C">
        <w:rPr>
          <w:rFonts w:ascii="NewsGotT" w:hAnsi="NewsGotT"/>
          <w:noProof/>
        </w:rPr>
        <w:t>. Morgan Kaufmann.</w:t>
      </w:r>
    </w:p>
    <w:p w14:paraId="1F129DDA"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Harrison, P., Cowen, P., Burns, T., &amp; Fazel, M. (2018). </w:t>
      </w:r>
      <w:r w:rsidRPr="00E7097C">
        <w:rPr>
          <w:rFonts w:ascii="NewsGotT" w:hAnsi="NewsGotT"/>
          <w:i/>
          <w:iCs/>
          <w:noProof/>
        </w:rPr>
        <w:t>Shorter Oxford Textbook of Psychiatry</w:t>
      </w:r>
      <w:r w:rsidRPr="00E7097C">
        <w:rPr>
          <w:rFonts w:ascii="NewsGotT" w:hAnsi="NewsGotT"/>
          <w:noProof/>
        </w:rPr>
        <w:t xml:space="preserve"> (seventh). Oxford: Oxford University Press.</w:t>
      </w:r>
    </w:p>
    <w:p w14:paraId="283E7D7A"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lastRenderedPageBreak/>
        <w:t xml:space="preserve">Hatano, Y., Narumoto, J., Shibata, K., Matsuoka, T., Taniguchi, S., Hata, Y., … Fukui, K. (2013). White-matter hyperintensities predict delirium after cardiac surgery. </w:t>
      </w:r>
      <w:r w:rsidRPr="00E7097C">
        <w:rPr>
          <w:rFonts w:ascii="NewsGotT" w:hAnsi="NewsGotT"/>
          <w:i/>
          <w:iCs/>
          <w:noProof/>
        </w:rPr>
        <w:t>American Journal of Geriatric Psychiatry</w:t>
      </w:r>
      <w:r w:rsidRPr="00E7097C">
        <w:rPr>
          <w:rFonts w:ascii="NewsGotT" w:hAnsi="NewsGotT"/>
          <w:noProof/>
        </w:rPr>
        <w:t xml:space="preserve">, </w:t>
      </w:r>
      <w:r w:rsidRPr="00E7097C">
        <w:rPr>
          <w:rFonts w:ascii="NewsGotT" w:hAnsi="NewsGotT"/>
          <w:i/>
          <w:iCs/>
          <w:noProof/>
        </w:rPr>
        <w:t>21</w:t>
      </w:r>
      <w:r w:rsidRPr="00E7097C">
        <w:rPr>
          <w:rFonts w:ascii="NewsGotT" w:hAnsi="NewsGotT"/>
          <w:noProof/>
        </w:rPr>
        <w:t>(10), 938–945. https://doi.org/10.1016/j.jagp.2013.01.061</w:t>
      </w:r>
    </w:p>
    <w:p w14:paraId="00607D87"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Haykin, S. (2009). </w:t>
      </w:r>
      <w:r w:rsidRPr="00E7097C">
        <w:rPr>
          <w:rFonts w:ascii="NewsGotT" w:hAnsi="NewsGotT"/>
          <w:i/>
          <w:iCs/>
          <w:noProof/>
        </w:rPr>
        <w:t>Neural Networks and Learning Machines</w:t>
      </w:r>
      <w:r w:rsidRPr="00E7097C">
        <w:rPr>
          <w:rFonts w:ascii="NewsGotT" w:hAnsi="NewsGotT"/>
          <w:noProof/>
        </w:rPr>
        <w:t xml:space="preserve"> (3rd ed., Vol. 1–3). New Jersey: Pearson.</w:t>
      </w:r>
    </w:p>
    <w:p w14:paraId="10BC4D1B"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Hosker, C., &amp; Ward, D. (2017). Hypoactive delirium. </w:t>
      </w:r>
      <w:r w:rsidRPr="00E7097C">
        <w:rPr>
          <w:rFonts w:ascii="NewsGotT" w:hAnsi="NewsGotT"/>
          <w:i/>
          <w:iCs/>
          <w:noProof/>
        </w:rPr>
        <w:t>BMJ</w:t>
      </w:r>
      <w:r w:rsidRPr="00E7097C">
        <w:rPr>
          <w:rFonts w:ascii="NewsGotT" w:hAnsi="NewsGotT"/>
          <w:noProof/>
        </w:rPr>
        <w:t xml:space="preserve">, </w:t>
      </w:r>
      <w:r w:rsidRPr="00E7097C">
        <w:rPr>
          <w:rFonts w:ascii="NewsGotT" w:hAnsi="NewsGotT"/>
          <w:i/>
          <w:iCs/>
          <w:noProof/>
        </w:rPr>
        <w:t>357</w:t>
      </w:r>
      <w:r w:rsidRPr="00E7097C">
        <w:rPr>
          <w:rFonts w:ascii="NewsGotT" w:hAnsi="NewsGotT"/>
          <w:noProof/>
        </w:rPr>
        <w:t>. https://doi.org/10.1136/bmj.j2047</w:t>
      </w:r>
    </w:p>
    <w:p w14:paraId="22E6CCF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Hosmer, D. W., Lemeshow, S., &amp; Sturdivant, R. X. (2013). </w:t>
      </w:r>
      <w:r w:rsidRPr="00E7097C">
        <w:rPr>
          <w:rFonts w:ascii="NewsGotT" w:hAnsi="NewsGotT"/>
          <w:i/>
          <w:iCs/>
          <w:noProof/>
        </w:rPr>
        <w:t>Applied Logistic Regression.</w:t>
      </w:r>
      <w:r w:rsidRPr="00E7097C">
        <w:rPr>
          <w:rFonts w:ascii="NewsGotT" w:hAnsi="NewsGotT"/>
          <w:noProof/>
        </w:rPr>
        <w:t xml:space="preserve"> </w:t>
      </w:r>
      <w:r w:rsidRPr="00E7097C">
        <w:rPr>
          <w:rFonts w:ascii="NewsGotT" w:hAnsi="NewsGotT"/>
          <w:i/>
          <w:iCs/>
          <w:noProof/>
        </w:rPr>
        <w:t>Wiley Series in Probability and Statistics</w:t>
      </w:r>
      <w:r w:rsidRPr="00E7097C">
        <w:rPr>
          <w:rFonts w:ascii="NewsGotT" w:hAnsi="NewsGotT"/>
          <w:noProof/>
        </w:rPr>
        <w:t>.</w:t>
      </w:r>
    </w:p>
    <w:p w14:paraId="0B5204DE"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Hshieh, T. T., Fong, T. G., Marcantonio, E. R., &amp; Inouye, S. K. (2008). Cholinergic Deficiency Hypothesis in Delirium: A Synthesis of Current Evidence. </w:t>
      </w:r>
      <w:r w:rsidRPr="00E7097C">
        <w:rPr>
          <w:rFonts w:ascii="NewsGotT" w:hAnsi="NewsGotT"/>
          <w:i/>
          <w:iCs/>
          <w:noProof/>
        </w:rPr>
        <w:t>The Journals of Gerontology Series A: Biological Sciences and Medical Sciences</w:t>
      </w:r>
      <w:r w:rsidRPr="00E7097C">
        <w:rPr>
          <w:rFonts w:ascii="NewsGotT" w:hAnsi="NewsGotT"/>
          <w:noProof/>
        </w:rPr>
        <w:t xml:space="preserve">, </w:t>
      </w:r>
      <w:r w:rsidRPr="00E7097C">
        <w:rPr>
          <w:rFonts w:ascii="NewsGotT" w:hAnsi="NewsGotT"/>
          <w:i/>
          <w:iCs/>
          <w:noProof/>
        </w:rPr>
        <w:t>63</w:t>
      </w:r>
      <w:r w:rsidRPr="00E7097C">
        <w:rPr>
          <w:rFonts w:ascii="NewsGotT" w:hAnsi="NewsGotT"/>
          <w:noProof/>
        </w:rPr>
        <w:t>(7), 764–772. https://doi.org/10.1093/gerona/63.7.764</w:t>
      </w:r>
    </w:p>
    <w:p w14:paraId="64917C3B"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Hurwitz, J., &amp; Kirsch, D. (2018). </w:t>
      </w:r>
      <w:r w:rsidRPr="00E7097C">
        <w:rPr>
          <w:rFonts w:ascii="NewsGotT" w:hAnsi="NewsGotT"/>
          <w:i/>
          <w:iCs/>
          <w:noProof/>
        </w:rPr>
        <w:t>Machine learning</w:t>
      </w:r>
      <w:r w:rsidRPr="00E7097C">
        <w:rPr>
          <w:rFonts w:ascii="NewsGotT" w:hAnsi="NewsGotT"/>
          <w:noProof/>
        </w:rPr>
        <w:t>. John Wiley &amp; Sons Inc.</w:t>
      </w:r>
    </w:p>
    <w:p w14:paraId="3C57DD7E"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Immers, H. E. M., Schuurmans, M. J., &amp; Van De Bijl, J. J. (2005). Recognition of delirium in ICU patients: A diagnostic study of the NEECHAM confusion scale in ICU patients. </w:t>
      </w:r>
      <w:r w:rsidRPr="00E7097C">
        <w:rPr>
          <w:rFonts w:ascii="NewsGotT" w:hAnsi="NewsGotT"/>
          <w:i/>
          <w:iCs/>
          <w:noProof/>
        </w:rPr>
        <w:t>BMC Nursing</w:t>
      </w:r>
      <w:r w:rsidRPr="00E7097C">
        <w:rPr>
          <w:rFonts w:ascii="NewsGotT" w:hAnsi="NewsGotT"/>
          <w:noProof/>
        </w:rPr>
        <w:t xml:space="preserve">, </w:t>
      </w:r>
      <w:r w:rsidRPr="00E7097C">
        <w:rPr>
          <w:rFonts w:ascii="NewsGotT" w:hAnsi="NewsGotT"/>
          <w:i/>
          <w:iCs/>
          <w:noProof/>
        </w:rPr>
        <w:t>4</w:t>
      </w:r>
      <w:r w:rsidRPr="00E7097C">
        <w:rPr>
          <w:rFonts w:ascii="NewsGotT" w:hAnsi="NewsGotT"/>
          <w:noProof/>
        </w:rPr>
        <w:t>(1). https://doi.org/10.1186/1472-6955-4-7</w:t>
      </w:r>
    </w:p>
    <w:p w14:paraId="11D9007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Infarmed. (2002). </w:t>
      </w:r>
      <w:r w:rsidRPr="00E7097C">
        <w:rPr>
          <w:rFonts w:ascii="NewsGotT" w:hAnsi="NewsGotT"/>
          <w:i/>
          <w:iCs/>
          <w:noProof/>
        </w:rPr>
        <w:t>Evolução do consumo de antidepressivos em Portugal continental de 1995 a 2001: impacto das medidas reguladoras</w:t>
      </w:r>
      <w:r w:rsidRPr="00E7097C">
        <w:rPr>
          <w:rFonts w:ascii="NewsGotT" w:hAnsi="NewsGotT"/>
          <w:noProof/>
        </w:rPr>
        <w:t xml:space="preserve">. </w:t>
      </w:r>
      <w:r w:rsidRPr="00E7097C">
        <w:rPr>
          <w:rFonts w:ascii="NewsGotT" w:hAnsi="NewsGotT"/>
          <w:i/>
          <w:iCs/>
          <w:noProof/>
        </w:rPr>
        <w:t>Observatório dos Medicamentos e Produtos de Saúde - Infarmed</w:t>
      </w:r>
      <w:r w:rsidRPr="00E7097C">
        <w:rPr>
          <w:rFonts w:ascii="NewsGotT" w:hAnsi="NewsGotT"/>
          <w:noProof/>
        </w:rPr>
        <w:t>. Retrieved from http://www.infarmed.pt/web/infarmed/profissionais-de-saude/utilizacao-e-despesa/estudos-medicamentos-por-grupo-terapeutico</w:t>
      </w:r>
    </w:p>
    <w:p w14:paraId="4CF4B3D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Infarmed. (2010). </w:t>
      </w:r>
      <w:r w:rsidRPr="00E7097C">
        <w:rPr>
          <w:rFonts w:ascii="NewsGotT" w:hAnsi="NewsGotT"/>
          <w:i/>
          <w:iCs/>
          <w:noProof/>
        </w:rPr>
        <w:t>Prontuário Terapêutico - 9</w:t>
      </w:r>
      <w:r w:rsidRPr="00E7097C">
        <w:rPr>
          <w:rFonts w:ascii="NewsGotT" w:hAnsi="NewsGotT"/>
          <w:noProof/>
        </w:rPr>
        <w:t>. (I. de S. INFARMED - Autoridade Nacional do Medicamento e Produtos de Saúde, Ed.).</w:t>
      </w:r>
    </w:p>
    <w:p w14:paraId="62A3552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(2014). RESUMO DAS CARACTERISTICAS DO MEDICAMENTO: Diazepam. Retrieved July 21, 2021, from https://extranet.infarmed.pt/INFOMED-fo/pesquisa-avancada.xhtml</w:t>
      </w:r>
    </w:p>
    <w:p w14:paraId="2F06BF84"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(2018a). Resumo das características do medicamento: Quetiapina. Retrieved from https://extranet.infarmed.pt/INFOMED-fo/pesquisa-avancada.xhtml</w:t>
      </w:r>
    </w:p>
    <w:p w14:paraId="30EDF89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(2018b). Resumo das características do medicamento: Tramadol. Infarmed. Retrieved from https://extranet.infarmed.pt/INFOMED-fo/pesquisa-avancada.xhtml</w:t>
      </w:r>
    </w:p>
    <w:p w14:paraId="34662680"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Infarmed. (2019). Resumo das características do medicamento: Amitriptilina. </w:t>
      </w:r>
      <w:r w:rsidRPr="00E7097C">
        <w:rPr>
          <w:rFonts w:ascii="NewsGotT" w:hAnsi="NewsGotT"/>
          <w:i/>
          <w:iCs/>
          <w:noProof/>
        </w:rPr>
        <w:t>Infarmed</w:t>
      </w:r>
      <w:r w:rsidRPr="00E7097C">
        <w:rPr>
          <w:rFonts w:ascii="NewsGotT" w:hAnsi="NewsGotT"/>
          <w:noProof/>
        </w:rPr>
        <w:t>. Retrieved from https://extranet.infarmed.pt/INFOMED-fo/pesquisa-avancada.xhtml</w:t>
      </w:r>
    </w:p>
    <w:p w14:paraId="4DDFC31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(2020a). RESUMO DAS CARACTERÍSTICAS DO MEDICAMENTO</w:t>
      </w:r>
      <w:r w:rsidRPr="00E7097C">
        <w:rPr>
          <w:noProof/>
        </w:rPr>
        <w:t> </w:t>
      </w:r>
      <w:r w:rsidRPr="00E7097C">
        <w:rPr>
          <w:rFonts w:ascii="NewsGotT" w:hAnsi="NewsGotT"/>
          <w:noProof/>
        </w:rPr>
        <w:t>: Escitalopram. Retrieved October 22, 2021, from https://extranet.infarmed.pt/INFOMED-fo/pesquisa-avancada.xhtml</w:t>
      </w:r>
    </w:p>
    <w:p w14:paraId="1C4BDA84"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(2020b). Resumo das características do medicamento: Haloperidol. Retrieved from https://extranet.infarmed.pt/INFOMED-fo/pesquisa-avancada.xhtml</w:t>
      </w:r>
    </w:p>
    <w:p w14:paraId="250AC44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(2020c). Resumo das características do medicamento: Morfina. Infarmed. Retrieved from https://extranet.infarmed.pt/INFOMED-fo/pesquisa-avancada.xhtml</w:t>
      </w:r>
    </w:p>
    <w:p w14:paraId="2918DF3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(2020d). Resumo das características do medicamento: Sertralina. Infarmed. Retrieved from https://extranet.infarmed.pt/INFOMED-fo/pesquisa-avancada.xhtml</w:t>
      </w:r>
    </w:p>
    <w:p w14:paraId="3A3716E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(2020e). Resumo das características do medicamento: Trazodona. Infarmed.</w:t>
      </w:r>
    </w:p>
    <w:p w14:paraId="6E761C97"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(2021a). RESUMO DAS CARACTERÍSTICAS DO MEDICAMENTO: Citalopram. Infarmed. Retrieved from https://extranet.infarmed.pt/INFOMED-fo/pesquisa-avancada.xhtml</w:t>
      </w:r>
    </w:p>
    <w:p w14:paraId="4433BF0C"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(2021b). Resumo das características do medicamento: Fluoxetina.</w:t>
      </w:r>
    </w:p>
    <w:p w14:paraId="1035024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(2021c). Resumo das características do medicamento: Fluvoxamina. Retrieved from https://extranet.infarmed.pt/INFOMED-fo/pesquisa-avancada.xhtml</w:t>
      </w:r>
    </w:p>
    <w:p w14:paraId="5CA6471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(2021d). Resumo das características do medicamento: Paroxetina. Infarmed. Retrieved from https://extranet.infarmed.pt/INFOMED-fo/pesquisa-avancada.xhtml</w:t>
      </w:r>
    </w:p>
    <w:p w14:paraId="72025EF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(2021e). Resumo das características do medicamento: Risperidona. Retrieved from https://extranet.infarmed.pt/INFOMED-fo/pesquisa-avancada.xhtml</w:t>
      </w:r>
    </w:p>
    <w:p w14:paraId="60026EF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Infarmed. (2021f). Resumo das características do medicamento: Venlafaxina. Infarmed. Retrieved from </w:t>
      </w:r>
      <w:r w:rsidRPr="00E7097C">
        <w:rPr>
          <w:rFonts w:ascii="NewsGotT" w:hAnsi="NewsGotT"/>
          <w:noProof/>
        </w:rPr>
        <w:lastRenderedPageBreak/>
        <w:t>https://extranet.infarmed.pt/INFOMED-fo/pesquisa-avancada.xhtml</w:t>
      </w:r>
    </w:p>
    <w:p w14:paraId="5866F063"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(2016a). Resumo das características do medicamento: Varfarina. Retrieved from http://app7.infarmed.pt/infomed/download_ficheiro.php?med_id=9007&amp;tipo_doc=rcm</w:t>
      </w:r>
    </w:p>
    <w:p w14:paraId="0020E1D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(2020a). Resumo das características do medicamento: Dipiridamol. Retrieved from https://extranet.infarmed.pt/INFOMED-fo/pesquisa-avancada.xhtml</w:t>
      </w:r>
    </w:p>
    <w:p w14:paraId="0884500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INFARMED - Direção de informação e Planeamento Estratégico. (2017). </w:t>
      </w:r>
      <w:r w:rsidRPr="00E7097C">
        <w:rPr>
          <w:rFonts w:ascii="NewsGotT" w:hAnsi="NewsGotT"/>
          <w:i/>
          <w:iCs/>
          <w:noProof/>
        </w:rPr>
        <w:t>Utlilização de Benzodiazepinas e análogos</w:t>
      </w:r>
      <w:r w:rsidRPr="00E7097C">
        <w:rPr>
          <w:rFonts w:ascii="NewsGotT" w:hAnsi="NewsGotT"/>
          <w:noProof/>
        </w:rPr>
        <w:t>. Retrieved from https://www.infarmed.pt/documents/15786/2219894/Utlilização+de+Benzodiazepinas+e+análogos/adb100fa-4a77-4eb7-9e67-99229e13154f</w:t>
      </w:r>
    </w:p>
    <w:p w14:paraId="56FE86AA"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(2009). Resumo das características do medicamento: Tri-hexifenidilo.</w:t>
      </w:r>
    </w:p>
    <w:p w14:paraId="7D810E7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(2011). Resumo das Características do Medicamento: Digoxina. Retrieved from http://www.infarmed.pt/infomed/download_ficheiro.php?med_id=4892&amp;tipo_doc=rcm</w:t>
      </w:r>
    </w:p>
    <w:p w14:paraId="5B1529F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(2016b). Resumo das características do medicamento: Furosemida.</w:t>
      </w:r>
    </w:p>
    <w:p w14:paraId="55F9072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(2017). Resumo das características do medicamento: Codeína. Retrieved from https://extranet.infarmed.pt/INFOMED-fo/detalhes-medicamento.xhtml</w:t>
      </w:r>
    </w:p>
    <w:p w14:paraId="4D947C7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(2018a). Aprovado em 26-07-2018 infarmed. Retrieved from https://extranet.infarmed.pt/INFOMED-fo/pesquisa-avancada.xhtml</w:t>
      </w:r>
    </w:p>
    <w:p w14:paraId="5477F9DC"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(2018b). Resumo das características do medicamento: Captopril, 20. Retrieved from https://extranet.infarmed.pt/INFOMED-fo/pesquisa-avancada.xhtml</w:t>
      </w:r>
    </w:p>
    <w:p w14:paraId="19B946D7"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(2018c). Resumo das Características do Medicamento: Sinvastatina.</w:t>
      </w:r>
    </w:p>
    <w:p w14:paraId="73DF586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(2019a). Resumo das características do medicamento: Clonidina. Retrieved from https://extranet.infarmed.pt/INFOMED-fo/pesquisa-avancada.xhtml</w:t>
      </w:r>
    </w:p>
    <w:p w14:paraId="5A4E7CDE"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(2019b). Resumo das características do medicamento: Rosuvastatina. Retrieved from https://extranet.infarmed.pt/INFOMED-fo/pesquisa-avancada.xhtml</w:t>
      </w:r>
    </w:p>
    <w:p w14:paraId="101945C4"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(2020b). Resumo das Características do Medicamento: Brometo de Butilescopolamina. Retrieved from https://extranet.infarmed.pt/INFOMED-fo/pesquisa-avancada.xhtml</w:t>
      </w:r>
    </w:p>
    <w:p w14:paraId="3496200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(2020c). Resumo das características do medicamento: Desloratadina. Retrieved from https://extranet.infarmed.pt/INFOMED-fo/pesquisa-avancada.xhtml</w:t>
      </w:r>
    </w:p>
    <w:p w14:paraId="7E56C237"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(2020d). Resumo das características do medicamento: Fluvastatina. Retrieved from https://extranet.infarmed.pt/INFOMED-fo/pesquisa-avancada.xhtml</w:t>
      </w:r>
    </w:p>
    <w:p w14:paraId="6165C1D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(2020e). Resumo das características do medicamento: Hidroxizina. Retrieved from https://extranet.infarmed.pt/INFOMED-fo/pesquisa-avancada.xhtml</w:t>
      </w:r>
    </w:p>
    <w:p w14:paraId="17CA841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(2021a). Resumo das características do medicamento: Atorvastatina. Retrieved from https://extranet.infarmed.pt/INFOMED-fo/pesquisa-avancada.xhtml</w:t>
      </w:r>
    </w:p>
    <w:p w14:paraId="4F3938AC"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(2021b). Resumo das características do medicamento: Nifedipina. Retrieved from https://extranet.infarmed.pt/INFOMED-fo/pesquisa-avancada.xhtml</w:t>
      </w:r>
    </w:p>
    <w:p w14:paraId="613FF6AC"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INFARMED, A. N. do M. e P. de S., &amp; DGRM, D. de G. do R. de M. (2018). Resumo das características do medicamento: Ranitidina.</w:t>
      </w:r>
    </w:p>
    <w:p w14:paraId="6DE71CAB"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INFARMED, A. N. do M. e P. de S., &amp; Ministério da Saúde, I. (2012). </w:t>
      </w:r>
      <w:r w:rsidRPr="00E7097C">
        <w:rPr>
          <w:rFonts w:ascii="NewsGotT" w:hAnsi="NewsGotT"/>
          <w:i/>
          <w:iCs/>
          <w:noProof/>
        </w:rPr>
        <w:t>Prontuário Terapêutico - 11</w:t>
      </w:r>
      <w:r w:rsidRPr="00E7097C">
        <w:rPr>
          <w:rFonts w:ascii="NewsGotT" w:hAnsi="NewsGotT"/>
          <w:noProof/>
        </w:rPr>
        <w:t>. (I. P. / M. de S. INFARMED – Autoridade Nacional do Medicamento e Produtos de Saúde, Ed.) (Caramona,).</w:t>
      </w:r>
    </w:p>
    <w:p w14:paraId="5643B37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Inouye, S. K., Van Dyck, C. H., Alessi, C. A., Balkin, S., Siegal, A. P., &amp; Horwitz, R. I. (1990). Clarifying confusion: The confusion assessment method: A new method for detection of delirium. </w:t>
      </w:r>
      <w:r w:rsidRPr="00E7097C">
        <w:rPr>
          <w:rFonts w:ascii="NewsGotT" w:hAnsi="NewsGotT"/>
          <w:i/>
          <w:iCs/>
          <w:noProof/>
        </w:rPr>
        <w:t xml:space="preserve">Annals of </w:t>
      </w:r>
      <w:r w:rsidRPr="00E7097C">
        <w:rPr>
          <w:rFonts w:ascii="NewsGotT" w:hAnsi="NewsGotT"/>
          <w:i/>
          <w:iCs/>
          <w:noProof/>
        </w:rPr>
        <w:lastRenderedPageBreak/>
        <w:t>Internal Medicine</w:t>
      </w:r>
      <w:r w:rsidRPr="00E7097C">
        <w:rPr>
          <w:rFonts w:ascii="NewsGotT" w:hAnsi="NewsGotT"/>
          <w:noProof/>
        </w:rPr>
        <w:t xml:space="preserve">, </w:t>
      </w:r>
      <w:r w:rsidRPr="00E7097C">
        <w:rPr>
          <w:rFonts w:ascii="NewsGotT" w:hAnsi="NewsGotT"/>
          <w:i/>
          <w:iCs/>
          <w:noProof/>
        </w:rPr>
        <w:t>113</w:t>
      </w:r>
      <w:r w:rsidRPr="00E7097C">
        <w:rPr>
          <w:rFonts w:ascii="NewsGotT" w:hAnsi="NewsGotT"/>
          <w:noProof/>
        </w:rPr>
        <w:t>(12), 941–948. https://doi.org/10.7326/0003-4819-113-12-941</w:t>
      </w:r>
    </w:p>
    <w:p w14:paraId="7E4808D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Inouye, Sharon K. (2006). Delirium in Older Persons. </w:t>
      </w:r>
      <w:r w:rsidRPr="00E7097C">
        <w:rPr>
          <w:rFonts w:ascii="NewsGotT" w:hAnsi="NewsGotT"/>
          <w:i/>
          <w:iCs/>
          <w:noProof/>
        </w:rPr>
        <w:t>The New England Journal of Medicine</w:t>
      </w:r>
      <w:r w:rsidRPr="00E7097C">
        <w:rPr>
          <w:rFonts w:ascii="NewsGotT" w:hAnsi="NewsGotT"/>
          <w:noProof/>
        </w:rPr>
        <w:t xml:space="preserve">, </w:t>
      </w:r>
      <w:r w:rsidRPr="00E7097C">
        <w:rPr>
          <w:rFonts w:ascii="NewsGotT" w:hAnsi="NewsGotT"/>
          <w:i/>
          <w:iCs/>
          <w:noProof/>
        </w:rPr>
        <w:t>354</w:t>
      </w:r>
      <w:r w:rsidRPr="00E7097C">
        <w:rPr>
          <w:rFonts w:ascii="NewsGotT" w:hAnsi="NewsGotT"/>
          <w:noProof/>
        </w:rPr>
        <w:t>(11), 1157–1165.</w:t>
      </w:r>
    </w:p>
    <w:p w14:paraId="2C87CD37"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Inouye, Sharon K., &amp; Charpentier, P. A. (1996). Precipitating factors for delirium in hospitalized elderly persons: Predictive model and interrelationship with baseline vulnerability. </w:t>
      </w:r>
      <w:r w:rsidRPr="00E7097C">
        <w:rPr>
          <w:rFonts w:ascii="NewsGotT" w:hAnsi="NewsGotT"/>
          <w:i/>
          <w:iCs/>
          <w:noProof/>
        </w:rPr>
        <w:t>Journal of the American Medical Association</w:t>
      </w:r>
      <w:r w:rsidRPr="00E7097C">
        <w:rPr>
          <w:rFonts w:ascii="NewsGotT" w:hAnsi="NewsGotT"/>
          <w:noProof/>
        </w:rPr>
        <w:t xml:space="preserve">, </w:t>
      </w:r>
      <w:r w:rsidRPr="00E7097C">
        <w:rPr>
          <w:rFonts w:ascii="NewsGotT" w:hAnsi="NewsGotT"/>
          <w:i/>
          <w:iCs/>
          <w:noProof/>
        </w:rPr>
        <w:t>275</w:t>
      </w:r>
      <w:r w:rsidRPr="00E7097C">
        <w:rPr>
          <w:rFonts w:ascii="NewsGotT" w:hAnsi="NewsGotT"/>
          <w:noProof/>
        </w:rPr>
        <w:t>(11), 852–857. https://doi.org/10.1001/jama.275.11.852</w:t>
      </w:r>
    </w:p>
    <w:p w14:paraId="70D877F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Inouye, Sharon K., Westendorp, R. G. J., &amp; Saczynski, J. S. (2014). Delirium in elderly people. </w:t>
      </w:r>
      <w:r w:rsidRPr="00E7097C">
        <w:rPr>
          <w:rFonts w:ascii="NewsGotT" w:hAnsi="NewsGotT"/>
          <w:i/>
          <w:iCs/>
          <w:noProof/>
        </w:rPr>
        <w:t>The Lancet</w:t>
      </w:r>
      <w:r w:rsidRPr="00E7097C">
        <w:rPr>
          <w:rFonts w:ascii="NewsGotT" w:hAnsi="NewsGotT"/>
          <w:noProof/>
        </w:rPr>
        <w:t xml:space="preserve">, </w:t>
      </w:r>
      <w:r w:rsidRPr="00E7097C">
        <w:rPr>
          <w:rFonts w:ascii="NewsGotT" w:hAnsi="NewsGotT"/>
          <w:i/>
          <w:iCs/>
          <w:noProof/>
        </w:rPr>
        <w:t>383</w:t>
      </w:r>
      <w:r w:rsidRPr="00E7097C">
        <w:rPr>
          <w:rFonts w:ascii="NewsGotT" w:hAnsi="NewsGotT"/>
          <w:noProof/>
        </w:rPr>
        <w:t>(9920), 911–922. https://doi.org/10.1016/S0140-6736(13)60688-1</w:t>
      </w:r>
    </w:p>
    <w:p w14:paraId="3B7E44E6"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Inouye, Sharon K. (2000). Prevention of delirium in hospitalized older patients: risk factors and targeted intervention strategies. </w:t>
      </w:r>
      <w:r w:rsidRPr="00E7097C">
        <w:rPr>
          <w:rFonts w:ascii="NewsGotT" w:hAnsi="NewsGotT"/>
          <w:i/>
          <w:iCs/>
          <w:noProof/>
        </w:rPr>
        <w:t>Annals of Medicine</w:t>
      </w:r>
      <w:r w:rsidRPr="00E7097C">
        <w:rPr>
          <w:rFonts w:ascii="NewsGotT" w:hAnsi="NewsGotT"/>
          <w:noProof/>
        </w:rPr>
        <w:t xml:space="preserve">, </w:t>
      </w:r>
      <w:r w:rsidRPr="00E7097C">
        <w:rPr>
          <w:rFonts w:ascii="NewsGotT" w:hAnsi="NewsGotT"/>
          <w:i/>
          <w:iCs/>
          <w:noProof/>
        </w:rPr>
        <w:t>32</w:t>
      </w:r>
      <w:r w:rsidRPr="00E7097C">
        <w:rPr>
          <w:rFonts w:ascii="NewsGotT" w:hAnsi="NewsGotT"/>
          <w:noProof/>
        </w:rPr>
        <w:t>(4), 257–263. https://doi.org/10.3109/07853890009011770</w:t>
      </w:r>
    </w:p>
    <w:p w14:paraId="7625F834"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Isik, A. T., &amp; Grossberg, G. T. (2018). </w:t>
      </w:r>
      <w:r w:rsidRPr="00E7097C">
        <w:rPr>
          <w:rFonts w:ascii="NewsGotT" w:hAnsi="NewsGotT"/>
          <w:i/>
          <w:iCs/>
          <w:noProof/>
        </w:rPr>
        <w:t>Delirium in Elderly Patients</w:t>
      </w:r>
      <w:r w:rsidRPr="00E7097C">
        <w:rPr>
          <w:rFonts w:ascii="NewsGotT" w:hAnsi="NewsGotT"/>
          <w:noProof/>
        </w:rPr>
        <w:t xml:space="preserve">. (A. T. Isik &amp; G. T. Grossberg, Eds.), </w:t>
      </w:r>
      <w:r w:rsidRPr="00E7097C">
        <w:rPr>
          <w:rFonts w:ascii="NewsGotT" w:hAnsi="NewsGotT"/>
          <w:i/>
          <w:iCs/>
          <w:noProof/>
        </w:rPr>
        <w:t>Delirium in Elderly Patients</w:t>
      </w:r>
      <w:r w:rsidRPr="00E7097C">
        <w:rPr>
          <w:rFonts w:ascii="NewsGotT" w:hAnsi="NewsGotT"/>
          <w:noProof/>
        </w:rPr>
        <w:t>. Cham: Springer International Publishing. https://doi.org/10.1007/978-3-319-65239-9</w:t>
      </w:r>
    </w:p>
    <w:p w14:paraId="29AFDC20"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Jain, A. K., &amp; Dubes, R. C. (1988). </w:t>
      </w:r>
      <w:r w:rsidRPr="00E7097C">
        <w:rPr>
          <w:rFonts w:ascii="NewsGotT" w:hAnsi="NewsGotT"/>
          <w:i/>
          <w:iCs/>
          <w:noProof/>
        </w:rPr>
        <w:t>Algorithms for Clustering Data</w:t>
      </w:r>
      <w:r w:rsidRPr="00E7097C">
        <w:rPr>
          <w:rFonts w:ascii="NewsGotT" w:hAnsi="NewsGotT"/>
          <w:noProof/>
        </w:rPr>
        <w:t>. Prentice Hall.</w:t>
      </w:r>
    </w:p>
    <w:p w14:paraId="5A9C8D9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James, G., Witten, D., Hastie, T., &amp; Tibshirani, R. (2013). </w:t>
      </w:r>
      <w:r w:rsidRPr="00E7097C">
        <w:rPr>
          <w:rFonts w:ascii="NewsGotT" w:hAnsi="NewsGotT"/>
          <w:i/>
          <w:iCs/>
          <w:noProof/>
        </w:rPr>
        <w:t>An Introduction to Statistical Learning - with Applications in R</w:t>
      </w:r>
      <w:r w:rsidRPr="00E7097C">
        <w:rPr>
          <w:rFonts w:ascii="NewsGotT" w:hAnsi="NewsGotT"/>
          <w:noProof/>
        </w:rPr>
        <w:t>. Springer Texts in Statistics.</w:t>
      </w:r>
    </w:p>
    <w:p w14:paraId="42EFDAA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Jamin, A., Abraham, P., &amp; Humeau-Heurtier, A. (2021). Machine learning for predictive data analytics in medicine: A review illustrated by cardiovascular and nuclear medicine examples. </w:t>
      </w:r>
      <w:r w:rsidRPr="00E7097C">
        <w:rPr>
          <w:rFonts w:ascii="NewsGotT" w:hAnsi="NewsGotT"/>
          <w:i/>
          <w:iCs/>
          <w:noProof/>
        </w:rPr>
        <w:t>Clinical Physiology and Functional Imaging</w:t>
      </w:r>
      <w:r w:rsidRPr="00E7097C">
        <w:rPr>
          <w:rFonts w:ascii="NewsGotT" w:hAnsi="NewsGotT"/>
          <w:noProof/>
        </w:rPr>
        <w:t xml:space="preserve">, </w:t>
      </w:r>
      <w:r w:rsidRPr="00E7097C">
        <w:rPr>
          <w:rFonts w:ascii="NewsGotT" w:hAnsi="NewsGotT"/>
          <w:i/>
          <w:iCs/>
          <w:noProof/>
        </w:rPr>
        <w:t>41</w:t>
      </w:r>
      <w:r w:rsidRPr="00E7097C">
        <w:rPr>
          <w:rFonts w:ascii="NewsGotT" w:hAnsi="NewsGotT"/>
          <w:noProof/>
        </w:rPr>
        <w:t>(2), 113–127. https://doi.org/10.1111/cpf.12686</w:t>
      </w:r>
    </w:p>
    <w:p w14:paraId="06A31BF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Jaszczyk, A., &amp; Juszczak, G. R. (2021). Glucocorticoids, metabolism and brain activity. </w:t>
      </w:r>
      <w:r w:rsidRPr="00E7097C">
        <w:rPr>
          <w:rFonts w:ascii="NewsGotT" w:hAnsi="NewsGotT"/>
          <w:i/>
          <w:iCs/>
          <w:noProof/>
        </w:rPr>
        <w:t>Neuroscience &amp; Biobehavioral Reviews</w:t>
      </w:r>
      <w:r w:rsidRPr="00E7097C">
        <w:rPr>
          <w:rFonts w:ascii="NewsGotT" w:hAnsi="NewsGotT"/>
          <w:noProof/>
        </w:rPr>
        <w:t xml:space="preserve">, </w:t>
      </w:r>
      <w:r w:rsidRPr="00E7097C">
        <w:rPr>
          <w:rFonts w:ascii="NewsGotT" w:hAnsi="NewsGotT"/>
          <w:i/>
          <w:iCs/>
          <w:noProof/>
        </w:rPr>
        <w:t>126</w:t>
      </w:r>
      <w:r w:rsidRPr="00E7097C">
        <w:rPr>
          <w:rFonts w:ascii="NewsGotT" w:hAnsi="NewsGotT"/>
          <w:noProof/>
        </w:rPr>
        <w:t>(March 2020), 113–145. https://doi.org/10.1016/j.neubiorev.2021.03.007</w:t>
      </w:r>
    </w:p>
    <w:p w14:paraId="3A75C06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E7097C">
        <w:rPr>
          <w:rFonts w:ascii="NewsGotT" w:hAnsi="NewsGotT"/>
          <w:i/>
          <w:iCs/>
          <w:noProof/>
        </w:rPr>
        <w:t>Journal of the American Medical Informatics Association</w:t>
      </w:r>
      <w:r w:rsidRPr="00E7097C">
        <w:rPr>
          <w:rFonts w:ascii="NewsGotT" w:hAnsi="NewsGotT"/>
          <w:noProof/>
        </w:rPr>
        <w:t xml:space="preserve">, </w:t>
      </w:r>
      <w:r w:rsidRPr="00E7097C">
        <w:rPr>
          <w:rFonts w:ascii="NewsGotT" w:hAnsi="NewsGotT"/>
          <w:i/>
          <w:iCs/>
          <w:noProof/>
        </w:rPr>
        <w:t>27</w:t>
      </w:r>
      <w:r w:rsidRPr="00E7097C">
        <w:rPr>
          <w:rFonts w:ascii="NewsGotT" w:hAnsi="NewsGotT"/>
          <w:noProof/>
        </w:rPr>
        <w:t>(9), 1383–1392. https://doi.org/10.1093/jamia/ocaa113</w:t>
      </w:r>
    </w:p>
    <w:p w14:paraId="526232A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E7097C">
        <w:rPr>
          <w:rFonts w:ascii="NewsGotT" w:hAnsi="NewsGotT"/>
          <w:i/>
          <w:iCs/>
          <w:noProof/>
        </w:rPr>
        <w:t>Academic Emergency Medicine</w:t>
      </w:r>
      <w:r w:rsidRPr="00E7097C">
        <w:rPr>
          <w:rFonts w:ascii="NewsGotT" w:hAnsi="NewsGotT"/>
          <w:noProof/>
        </w:rPr>
        <w:t xml:space="preserve">, </w:t>
      </w:r>
      <w:r w:rsidRPr="00E7097C">
        <w:rPr>
          <w:rFonts w:ascii="NewsGotT" w:hAnsi="NewsGotT"/>
          <w:i/>
          <w:iCs/>
          <w:noProof/>
        </w:rPr>
        <w:t>28</w:t>
      </w:r>
      <w:r w:rsidRPr="00E7097C">
        <w:rPr>
          <w:rFonts w:ascii="NewsGotT" w:hAnsi="NewsGotT"/>
          <w:noProof/>
        </w:rPr>
        <w:t>(2), 184–196. https://doi.org/10.1111/acem.14190</w:t>
      </w:r>
    </w:p>
    <w:p w14:paraId="1C3E6D0A"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E7097C">
        <w:rPr>
          <w:rFonts w:ascii="NewsGotT" w:hAnsi="NewsGotT"/>
          <w:i/>
          <w:iCs/>
          <w:noProof/>
        </w:rPr>
        <w:t>General Hospital Psychiatry</w:t>
      </w:r>
      <w:r w:rsidRPr="00E7097C">
        <w:rPr>
          <w:rFonts w:ascii="NewsGotT" w:hAnsi="NewsGotT"/>
          <w:noProof/>
        </w:rPr>
        <w:t xml:space="preserve">, </w:t>
      </w:r>
      <w:r w:rsidRPr="00E7097C">
        <w:rPr>
          <w:rFonts w:ascii="NewsGotT" w:hAnsi="NewsGotT"/>
          <w:i/>
          <w:iCs/>
          <w:noProof/>
        </w:rPr>
        <w:t>36</w:t>
      </w:r>
      <w:r w:rsidRPr="00E7097C">
        <w:rPr>
          <w:rFonts w:ascii="NewsGotT" w:hAnsi="NewsGotT"/>
          <w:noProof/>
        </w:rPr>
        <w:t>(2), 156–164. https://doi.org/10.1016/j.genhosppsych.2013.10.010</w:t>
      </w:r>
    </w:p>
    <w:p w14:paraId="21E9E4D6"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Laird, J. E., Newell, A., &amp; Rosenbloom, P. S. (1987). An integrative architecture for general intelligence and. </w:t>
      </w:r>
      <w:r w:rsidRPr="00E7097C">
        <w:rPr>
          <w:rFonts w:ascii="NewsGotT" w:hAnsi="NewsGotT"/>
          <w:i/>
          <w:iCs/>
          <w:noProof/>
        </w:rPr>
        <w:t>Artificial Intelligence</w:t>
      </w:r>
      <w:r w:rsidRPr="00E7097C">
        <w:rPr>
          <w:rFonts w:ascii="NewsGotT" w:hAnsi="NewsGotT"/>
          <w:noProof/>
        </w:rPr>
        <w:t xml:space="preserve">, </w:t>
      </w:r>
      <w:r w:rsidRPr="00E7097C">
        <w:rPr>
          <w:rFonts w:ascii="NewsGotT" w:hAnsi="NewsGotT"/>
          <w:i/>
          <w:iCs/>
          <w:noProof/>
        </w:rPr>
        <w:t>33</w:t>
      </w:r>
      <w:r w:rsidRPr="00E7097C">
        <w:rPr>
          <w:rFonts w:ascii="NewsGotT" w:hAnsi="NewsGotT"/>
          <w:noProof/>
        </w:rPr>
        <w:t>(1987), 1–64.</w:t>
      </w:r>
    </w:p>
    <w:p w14:paraId="24FCB52B"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Laurila, J. V., Laakkonen, M. L., Strandberg, T. E., &amp; Tilvis, R. S. (2008). Predisposing and precipitating factors for delirium in a frail geriatric population. </w:t>
      </w:r>
      <w:r w:rsidRPr="00E7097C">
        <w:rPr>
          <w:rFonts w:ascii="NewsGotT" w:hAnsi="NewsGotT"/>
          <w:i/>
          <w:iCs/>
          <w:noProof/>
        </w:rPr>
        <w:t>Journal of Psychosomatic Research</w:t>
      </w:r>
      <w:r w:rsidRPr="00E7097C">
        <w:rPr>
          <w:rFonts w:ascii="NewsGotT" w:hAnsi="NewsGotT"/>
          <w:noProof/>
        </w:rPr>
        <w:t xml:space="preserve">, </w:t>
      </w:r>
      <w:r w:rsidRPr="00E7097C">
        <w:rPr>
          <w:rFonts w:ascii="NewsGotT" w:hAnsi="NewsGotT"/>
          <w:i/>
          <w:iCs/>
          <w:noProof/>
        </w:rPr>
        <w:t>65</w:t>
      </w:r>
      <w:r w:rsidRPr="00E7097C">
        <w:rPr>
          <w:rFonts w:ascii="NewsGotT" w:hAnsi="NewsGotT"/>
          <w:noProof/>
        </w:rPr>
        <w:t>(3), 249–254. https://doi.org/10.1016/j.jpsychores.2008.05.026</w:t>
      </w:r>
    </w:p>
    <w:p w14:paraId="0DBEFAC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E7097C">
        <w:rPr>
          <w:rFonts w:ascii="NewsGotT" w:hAnsi="NewsGotT"/>
          <w:i/>
          <w:iCs/>
          <w:noProof/>
        </w:rPr>
        <w:t>Archives of Internal Medicine</w:t>
      </w:r>
      <w:r w:rsidRPr="00E7097C">
        <w:rPr>
          <w:rFonts w:ascii="NewsGotT" w:hAnsi="NewsGotT"/>
          <w:noProof/>
        </w:rPr>
        <w:t xml:space="preserve">, </w:t>
      </w:r>
      <w:r w:rsidRPr="00E7097C">
        <w:rPr>
          <w:rFonts w:ascii="NewsGotT" w:hAnsi="NewsGotT"/>
          <w:i/>
          <w:iCs/>
          <w:noProof/>
        </w:rPr>
        <w:t>160</w:t>
      </w:r>
      <w:r w:rsidRPr="00E7097C">
        <w:rPr>
          <w:rFonts w:ascii="NewsGotT" w:hAnsi="NewsGotT"/>
          <w:noProof/>
        </w:rPr>
        <w:t>(6), 786–794. https://doi.org/10.1001/archinte.160.6.786</w:t>
      </w:r>
    </w:p>
    <w:p w14:paraId="72A77B0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Lee-Archer, P. F., von Ungern-Sternberg, B. S., Reade, M. C., Law, K. C., &amp; Long, D. (2021). An observational study of hypoactive delirium in the post-anesthesia recovery unit of a pediatric hospital. </w:t>
      </w:r>
      <w:r w:rsidRPr="00E7097C">
        <w:rPr>
          <w:rFonts w:ascii="NewsGotT" w:hAnsi="NewsGotT"/>
          <w:i/>
          <w:iCs/>
          <w:noProof/>
        </w:rPr>
        <w:t>Paediatric Anaesthesia</w:t>
      </w:r>
      <w:r w:rsidRPr="00E7097C">
        <w:rPr>
          <w:rFonts w:ascii="NewsGotT" w:hAnsi="NewsGotT"/>
          <w:noProof/>
        </w:rPr>
        <w:t>, (September 2020), 429–435. https://doi.org/10.1111/pan.14122</w:t>
      </w:r>
    </w:p>
    <w:p w14:paraId="1E28D554"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lastRenderedPageBreak/>
        <w:t xml:space="preserve">Lee, S., Mueller, B., Nick Street, W., &amp; M. Carnahan, R. (2021). Machine learning algorithm to predict delirium from emergency department data. </w:t>
      </w:r>
      <w:r w:rsidRPr="00E7097C">
        <w:rPr>
          <w:rFonts w:ascii="NewsGotT" w:hAnsi="NewsGotT"/>
          <w:i/>
          <w:iCs/>
          <w:noProof/>
        </w:rPr>
        <w:t>BMJ</w:t>
      </w:r>
      <w:r w:rsidRPr="00E7097C">
        <w:rPr>
          <w:rFonts w:ascii="NewsGotT" w:hAnsi="NewsGotT"/>
          <w:noProof/>
        </w:rPr>
        <w:t>. https://doi.org/https://doi.org/10.1101/2021.02.19.21251956</w:t>
      </w:r>
    </w:p>
    <w:p w14:paraId="1F8CBA2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Leonard, M. M., Nekolaichuk, C., Meagher, D. J., Barnes, C., Gaudreau, J. D., Watanabe, S., … Lawlor, P. G. (2014). Practical assessment of delirium in palliative care. </w:t>
      </w:r>
      <w:r w:rsidRPr="00E7097C">
        <w:rPr>
          <w:rFonts w:ascii="NewsGotT" w:hAnsi="NewsGotT"/>
          <w:i/>
          <w:iCs/>
          <w:noProof/>
        </w:rPr>
        <w:t>Journal of Pain and Symptom Management</w:t>
      </w:r>
      <w:r w:rsidRPr="00E7097C">
        <w:rPr>
          <w:rFonts w:ascii="NewsGotT" w:hAnsi="NewsGotT"/>
          <w:noProof/>
        </w:rPr>
        <w:t xml:space="preserve">, </w:t>
      </w:r>
      <w:r w:rsidRPr="00E7097C">
        <w:rPr>
          <w:rFonts w:ascii="NewsGotT" w:hAnsi="NewsGotT"/>
          <w:i/>
          <w:iCs/>
          <w:noProof/>
        </w:rPr>
        <w:t>48</w:t>
      </w:r>
      <w:r w:rsidRPr="00E7097C">
        <w:rPr>
          <w:rFonts w:ascii="NewsGotT" w:hAnsi="NewsGotT"/>
          <w:noProof/>
        </w:rPr>
        <w:t>(2), 176–190. https://doi.org/10.1016/j.jpainsymman.2013.10.024</w:t>
      </w:r>
    </w:p>
    <w:p w14:paraId="74CD49D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E7097C">
        <w:rPr>
          <w:rFonts w:ascii="NewsGotT" w:hAnsi="NewsGotT"/>
          <w:i/>
          <w:iCs/>
          <w:noProof/>
        </w:rPr>
        <w:t>Nursing in Critical Care</w:t>
      </w:r>
      <w:r w:rsidRPr="00E7097C">
        <w:rPr>
          <w:rFonts w:ascii="NewsGotT" w:hAnsi="NewsGotT"/>
          <w:noProof/>
        </w:rPr>
        <w:t>, (August), 1–7. https://doi.org/10.1111/nicc.12550</w:t>
      </w:r>
    </w:p>
    <w:p w14:paraId="0295E23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Libbrecht, M. W., &amp; Noble, W. S. (2015). Machine learning applications in genetics and genomics. </w:t>
      </w:r>
      <w:r w:rsidRPr="00E7097C">
        <w:rPr>
          <w:rFonts w:ascii="NewsGotT" w:hAnsi="NewsGotT"/>
          <w:i/>
          <w:iCs/>
          <w:noProof/>
        </w:rPr>
        <w:t>Nature Reviews Genetics</w:t>
      </w:r>
      <w:r w:rsidRPr="00E7097C">
        <w:rPr>
          <w:rFonts w:ascii="NewsGotT" w:hAnsi="NewsGotT"/>
          <w:noProof/>
        </w:rPr>
        <w:t xml:space="preserve">, </w:t>
      </w:r>
      <w:r w:rsidRPr="00E7097C">
        <w:rPr>
          <w:rFonts w:ascii="NewsGotT" w:hAnsi="NewsGotT"/>
          <w:i/>
          <w:iCs/>
          <w:noProof/>
        </w:rPr>
        <w:t>16</w:t>
      </w:r>
      <w:r w:rsidRPr="00E7097C">
        <w:rPr>
          <w:rFonts w:ascii="NewsGotT" w:hAnsi="NewsGotT"/>
          <w:noProof/>
        </w:rPr>
        <w:t>(6), 321–332. https://doi.org/10.1038/nrg3920</w:t>
      </w:r>
    </w:p>
    <w:p w14:paraId="4B144B9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Lipowski, Z. J. (1987). Delirium (Acute Confusional State). </w:t>
      </w:r>
      <w:r w:rsidRPr="00E7097C">
        <w:rPr>
          <w:rFonts w:ascii="NewsGotT" w:hAnsi="NewsGotT"/>
          <w:i/>
          <w:iCs/>
          <w:noProof/>
        </w:rPr>
        <w:t>JAMA</w:t>
      </w:r>
      <w:r w:rsidRPr="00E7097C">
        <w:rPr>
          <w:rFonts w:ascii="NewsGotT" w:hAnsi="NewsGotT"/>
          <w:noProof/>
        </w:rPr>
        <w:t>, 1789–1792. https://doi.org/doi:10.1001/jama.1987.03400130103041</w:t>
      </w:r>
    </w:p>
    <w:p w14:paraId="64A4EA7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Lipowski, Zbigniew J. (1991). Delirium: How Its Concept Has Developed. </w:t>
      </w:r>
      <w:r w:rsidRPr="00E7097C">
        <w:rPr>
          <w:rFonts w:ascii="NewsGotT" w:hAnsi="NewsGotT"/>
          <w:i/>
          <w:iCs/>
          <w:noProof/>
        </w:rPr>
        <w:t>International Psychogeriatrics</w:t>
      </w:r>
      <w:r w:rsidRPr="00E7097C">
        <w:rPr>
          <w:rFonts w:ascii="NewsGotT" w:hAnsi="NewsGotT"/>
          <w:noProof/>
        </w:rPr>
        <w:t xml:space="preserve">, </w:t>
      </w:r>
      <w:r w:rsidRPr="00E7097C">
        <w:rPr>
          <w:rFonts w:ascii="NewsGotT" w:hAnsi="NewsGotT"/>
          <w:i/>
          <w:iCs/>
          <w:noProof/>
        </w:rPr>
        <w:t>3</w:t>
      </w:r>
      <w:r w:rsidRPr="00E7097C">
        <w:rPr>
          <w:rFonts w:ascii="NewsGotT" w:hAnsi="NewsGotT"/>
          <w:noProof/>
        </w:rPr>
        <w:t>(2), 115–120. https://doi.org/10.1017/S1041610291000595</w:t>
      </w:r>
    </w:p>
    <w:p w14:paraId="25C41626"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Lôbo, R. R., Silva Filho, S. R. B., Lima, N. K. C., Ferriolli, E., &amp; Moriguti, J. C. (2010). Delirium. </w:t>
      </w:r>
      <w:r w:rsidRPr="00E7097C">
        <w:rPr>
          <w:rFonts w:ascii="NewsGotT" w:hAnsi="NewsGotT"/>
          <w:i/>
          <w:iCs/>
          <w:noProof/>
        </w:rPr>
        <w:t>Medicina (Ribeirao Preto. Online)</w:t>
      </w:r>
      <w:r w:rsidRPr="00E7097C">
        <w:rPr>
          <w:rFonts w:ascii="NewsGotT" w:hAnsi="NewsGotT"/>
          <w:noProof/>
        </w:rPr>
        <w:t xml:space="preserve">, </w:t>
      </w:r>
      <w:r w:rsidRPr="00E7097C">
        <w:rPr>
          <w:rFonts w:ascii="NewsGotT" w:hAnsi="NewsGotT"/>
          <w:i/>
          <w:iCs/>
          <w:noProof/>
        </w:rPr>
        <w:t>43</w:t>
      </w:r>
      <w:r w:rsidRPr="00E7097C">
        <w:rPr>
          <w:rFonts w:ascii="NewsGotT" w:hAnsi="NewsGotT"/>
          <w:noProof/>
        </w:rPr>
        <w:t>(3), 249–257. https://doi.org/10.11606/issn.2176-7262.v43i3p249-257</w:t>
      </w:r>
    </w:p>
    <w:p w14:paraId="6E9282B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Lüllmann, H., Mohr, K., &amp; Hein, L. (2018). </w:t>
      </w:r>
      <w:r w:rsidRPr="00E7097C">
        <w:rPr>
          <w:rFonts w:ascii="NewsGotT" w:hAnsi="NewsGotT"/>
          <w:i/>
          <w:iCs/>
          <w:noProof/>
        </w:rPr>
        <w:t>Color Atlas of Pharmacology</w:t>
      </w:r>
      <w:r w:rsidRPr="00E7097C">
        <w:rPr>
          <w:rFonts w:ascii="NewsGotT" w:hAnsi="NewsGotT"/>
          <w:noProof/>
        </w:rPr>
        <w:t xml:space="preserve"> (Fifth). Thieme.</w:t>
      </w:r>
    </w:p>
    <w:p w14:paraId="05AEDC84"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MacLullich, A. M. J., Ferguson, K. J., Miller, T., de Rooij, S. E. J. A., &amp; Cunningham, C. (2008). Unravelling the pathophysiology of delirium: A focus on the role of aberrant stress responses. </w:t>
      </w:r>
      <w:r w:rsidRPr="00E7097C">
        <w:rPr>
          <w:rFonts w:ascii="NewsGotT" w:hAnsi="NewsGotT"/>
          <w:i/>
          <w:iCs/>
          <w:noProof/>
        </w:rPr>
        <w:t>Journal of Psychosomatic Research</w:t>
      </w:r>
      <w:r w:rsidRPr="00E7097C">
        <w:rPr>
          <w:rFonts w:ascii="NewsGotT" w:hAnsi="NewsGotT"/>
          <w:noProof/>
        </w:rPr>
        <w:t xml:space="preserve">, </w:t>
      </w:r>
      <w:r w:rsidRPr="00E7097C">
        <w:rPr>
          <w:rFonts w:ascii="NewsGotT" w:hAnsi="NewsGotT"/>
          <w:i/>
          <w:iCs/>
          <w:noProof/>
        </w:rPr>
        <w:t>65</w:t>
      </w:r>
      <w:r w:rsidRPr="00E7097C">
        <w:rPr>
          <w:rFonts w:ascii="NewsGotT" w:hAnsi="NewsGotT"/>
          <w:noProof/>
        </w:rPr>
        <w:t>(3), 229–238. https://doi.org/10.1016/j.jpsychores.2008.05.019</w:t>
      </w:r>
    </w:p>
    <w:p w14:paraId="204E62A3"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Maldonado, J. R. (2018). Delirium pathophysiology: An updated hypothesis of the etiology of acute brain failure. </w:t>
      </w:r>
      <w:r w:rsidRPr="00E7097C">
        <w:rPr>
          <w:rFonts w:ascii="NewsGotT" w:hAnsi="NewsGotT"/>
          <w:i/>
          <w:iCs/>
          <w:noProof/>
        </w:rPr>
        <w:t>International Journal of Geriatric Psychiatry</w:t>
      </w:r>
      <w:r w:rsidRPr="00E7097C">
        <w:rPr>
          <w:rFonts w:ascii="NewsGotT" w:hAnsi="NewsGotT"/>
          <w:noProof/>
        </w:rPr>
        <w:t xml:space="preserve">, </w:t>
      </w:r>
      <w:r w:rsidRPr="00E7097C">
        <w:rPr>
          <w:rFonts w:ascii="NewsGotT" w:hAnsi="NewsGotT"/>
          <w:i/>
          <w:iCs/>
          <w:noProof/>
        </w:rPr>
        <w:t>33</w:t>
      </w:r>
      <w:r w:rsidRPr="00E7097C">
        <w:rPr>
          <w:rFonts w:ascii="NewsGotT" w:hAnsi="NewsGotT"/>
          <w:noProof/>
        </w:rPr>
        <w:t>(11), 1428–1457. https://doi.org/10.1002/gps.4823</w:t>
      </w:r>
    </w:p>
    <w:p w14:paraId="7A2AC0E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Martins, S., &amp; Fernandes, L. (2012). Delirium in elderly people: A review. </w:t>
      </w:r>
      <w:r w:rsidRPr="00E7097C">
        <w:rPr>
          <w:rFonts w:ascii="NewsGotT" w:hAnsi="NewsGotT"/>
          <w:i/>
          <w:iCs/>
          <w:noProof/>
        </w:rPr>
        <w:t>Frontiers in Neurology</w:t>
      </w:r>
      <w:r w:rsidRPr="00E7097C">
        <w:rPr>
          <w:rFonts w:ascii="NewsGotT" w:hAnsi="NewsGotT"/>
          <w:noProof/>
        </w:rPr>
        <w:t xml:space="preserve">, </w:t>
      </w:r>
      <w:r w:rsidRPr="00E7097C">
        <w:rPr>
          <w:rFonts w:ascii="NewsGotT" w:hAnsi="NewsGotT"/>
          <w:i/>
          <w:iCs/>
          <w:noProof/>
        </w:rPr>
        <w:t>JUN</w:t>
      </w:r>
      <w:r w:rsidRPr="00E7097C">
        <w:rPr>
          <w:rFonts w:ascii="NewsGotT" w:hAnsi="NewsGotT"/>
          <w:noProof/>
        </w:rPr>
        <w:t>(June), 1–12. https://doi.org/10.3389/fneur.2012.00101</w:t>
      </w:r>
    </w:p>
    <w:p w14:paraId="55377F3D"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McCorduck, P. (2004). </w:t>
      </w:r>
      <w:r w:rsidRPr="00E7097C">
        <w:rPr>
          <w:rFonts w:ascii="NewsGotT" w:hAnsi="NewsGotT"/>
          <w:i/>
          <w:iCs/>
          <w:noProof/>
        </w:rPr>
        <w:t>Machines Who Think</w:t>
      </w:r>
      <w:r w:rsidRPr="00E7097C">
        <w:rPr>
          <w:rFonts w:ascii="NewsGotT" w:hAnsi="NewsGotT"/>
          <w:noProof/>
        </w:rPr>
        <w:t xml:space="preserve">. </w:t>
      </w:r>
      <w:r w:rsidRPr="00E7097C">
        <w:rPr>
          <w:rFonts w:ascii="NewsGotT" w:hAnsi="NewsGotT"/>
          <w:i/>
          <w:iCs/>
          <w:noProof/>
        </w:rPr>
        <w:t>A K Peters, Ltd.</w:t>
      </w:r>
      <w:r w:rsidRPr="00E7097C">
        <w:rPr>
          <w:rFonts w:ascii="NewsGotT" w:hAnsi="NewsGotT"/>
          <w:noProof/>
        </w:rPr>
        <w:t xml:space="preserve"> Natick, MA: A K Peters, Ltd. https://doi.org/10.1126/science.254.5036.1291-a</w:t>
      </w:r>
    </w:p>
    <w:p w14:paraId="4D1923D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McCulloch, W. S., &amp; Pits, W. (1943). A LOGICAL CALCULUS OF THE IDEAS IMMANENT IN NERVOUS ACTIVITY. </w:t>
      </w:r>
      <w:r w:rsidRPr="00E7097C">
        <w:rPr>
          <w:rFonts w:ascii="NewsGotT" w:hAnsi="NewsGotT"/>
          <w:i/>
          <w:iCs/>
          <w:noProof/>
        </w:rPr>
        <w:t>Bullentin of Mathematical</w:t>
      </w:r>
      <w:r w:rsidRPr="00E7097C">
        <w:rPr>
          <w:rFonts w:ascii="NewsGotT" w:hAnsi="NewsGotT"/>
          <w:noProof/>
        </w:rPr>
        <w:t xml:space="preserve">, </w:t>
      </w:r>
      <w:r w:rsidRPr="00E7097C">
        <w:rPr>
          <w:rFonts w:ascii="NewsGotT" w:hAnsi="NewsGotT"/>
          <w:i/>
          <w:iCs/>
          <w:noProof/>
        </w:rPr>
        <w:t>5</w:t>
      </w:r>
      <w:r w:rsidRPr="00E7097C">
        <w:rPr>
          <w:rFonts w:ascii="NewsGotT" w:hAnsi="NewsGotT"/>
          <w:noProof/>
        </w:rPr>
        <w:t>, 115–133.</w:t>
      </w:r>
    </w:p>
    <w:p w14:paraId="588109C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Meagher, D. J., MacLullich, A. M. J., &amp; Laurila, J. V. (2008). Defining delirium for the International Classification of Diseases, 11th Revision. </w:t>
      </w:r>
      <w:r w:rsidRPr="00E7097C">
        <w:rPr>
          <w:rFonts w:ascii="NewsGotT" w:hAnsi="NewsGotT"/>
          <w:i/>
          <w:iCs/>
          <w:noProof/>
        </w:rPr>
        <w:t>Journal of Psychosomatic Research</w:t>
      </w:r>
      <w:r w:rsidRPr="00E7097C">
        <w:rPr>
          <w:rFonts w:ascii="NewsGotT" w:hAnsi="NewsGotT"/>
          <w:noProof/>
        </w:rPr>
        <w:t xml:space="preserve">, </w:t>
      </w:r>
      <w:r w:rsidRPr="00E7097C">
        <w:rPr>
          <w:rFonts w:ascii="NewsGotT" w:hAnsi="NewsGotT"/>
          <w:i/>
          <w:iCs/>
          <w:noProof/>
        </w:rPr>
        <w:t>65</w:t>
      </w:r>
      <w:r w:rsidRPr="00E7097C">
        <w:rPr>
          <w:rFonts w:ascii="NewsGotT" w:hAnsi="NewsGotT"/>
          <w:noProof/>
        </w:rPr>
        <w:t>(3), 207–214. https://doi.org/10.1016/j.jpsychores.2008.05.015</w:t>
      </w:r>
    </w:p>
    <w:p w14:paraId="69602DB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Meltzer, H. Y. (2013). Update on Typical and Atypical Antipsychotic Drugs. </w:t>
      </w:r>
      <w:r w:rsidRPr="00E7097C">
        <w:rPr>
          <w:rFonts w:ascii="NewsGotT" w:hAnsi="NewsGotT"/>
          <w:i/>
          <w:iCs/>
          <w:noProof/>
        </w:rPr>
        <w:t>Annual Review of Medicine</w:t>
      </w:r>
      <w:r w:rsidRPr="00E7097C">
        <w:rPr>
          <w:rFonts w:ascii="NewsGotT" w:hAnsi="NewsGotT"/>
          <w:noProof/>
        </w:rPr>
        <w:t xml:space="preserve">, </w:t>
      </w:r>
      <w:r w:rsidRPr="00E7097C">
        <w:rPr>
          <w:rFonts w:ascii="NewsGotT" w:hAnsi="NewsGotT"/>
          <w:i/>
          <w:iCs/>
          <w:noProof/>
        </w:rPr>
        <w:t>64</w:t>
      </w:r>
      <w:r w:rsidRPr="00E7097C">
        <w:rPr>
          <w:rFonts w:ascii="NewsGotT" w:hAnsi="NewsGotT"/>
          <w:noProof/>
        </w:rPr>
        <w:t>(1), 393–406. https://doi.org/10.1146/annurev-med-050911-161504</w:t>
      </w:r>
    </w:p>
    <w:p w14:paraId="29C6C84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Michalski, R. S., Carbonell, J. G., &amp; Mitchell, T. M. (1983). </w:t>
      </w:r>
      <w:r w:rsidRPr="00E7097C">
        <w:rPr>
          <w:rFonts w:ascii="NewsGotT" w:hAnsi="NewsGotT"/>
          <w:i/>
          <w:iCs/>
          <w:noProof/>
        </w:rPr>
        <w:t>Machine Learning</w:t>
      </w:r>
      <w:r w:rsidRPr="00E7097C">
        <w:rPr>
          <w:rFonts w:ascii="NewsGotT" w:hAnsi="NewsGotT"/>
          <w:noProof/>
        </w:rPr>
        <w:t>. Berlin, Heidelberg: Springer Berlin Heidelberg. https://doi.org/10.1007/978-3-662-12405-5</w:t>
      </w:r>
    </w:p>
    <w:p w14:paraId="49FF37B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Michaud, L., Büla, C., Berney, A., Camus, V., Voellinger, R., Stiefel, F., &amp; Burnand, B. (2007). Delirium: Guidelines for general hospitals. </w:t>
      </w:r>
      <w:r w:rsidRPr="00E7097C">
        <w:rPr>
          <w:rFonts w:ascii="NewsGotT" w:hAnsi="NewsGotT"/>
          <w:i/>
          <w:iCs/>
          <w:noProof/>
        </w:rPr>
        <w:t>Journal of Psychosomatic Research</w:t>
      </w:r>
      <w:r w:rsidRPr="00E7097C">
        <w:rPr>
          <w:rFonts w:ascii="NewsGotT" w:hAnsi="NewsGotT"/>
          <w:noProof/>
        </w:rPr>
        <w:t xml:space="preserve">, </w:t>
      </w:r>
      <w:r w:rsidRPr="00E7097C">
        <w:rPr>
          <w:rFonts w:ascii="NewsGotT" w:hAnsi="NewsGotT"/>
          <w:i/>
          <w:iCs/>
          <w:noProof/>
        </w:rPr>
        <w:t>62</w:t>
      </w:r>
      <w:r w:rsidRPr="00E7097C">
        <w:rPr>
          <w:rFonts w:ascii="NewsGotT" w:hAnsi="NewsGotT"/>
          <w:noProof/>
        </w:rPr>
        <w:t>(3), 371–383. https://doi.org/10.1016/j.jpsychores.2006.10.004</w:t>
      </w:r>
    </w:p>
    <w:p w14:paraId="5F097073"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Ministério da Saúde. (2006). DL n</w:t>
      </w:r>
      <w:r w:rsidRPr="00E7097C">
        <w:rPr>
          <w:rFonts w:ascii="NewsGotT" w:hAnsi="NewsGotT"/>
          <w:noProof/>
          <w:vertAlign w:val="superscript"/>
        </w:rPr>
        <w:t>o</w:t>
      </w:r>
      <w:r w:rsidRPr="00E7097C">
        <w:rPr>
          <w:rFonts w:ascii="NewsGotT" w:hAnsi="NewsGotT"/>
          <w:noProof/>
        </w:rPr>
        <w:t xml:space="preserve"> 176/2006 de 30 de agosto. </w:t>
      </w:r>
      <w:r w:rsidRPr="00E7097C">
        <w:rPr>
          <w:rFonts w:ascii="NewsGotT" w:hAnsi="NewsGotT"/>
          <w:i/>
          <w:iCs/>
          <w:noProof/>
        </w:rPr>
        <w:t>Diário Da República 1</w:t>
      </w:r>
      <w:r w:rsidRPr="00E7097C">
        <w:rPr>
          <w:rFonts w:ascii="NewsGotT" w:hAnsi="NewsGotT"/>
          <w:i/>
          <w:iCs/>
          <w:noProof/>
          <w:vertAlign w:val="superscript"/>
        </w:rPr>
        <w:t>a</w:t>
      </w:r>
      <w:r w:rsidRPr="00E7097C">
        <w:rPr>
          <w:rFonts w:ascii="NewsGotT" w:hAnsi="NewsGotT"/>
          <w:i/>
          <w:iCs/>
          <w:noProof/>
        </w:rPr>
        <w:t xml:space="preserve"> Série</w:t>
      </w:r>
      <w:r w:rsidRPr="00E7097C">
        <w:rPr>
          <w:rFonts w:ascii="NewsGotT" w:hAnsi="NewsGotT"/>
          <w:noProof/>
        </w:rPr>
        <w:t>, 6297–6303. Retrieved from http://www.portaldasaude.pt/NR/rdonlyres/D2D959FC-A937-4850-B0DC-B60E04F2108B/0/62976383.pdf</w:t>
      </w:r>
    </w:p>
    <w:p w14:paraId="082BC71E"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Mitchell, T. M. (1999). Machine learning and data mining. </w:t>
      </w:r>
      <w:r w:rsidRPr="00E7097C">
        <w:rPr>
          <w:rFonts w:ascii="NewsGotT" w:hAnsi="NewsGotT"/>
          <w:i/>
          <w:iCs/>
          <w:noProof/>
        </w:rPr>
        <w:t>Communications of the ACM</w:t>
      </w:r>
      <w:r w:rsidRPr="00E7097C">
        <w:rPr>
          <w:rFonts w:ascii="NewsGotT" w:hAnsi="NewsGotT"/>
          <w:noProof/>
        </w:rPr>
        <w:t xml:space="preserve">, </w:t>
      </w:r>
      <w:r w:rsidRPr="00E7097C">
        <w:rPr>
          <w:rFonts w:ascii="NewsGotT" w:hAnsi="NewsGotT"/>
          <w:i/>
          <w:iCs/>
          <w:noProof/>
        </w:rPr>
        <w:t>42</w:t>
      </w:r>
      <w:r w:rsidRPr="00E7097C">
        <w:rPr>
          <w:rFonts w:ascii="NewsGotT" w:hAnsi="NewsGotT"/>
          <w:noProof/>
        </w:rPr>
        <w:t>(11), 30–46. https://doi.org/10.1145/319382.319388</w:t>
      </w:r>
    </w:p>
    <w:p w14:paraId="12828D7D"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Mitchell, Tom M. (1997). </w:t>
      </w:r>
      <w:r w:rsidRPr="00E7097C">
        <w:rPr>
          <w:rFonts w:ascii="NewsGotT" w:hAnsi="NewsGotT"/>
          <w:i/>
          <w:iCs/>
          <w:noProof/>
        </w:rPr>
        <w:t>Machine Learning</w:t>
      </w:r>
      <w:r w:rsidRPr="00E7097C">
        <w:rPr>
          <w:rFonts w:ascii="NewsGotT" w:hAnsi="NewsGotT"/>
          <w:noProof/>
        </w:rPr>
        <w:t>. McGraw-Hill Science/Engineering/Math.</w:t>
      </w:r>
    </w:p>
    <w:p w14:paraId="357AA1BE"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lastRenderedPageBreak/>
        <w:t xml:space="preserve">Mittal, V., Muralee, S., Williamson, D., McEnerney, N., Thomas, J., Cash, M., &amp; Tampi, R. R. (2011). Delirium in the elderly: A comprehensive review. </w:t>
      </w:r>
      <w:r w:rsidRPr="00E7097C">
        <w:rPr>
          <w:rFonts w:ascii="NewsGotT" w:hAnsi="NewsGotT"/>
          <w:i/>
          <w:iCs/>
          <w:noProof/>
        </w:rPr>
        <w:t>American Journal of Alzheimer’s Disease and Other Dementias</w:t>
      </w:r>
      <w:r w:rsidRPr="00E7097C">
        <w:rPr>
          <w:rFonts w:ascii="NewsGotT" w:hAnsi="NewsGotT"/>
          <w:noProof/>
        </w:rPr>
        <w:t xml:space="preserve">, </w:t>
      </w:r>
      <w:r w:rsidRPr="00E7097C">
        <w:rPr>
          <w:rFonts w:ascii="NewsGotT" w:hAnsi="NewsGotT"/>
          <w:i/>
          <w:iCs/>
          <w:noProof/>
        </w:rPr>
        <w:t>26</w:t>
      </w:r>
      <w:r w:rsidRPr="00E7097C">
        <w:rPr>
          <w:rFonts w:ascii="NewsGotT" w:hAnsi="NewsGotT"/>
          <w:noProof/>
        </w:rPr>
        <w:t>(2), 97–109. https://doi.org/10.1177/1533317510397331</w:t>
      </w:r>
    </w:p>
    <w:p w14:paraId="3C9BCBBE"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E7097C">
        <w:rPr>
          <w:rFonts w:ascii="NewsGotT" w:hAnsi="NewsGotT"/>
          <w:i/>
          <w:iCs/>
          <w:noProof/>
        </w:rPr>
        <w:t>Intensive Care Medicine</w:t>
      </w:r>
      <w:r w:rsidRPr="00E7097C">
        <w:rPr>
          <w:rFonts w:ascii="NewsGotT" w:hAnsi="NewsGotT"/>
          <w:noProof/>
        </w:rPr>
        <w:t xml:space="preserve">, </w:t>
      </w:r>
      <w:r w:rsidRPr="00E7097C">
        <w:rPr>
          <w:rFonts w:ascii="NewsGotT" w:hAnsi="NewsGotT"/>
          <w:i/>
          <w:iCs/>
          <w:noProof/>
        </w:rPr>
        <w:t>34</w:t>
      </w:r>
      <w:r w:rsidRPr="00E7097C">
        <w:rPr>
          <w:rFonts w:ascii="NewsGotT" w:hAnsi="NewsGotT"/>
          <w:noProof/>
        </w:rPr>
        <w:t>(10), 1907–1915. https://doi.org/10.1007/s00134-008-1177-6</w:t>
      </w:r>
    </w:p>
    <w:p w14:paraId="3FE40A1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Murphy, K. P. (2012). </w:t>
      </w:r>
      <w:r w:rsidRPr="00E7097C">
        <w:rPr>
          <w:rFonts w:ascii="NewsGotT" w:hAnsi="NewsGotT"/>
          <w:i/>
          <w:iCs/>
          <w:noProof/>
        </w:rPr>
        <w:t>Machine learning: A Probabilistic Perspective</w:t>
      </w:r>
      <w:r w:rsidRPr="00E7097C">
        <w:rPr>
          <w:rFonts w:ascii="NewsGotT" w:hAnsi="NewsGotT"/>
          <w:noProof/>
        </w:rPr>
        <w:t xml:space="preserve">. </w:t>
      </w:r>
      <w:r w:rsidRPr="00E7097C">
        <w:rPr>
          <w:rFonts w:ascii="NewsGotT" w:hAnsi="NewsGotT"/>
          <w:i/>
          <w:iCs/>
          <w:noProof/>
        </w:rPr>
        <w:t>Expert Systems</w:t>
      </w:r>
      <w:r w:rsidRPr="00E7097C">
        <w:rPr>
          <w:rFonts w:ascii="NewsGotT" w:hAnsi="NewsGotT"/>
          <w:noProof/>
        </w:rPr>
        <w:t xml:space="preserve"> (Vol. 5). The MIT Press. https://doi.org/10.1111/j.1468-0394.1988.tb00341.x</w:t>
      </w:r>
    </w:p>
    <w:p w14:paraId="2A632A6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Nagari, N., &amp; Suresh Babu, M. (2019). Assessment of risk factors and precipitating factors of delirium in patients admitted to intensive care unit of a tertiary care hospital. </w:t>
      </w:r>
      <w:r w:rsidRPr="00E7097C">
        <w:rPr>
          <w:rFonts w:ascii="NewsGotT" w:hAnsi="NewsGotT"/>
          <w:i/>
          <w:iCs/>
          <w:noProof/>
        </w:rPr>
        <w:t>British Journal of Medical Practitioners</w:t>
      </w:r>
      <w:r w:rsidRPr="00E7097C">
        <w:rPr>
          <w:rFonts w:ascii="NewsGotT" w:hAnsi="NewsGotT"/>
          <w:noProof/>
        </w:rPr>
        <w:t xml:space="preserve">, </w:t>
      </w:r>
      <w:r w:rsidRPr="00E7097C">
        <w:rPr>
          <w:rFonts w:ascii="NewsGotT" w:hAnsi="NewsGotT"/>
          <w:i/>
          <w:iCs/>
          <w:noProof/>
        </w:rPr>
        <w:t>12</w:t>
      </w:r>
      <w:r w:rsidRPr="00E7097C">
        <w:rPr>
          <w:rFonts w:ascii="NewsGotT" w:hAnsi="NewsGotT"/>
          <w:noProof/>
        </w:rPr>
        <w:t>(2).</w:t>
      </w:r>
    </w:p>
    <w:p w14:paraId="395EB7C4"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Nemati, S., Holder, A., Razmi, F., Stanley, M. D., Clifford, G. D., &amp; Buchman, T. G. (2018). An Interpretable Machine Learning Model for Accurate Prediction of Sepsis in the ICU. </w:t>
      </w:r>
      <w:r w:rsidRPr="00E7097C">
        <w:rPr>
          <w:rFonts w:ascii="NewsGotT" w:hAnsi="NewsGotT"/>
          <w:i/>
          <w:iCs/>
          <w:noProof/>
        </w:rPr>
        <w:t>Critical Care Medicine</w:t>
      </w:r>
      <w:r w:rsidRPr="00E7097C">
        <w:rPr>
          <w:rFonts w:ascii="NewsGotT" w:hAnsi="NewsGotT"/>
          <w:noProof/>
        </w:rPr>
        <w:t xml:space="preserve">, </w:t>
      </w:r>
      <w:r w:rsidRPr="00E7097C">
        <w:rPr>
          <w:rFonts w:ascii="NewsGotT" w:hAnsi="NewsGotT"/>
          <w:i/>
          <w:iCs/>
          <w:noProof/>
        </w:rPr>
        <w:t>46</w:t>
      </w:r>
      <w:r w:rsidRPr="00E7097C">
        <w:rPr>
          <w:rFonts w:ascii="NewsGotT" w:hAnsi="NewsGotT"/>
          <w:noProof/>
        </w:rPr>
        <w:t>(4), 547–553. https://doi.org/10.1097/CCM.0000000000002936</w:t>
      </w:r>
    </w:p>
    <w:p w14:paraId="01BCA7D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Nikam, S. S. (2015). A Comparative Study of Classification Techniques in Data Mining Algorithms. </w:t>
      </w:r>
      <w:r w:rsidRPr="00E7097C">
        <w:rPr>
          <w:rFonts w:ascii="NewsGotT" w:hAnsi="NewsGotT"/>
          <w:i/>
          <w:iCs/>
          <w:noProof/>
        </w:rPr>
        <w:t>ORIENTAL JOURNAL OF COMPUTER SCIENCE &amp; TECHNOLOGY</w:t>
      </w:r>
      <w:r w:rsidRPr="00E7097C">
        <w:rPr>
          <w:rFonts w:ascii="NewsGotT" w:hAnsi="NewsGotT"/>
          <w:noProof/>
        </w:rPr>
        <w:t xml:space="preserve">, </w:t>
      </w:r>
      <w:r w:rsidRPr="00E7097C">
        <w:rPr>
          <w:rFonts w:ascii="NewsGotT" w:hAnsi="NewsGotT"/>
          <w:i/>
          <w:iCs/>
          <w:noProof/>
        </w:rPr>
        <w:t>8</w:t>
      </w:r>
      <w:r w:rsidRPr="00E7097C">
        <w:rPr>
          <w:rFonts w:ascii="NewsGotT" w:hAnsi="NewsGotT"/>
          <w:noProof/>
        </w:rPr>
        <w:t>(1), 13–19.</w:t>
      </w:r>
    </w:p>
    <w:p w14:paraId="3D7F50C0"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Nitchingham, A., Kumar, V., Shenkin, S., Ferguson, K. J., &amp; Caplan, G. A. (2018). A systematic review of neuroimaging in delirium: predictors, correlates and consequences. </w:t>
      </w:r>
      <w:r w:rsidRPr="00E7097C">
        <w:rPr>
          <w:rFonts w:ascii="NewsGotT" w:hAnsi="NewsGotT"/>
          <w:i/>
          <w:iCs/>
          <w:noProof/>
        </w:rPr>
        <w:t>International Journal of Geriatric Psychiatry</w:t>
      </w:r>
      <w:r w:rsidRPr="00E7097C">
        <w:rPr>
          <w:rFonts w:ascii="NewsGotT" w:hAnsi="NewsGotT"/>
          <w:noProof/>
        </w:rPr>
        <w:t xml:space="preserve">, </w:t>
      </w:r>
      <w:r w:rsidRPr="00E7097C">
        <w:rPr>
          <w:rFonts w:ascii="NewsGotT" w:hAnsi="NewsGotT"/>
          <w:i/>
          <w:iCs/>
          <w:noProof/>
        </w:rPr>
        <w:t>33</w:t>
      </w:r>
      <w:r w:rsidRPr="00E7097C">
        <w:rPr>
          <w:rFonts w:ascii="NewsGotT" w:hAnsi="NewsGotT"/>
          <w:noProof/>
        </w:rPr>
        <w:t>(11), 1458–1478. https://doi.org/10.1002/gps.4724</w:t>
      </w:r>
    </w:p>
    <w:p w14:paraId="58499C5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Nussey, S., &amp; Whitehead, S. (2001). </w:t>
      </w:r>
      <w:r w:rsidRPr="00E7097C">
        <w:rPr>
          <w:rFonts w:ascii="NewsGotT" w:hAnsi="NewsGotT"/>
          <w:i/>
          <w:iCs/>
          <w:noProof/>
        </w:rPr>
        <w:t>Endocrinology: An Integrated Approach</w:t>
      </w:r>
      <w:r w:rsidRPr="00E7097C">
        <w:rPr>
          <w:rFonts w:ascii="NewsGotT" w:hAnsi="NewsGotT"/>
          <w:noProof/>
        </w:rPr>
        <w:t>. Informa HealthCare 2001. Retrieved from https://www.ncbi.nlm.nih.gov/books/NBK20/#A10</w:t>
      </w:r>
    </w:p>
    <w:p w14:paraId="1AFF5DC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ONU, P. (2021). Envelhecimento. Retrieved May 31, 2021, from https://unric.org/pt/envelhecimento/</w:t>
      </w:r>
    </w:p>
    <w:p w14:paraId="51BD0FD4"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Pedregosa, F., Varoquaux, G., Gramfort, A., Michel, V., Thirion, B., Grisel, O., … Duchesnay, É. (2011). Scikit-learn: Machine Learning in Python. </w:t>
      </w:r>
      <w:r w:rsidRPr="00E7097C">
        <w:rPr>
          <w:rFonts w:ascii="NewsGotT" w:hAnsi="NewsGotT"/>
          <w:i/>
          <w:iCs/>
          <w:noProof/>
        </w:rPr>
        <w:t>Journal of Machine Learning Research</w:t>
      </w:r>
      <w:r w:rsidRPr="00E7097C">
        <w:rPr>
          <w:rFonts w:ascii="NewsGotT" w:hAnsi="NewsGotT"/>
          <w:noProof/>
        </w:rPr>
        <w:t xml:space="preserve">, </w:t>
      </w:r>
      <w:r w:rsidRPr="00E7097C">
        <w:rPr>
          <w:rFonts w:ascii="NewsGotT" w:hAnsi="NewsGotT"/>
          <w:i/>
          <w:iCs/>
          <w:noProof/>
        </w:rPr>
        <w:t>12</w:t>
      </w:r>
      <w:r w:rsidRPr="00E7097C">
        <w:rPr>
          <w:rFonts w:ascii="NewsGotT" w:hAnsi="NewsGotT"/>
          <w:noProof/>
        </w:rPr>
        <w:t>, 2825–2830.</w:t>
      </w:r>
    </w:p>
    <w:p w14:paraId="5D1519D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Pérez-Ros, P., &amp; Martínez-Arnau, F. (2019). Delirium Assessment in Older People in Emergency Departments. A Literature Review. </w:t>
      </w:r>
      <w:r w:rsidRPr="00E7097C">
        <w:rPr>
          <w:rFonts w:ascii="NewsGotT" w:hAnsi="NewsGotT"/>
          <w:i/>
          <w:iCs/>
          <w:noProof/>
        </w:rPr>
        <w:t>Diseases</w:t>
      </w:r>
      <w:r w:rsidRPr="00E7097C">
        <w:rPr>
          <w:rFonts w:ascii="NewsGotT" w:hAnsi="NewsGotT"/>
          <w:noProof/>
        </w:rPr>
        <w:t xml:space="preserve">, </w:t>
      </w:r>
      <w:r w:rsidRPr="00E7097C">
        <w:rPr>
          <w:rFonts w:ascii="NewsGotT" w:hAnsi="NewsGotT"/>
          <w:i/>
          <w:iCs/>
          <w:noProof/>
        </w:rPr>
        <w:t>7</w:t>
      </w:r>
      <w:r w:rsidRPr="00E7097C">
        <w:rPr>
          <w:rFonts w:ascii="NewsGotT" w:hAnsi="NewsGotT"/>
          <w:noProof/>
        </w:rPr>
        <w:t>(1), 14. https://doi.org/10.3390/diseases7010014</w:t>
      </w:r>
    </w:p>
    <w:p w14:paraId="0D8E626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Pfizer. (2010). RESUMO DAS CARACTERÍSTICAS DO MEDICAMENTO: Lorenin. Retrieved July 21, 2021, from http://labeling.pfizer.com/ShowLabeling.aspx?id=5194</w:t>
      </w:r>
    </w:p>
    <w:p w14:paraId="2A618320"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Pfizer. (2021). RESUMO DAS CARACTERÍSTICAS: Alprazolam. Retrieved July 21, 2021, from http://labeling.pfizer.com/ShowLabeling.aspx?id=4838</w:t>
      </w:r>
    </w:p>
    <w:p w14:paraId="79F0329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Prayce, R., Quaresma, F., &amp; Neto, I. G. (2018). Delirium: O 7</w:t>
      </w:r>
      <w:r w:rsidRPr="00E7097C">
        <w:rPr>
          <w:rFonts w:ascii="NewsGotT" w:hAnsi="NewsGotT"/>
          <w:noProof/>
          <w:vertAlign w:val="superscript"/>
        </w:rPr>
        <w:t>o</w:t>
      </w:r>
      <w:r w:rsidRPr="00E7097C">
        <w:rPr>
          <w:rFonts w:ascii="NewsGotT" w:hAnsi="NewsGotT"/>
          <w:noProof/>
        </w:rPr>
        <w:t xml:space="preserve"> Parâmetro Vital? </w:t>
      </w:r>
      <w:r w:rsidRPr="00E7097C">
        <w:rPr>
          <w:rFonts w:ascii="NewsGotT" w:hAnsi="NewsGotT"/>
          <w:i/>
          <w:iCs/>
          <w:noProof/>
        </w:rPr>
        <w:t>Acta Médica Portuguesa</w:t>
      </w:r>
      <w:r w:rsidRPr="00E7097C">
        <w:rPr>
          <w:rFonts w:ascii="NewsGotT" w:hAnsi="NewsGotT"/>
          <w:noProof/>
        </w:rPr>
        <w:t xml:space="preserve">, </w:t>
      </w:r>
      <w:r w:rsidRPr="00E7097C">
        <w:rPr>
          <w:rFonts w:ascii="NewsGotT" w:hAnsi="NewsGotT"/>
          <w:i/>
          <w:iCs/>
          <w:noProof/>
        </w:rPr>
        <w:t>31</w:t>
      </w:r>
      <w:r w:rsidRPr="00E7097C">
        <w:rPr>
          <w:rFonts w:ascii="NewsGotT" w:hAnsi="NewsGotT"/>
          <w:noProof/>
        </w:rPr>
        <w:t>(1), 51. https://doi.org/10.20344/amp.9670</w:t>
      </w:r>
    </w:p>
    <w:p w14:paraId="0ED103FA"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Quinlan, J. R. (1986). Induction of decision trees. </w:t>
      </w:r>
      <w:r w:rsidRPr="00E7097C">
        <w:rPr>
          <w:rFonts w:ascii="NewsGotT" w:hAnsi="NewsGotT"/>
          <w:i/>
          <w:iCs/>
          <w:noProof/>
        </w:rPr>
        <w:t>Machine Learning</w:t>
      </w:r>
      <w:r w:rsidRPr="00E7097C">
        <w:rPr>
          <w:rFonts w:ascii="NewsGotT" w:hAnsi="NewsGotT"/>
          <w:noProof/>
        </w:rPr>
        <w:t xml:space="preserve">, </w:t>
      </w:r>
      <w:r w:rsidRPr="00E7097C">
        <w:rPr>
          <w:rFonts w:ascii="NewsGotT" w:hAnsi="NewsGotT"/>
          <w:i/>
          <w:iCs/>
          <w:noProof/>
        </w:rPr>
        <w:t>1</w:t>
      </w:r>
      <w:r w:rsidRPr="00E7097C">
        <w:rPr>
          <w:rFonts w:ascii="NewsGotT" w:hAnsi="NewsGotT"/>
          <w:noProof/>
        </w:rPr>
        <w:t>(1), 81–106. https://doi.org/10.1007/bf00116251</w:t>
      </w:r>
    </w:p>
    <w:p w14:paraId="039247E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Robinson, T. N., Raeburn, C. D., Tran, Z. V., Brenner, L. A., &amp; Moss, M. (2011). Motor subtypes of postoperative delirium in older adults. </w:t>
      </w:r>
      <w:r w:rsidRPr="00E7097C">
        <w:rPr>
          <w:rFonts w:ascii="NewsGotT" w:hAnsi="NewsGotT"/>
          <w:i/>
          <w:iCs/>
          <w:noProof/>
        </w:rPr>
        <w:t>Archives of Surgery</w:t>
      </w:r>
      <w:r w:rsidRPr="00E7097C">
        <w:rPr>
          <w:rFonts w:ascii="NewsGotT" w:hAnsi="NewsGotT"/>
          <w:noProof/>
        </w:rPr>
        <w:t xml:space="preserve">, </w:t>
      </w:r>
      <w:r w:rsidRPr="00E7097C">
        <w:rPr>
          <w:rFonts w:ascii="NewsGotT" w:hAnsi="NewsGotT"/>
          <w:i/>
          <w:iCs/>
          <w:noProof/>
        </w:rPr>
        <w:t>146</w:t>
      </w:r>
      <w:r w:rsidRPr="00E7097C">
        <w:rPr>
          <w:rFonts w:ascii="NewsGotT" w:hAnsi="NewsGotT"/>
          <w:noProof/>
        </w:rPr>
        <w:t>(3), 295–300. https://doi.org/10.1001/archsurg.2011.14</w:t>
      </w:r>
    </w:p>
    <w:p w14:paraId="1DDCC6E7"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Rosenblatt, F. (1958). The perceptron: A probabilistic model for information storage and organization in the brain. </w:t>
      </w:r>
      <w:r w:rsidRPr="00E7097C">
        <w:rPr>
          <w:rFonts w:ascii="NewsGotT" w:hAnsi="NewsGotT"/>
          <w:i/>
          <w:iCs/>
          <w:noProof/>
        </w:rPr>
        <w:t>Psychological Review</w:t>
      </w:r>
      <w:r w:rsidRPr="00E7097C">
        <w:rPr>
          <w:rFonts w:ascii="NewsGotT" w:hAnsi="NewsGotT"/>
          <w:noProof/>
        </w:rPr>
        <w:t xml:space="preserve">, </w:t>
      </w:r>
      <w:r w:rsidRPr="00E7097C">
        <w:rPr>
          <w:rFonts w:ascii="NewsGotT" w:hAnsi="NewsGotT"/>
          <w:i/>
          <w:iCs/>
          <w:noProof/>
        </w:rPr>
        <w:t>65</w:t>
      </w:r>
      <w:r w:rsidRPr="00E7097C">
        <w:rPr>
          <w:rFonts w:ascii="NewsGotT" w:hAnsi="NewsGotT"/>
          <w:noProof/>
        </w:rPr>
        <w:t>(6), 386–408. https://doi.org/10.1037/h0042519</w:t>
      </w:r>
    </w:p>
    <w:p w14:paraId="39C753ED"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E7097C">
        <w:rPr>
          <w:rFonts w:ascii="NewsGotT" w:hAnsi="NewsGotT"/>
          <w:i/>
          <w:iCs/>
          <w:noProof/>
        </w:rPr>
        <w:t>New Insights into the Future of Pharmacoepidemiology and Drug Safety [Working Title]</w:t>
      </w:r>
      <w:r w:rsidRPr="00E7097C">
        <w:rPr>
          <w:rFonts w:ascii="NewsGotT" w:hAnsi="NewsGotT"/>
          <w:noProof/>
        </w:rPr>
        <w:t xml:space="preserve"> (Vol. 32, pp. 137–144). IntechOpen. https://doi.org/10.5772/intechopen.95470</w:t>
      </w:r>
    </w:p>
    <w:p w14:paraId="2EEB73EE"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E7097C">
        <w:rPr>
          <w:rFonts w:ascii="NewsGotT" w:hAnsi="NewsGotT"/>
          <w:i/>
          <w:iCs/>
          <w:noProof/>
        </w:rPr>
        <w:t xml:space="preserve">Interactive CardioVascular and </w:t>
      </w:r>
      <w:r w:rsidRPr="00E7097C">
        <w:rPr>
          <w:rFonts w:ascii="NewsGotT" w:hAnsi="NewsGotT"/>
          <w:i/>
          <w:iCs/>
          <w:noProof/>
        </w:rPr>
        <w:lastRenderedPageBreak/>
        <w:t>Thoracic Surgery</w:t>
      </w:r>
      <w:r w:rsidRPr="00E7097C">
        <w:rPr>
          <w:rFonts w:ascii="NewsGotT" w:hAnsi="NewsGotT"/>
          <w:noProof/>
        </w:rPr>
        <w:t xml:space="preserve">, </w:t>
      </w:r>
      <w:r w:rsidRPr="00E7097C">
        <w:rPr>
          <w:rFonts w:ascii="NewsGotT" w:hAnsi="NewsGotT"/>
          <w:i/>
          <w:iCs/>
          <w:noProof/>
        </w:rPr>
        <w:t>10</w:t>
      </w:r>
      <w:r w:rsidRPr="00E7097C">
        <w:rPr>
          <w:rFonts w:ascii="NewsGotT" w:hAnsi="NewsGotT"/>
          <w:noProof/>
        </w:rPr>
        <w:t>(1), 58–62. https://doi.org/10.1510/icvts.2009.217562</w:t>
      </w:r>
    </w:p>
    <w:p w14:paraId="19CB3A3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Rudberg, M. A., Pompei, P., Foreman, M. D., Ross, R. E., &amp; Cassel, C. K. (1997). The natural history of delirium in older hospitalized patients: A syndrome of heterogeneity. </w:t>
      </w:r>
      <w:r w:rsidRPr="00E7097C">
        <w:rPr>
          <w:rFonts w:ascii="NewsGotT" w:hAnsi="NewsGotT"/>
          <w:i/>
          <w:iCs/>
          <w:noProof/>
        </w:rPr>
        <w:t>Age and Ageing</w:t>
      </w:r>
      <w:r w:rsidRPr="00E7097C">
        <w:rPr>
          <w:rFonts w:ascii="NewsGotT" w:hAnsi="NewsGotT"/>
          <w:noProof/>
        </w:rPr>
        <w:t xml:space="preserve">, </w:t>
      </w:r>
      <w:r w:rsidRPr="00E7097C">
        <w:rPr>
          <w:rFonts w:ascii="NewsGotT" w:hAnsi="NewsGotT"/>
          <w:i/>
          <w:iCs/>
          <w:noProof/>
        </w:rPr>
        <w:t>26</w:t>
      </w:r>
      <w:r w:rsidRPr="00E7097C">
        <w:rPr>
          <w:rFonts w:ascii="NewsGotT" w:hAnsi="NewsGotT"/>
          <w:noProof/>
        </w:rPr>
        <w:t>(3), 169–174. https://doi.org/10.1093/ageing/26.3.169</w:t>
      </w:r>
    </w:p>
    <w:p w14:paraId="2485382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Salluh, J. I. F., Wang, H., Schneider, E. B., Nagaraja, N., Yenokyan, G., Damluji, A., … Stevens, R. D. (2015). Outcome of delirium in critically ill patients: Systematic review and meta-analysis. </w:t>
      </w:r>
      <w:r w:rsidRPr="00E7097C">
        <w:rPr>
          <w:rFonts w:ascii="NewsGotT" w:hAnsi="NewsGotT"/>
          <w:i/>
          <w:iCs/>
          <w:noProof/>
        </w:rPr>
        <w:t>BMJ (Online)</w:t>
      </w:r>
      <w:r w:rsidRPr="00E7097C">
        <w:rPr>
          <w:rFonts w:ascii="NewsGotT" w:hAnsi="NewsGotT"/>
          <w:noProof/>
        </w:rPr>
        <w:t xml:space="preserve">, </w:t>
      </w:r>
      <w:r w:rsidRPr="00E7097C">
        <w:rPr>
          <w:rFonts w:ascii="NewsGotT" w:hAnsi="NewsGotT"/>
          <w:i/>
          <w:iCs/>
          <w:noProof/>
        </w:rPr>
        <w:t>350</w:t>
      </w:r>
      <w:r w:rsidRPr="00E7097C">
        <w:rPr>
          <w:rFonts w:ascii="NewsGotT" w:hAnsi="NewsGotT"/>
          <w:noProof/>
        </w:rPr>
        <w:t>, 1–10. https://doi.org/10.1136/bmj.h2538</w:t>
      </w:r>
    </w:p>
    <w:p w14:paraId="25C73643"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Samuel, A. L. (1959). Some Studies in Machine Learning. </w:t>
      </w:r>
      <w:r w:rsidRPr="00E7097C">
        <w:rPr>
          <w:rFonts w:ascii="NewsGotT" w:hAnsi="NewsGotT"/>
          <w:i/>
          <w:iCs/>
          <w:noProof/>
        </w:rPr>
        <w:t>IBM Journal of Research and Development</w:t>
      </w:r>
      <w:r w:rsidRPr="00E7097C">
        <w:rPr>
          <w:rFonts w:ascii="NewsGotT" w:hAnsi="NewsGotT"/>
          <w:noProof/>
        </w:rPr>
        <w:t xml:space="preserve">, </w:t>
      </w:r>
      <w:r w:rsidRPr="00E7097C">
        <w:rPr>
          <w:rFonts w:ascii="NewsGotT" w:hAnsi="NewsGotT"/>
          <w:i/>
          <w:iCs/>
          <w:noProof/>
        </w:rPr>
        <w:t>3</w:t>
      </w:r>
      <w:r w:rsidRPr="00E7097C">
        <w:rPr>
          <w:rFonts w:ascii="NewsGotT" w:hAnsi="NewsGotT"/>
          <w:noProof/>
        </w:rPr>
        <w:t>(3), 210–229. Retrieved from https://ieeexplore.ieee.org/stamp/stamp.jsp?tp=&amp;arnumber=5392560</w:t>
      </w:r>
    </w:p>
    <w:p w14:paraId="66796DD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Saraiva, C. B., &amp; Cerejeira, J. (2014). </w:t>
      </w:r>
      <w:r w:rsidRPr="00E7097C">
        <w:rPr>
          <w:rFonts w:ascii="NewsGotT" w:hAnsi="NewsGotT"/>
          <w:i/>
          <w:iCs/>
          <w:noProof/>
        </w:rPr>
        <w:t>Psiquiatria fundamental</w:t>
      </w:r>
      <w:r w:rsidRPr="00E7097C">
        <w:rPr>
          <w:rFonts w:ascii="NewsGotT" w:hAnsi="NewsGotT"/>
          <w:noProof/>
        </w:rPr>
        <w:t>. Lisboa: Lidel. Retrieved from http://id.bnportugal.gov.pt/bib/bibnacional/1938223</w:t>
      </w:r>
    </w:p>
    <w:p w14:paraId="5B78F36E"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Schröer, C., Kruse, F., &amp; Gómez, J. M. (2021). A Systematic Literature Review on Applying CRISP-DM Process Model. </w:t>
      </w:r>
      <w:r w:rsidRPr="00E7097C">
        <w:rPr>
          <w:rFonts w:ascii="NewsGotT" w:hAnsi="NewsGotT"/>
          <w:i/>
          <w:iCs/>
          <w:noProof/>
        </w:rPr>
        <w:t>Procedia Computer Science</w:t>
      </w:r>
      <w:r w:rsidRPr="00E7097C">
        <w:rPr>
          <w:rFonts w:ascii="NewsGotT" w:hAnsi="NewsGotT"/>
          <w:noProof/>
        </w:rPr>
        <w:t xml:space="preserve">, </w:t>
      </w:r>
      <w:r w:rsidRPr="00E7097C">
        <w:rPr>
          <w:rFonts w:ascii="NewsGotT" w:hAnsi="NewsGotT"/>
          <w:i/>
          <w:iCs/>
          <w:noProof/>
        </w:rPr>
        <w:t>181</w:t>
      </w:r>
      <w:r w:rsidRPr="00E7097C">
        <w:rPr>
          <w:rFonts w:ascii="NewsGotT" w:hAnsi="NewsGotT"/>
          <w:noProof/>
        </w:rPr>
        <w:t>(2019), 526–534. https://doi.org/10.1016/j.procs.2021.01.199</w:t>
      </w:r>
    </w:p>
    <w:p w14:paraId="4A1FA09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Shen, W. W. (1999). A history of antipsychotic drug development. </w:t>
      </w:r>
      <w:r w:rsidRPr="00E7097C">
        <w:rPr>
          <w:rFonts w:ascii="NewsGotT" w:hAnsi="NewsGotT"/>
          <w:i/>
          <w:iCs/>
          <w:noProof/>
        </w:rPr>
        <w:t>Comprehensive Psychiatry</w:t>
      </w:r>
      <w:r w:rsidRPr="00E7097C">
        <w:rPr>
          <w:rFonts w:ascii="NewsGotT" w:hAnsi="NewsGotT"/>
          <w:noProof/>
        </w:rPr>
        <w:t xml:space="preserve">, </w:t>
      </w:r>
      <w:r w:rsidRPr="00E7097C">
        <w:rPr>
          <w:rFonts w:ascii="NewsGotT" w:hAnsi="NewsGotT"/>
          <w:i/>
          <w:iCs/>
          <w:noProof/>
        </w:rPr>
        <w:t>40</w:t>
      </w:r>
      <w:r w:rsidRPr="00E7097C">
        <w:rPr>
          <w:rFonts w:ascii="NewsGotT" w:hAnsi="NewsGotT"/>
          <w:noProof/>
        </w:rPr>
        <w:t>(6), 407–414. https://doi.org/10.1016/S0010-440X(99)90082-2</w:t>
      </w:r>
    </w:p>
    <w:p w14:paraId="3A61CF8D"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Siddiqi, N., House, A. O., &amp; Holmes, J. D. (2006). Occurrence and outcome of delirium in medical in-patients: A systematic literature review. </w:t>
      </w:r>
      <w:r w:rsidRPr="00E7097C">
        <w:rPr>
          <w:rFonts w:ascii="NewsGotT" w:hAnsi="NewsGotT"/>
          <w:i/>
          <w:iCs/>
          <w:noProof/>
        </w:rPr>
        <w:t>Age and Ageing</w:t>
      </w:r>
      <w:r w:rsidRPr="00E7097C">
        <w:rPr>
          <w:rFonts w:ascii="NewsGotT" w:hAnsi="NewsGotT"/>
          <w:noProof/>
        </w:rPr>
        <w:t xml:space="preserve">, </w:t>
      </w:r>
      <w:r w:rsidRPr="00E7097C">
        <w:rPr>
          <w:rFonts w:ascii="NewsGotT" w:hAnsi="NewsGotT"/>
          <w:i/>
          <w:iCs/>
          <w:noProof/>
        </w:rPr>
        <w:t>35</w:t>
      </w:r>
      <w:r w:rsidRPr="00E7097C">
        <w:rPr>
          <w:rFonts w:ascii="NewsGotT" w:hAnsi="NewsGotT"/>
          <w:noProof/>
        </w:rPr>
        <w:t>(4), 350–364. https://doi.org/10.1093/ageing/afl005</w:t>
      </w:r>
    </w:p>
    <w:p w14:paraId="55641B4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Slooter, A. J. C., Otte, W. M., Devlin, J. W., Arora, R. C., Bleck, T. P., Claassen, J., … Stevens, R. D. (2020). Updated nomenclature of delirium and acute encephalopathy: statement of ten Societies. </w:t>
      </w:r>
      <w:r w:rsidRPr="00E7097C">
        <w:rPr>
          <w:rFonts w:ascii="NewsGotT" w:hAnsi="NewsGotT"/>
          <w:i/>
          <w:iCs/>
          <w:noProof/>
        </w:rPr>
        <w:t>Intensive Care Medicine</w:t>
      </w:r>
      <w:r w:rsidRPr="00E7097C">
        <w:rPr>
          <w:rFonts w:ascii="NewsGotT" w:hAnsi="NewsGotT"/>
          <w:noProof/>
        </w:rPr>
        <w:t xml:space="preserve">, </w:t>
      </w:r>
      <w:r w:rsidRPr="00E7097C">
        <w:rPr>
          <w:rFonts w:ascii="NewsGotT" w:hAnsi="NewsGotT"/>
          <w:i/>
          <w:iCs/>
          <w:noProof/>
        </w:rPr>
        <w:t>46</w:t>
      </w:r>
      <w:r w:rsidRPr="00E7097C">
        <w:rPr>
          <w:rFonts w:ascii="NewsGotT" w:hAnsi="NewsGotT"/>
          <w:noProof/>
        </w:rPr>
        <w:t>(5), 1020–1022. https://doi.org/10.1007/s00134-019-05907-4</w:t>
      </w:r>
    </w:p>
    <w:p w14:paraId="7C766DF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E7097C">
        <w:rPr>
          <w:rFonts w:ascii="NewsGotT" w:hAnsi="NewsGotT"/>
          <w:i/>
          <w:iCs/>
          <w:noProof/>
        </w:rPr>
        <w:t>International Journal of Geriatric Psychiatry</w:t>
      </w:r>
      <w:r w:rsidRPr="00E7097C">
        <w:rPr>
          <w:rFonts w:ascii="NewsGotT" w:hAnsi="NewsGotT"/>
          <w:noProof/>
        </w:rPr>
        <w:t xml:space="preserve">, </w:t>
      </w:r>
      <w:r w:rsidRPr="00E7097C">
        <w:rPr>
          <w:rFonts w:ascii="NewsGotT" w:hAnsi="NewsGotT"/>
          <w:i/>
          <w:iCs/>
          <w:noProof/>
        </w:rPr>
        <w:t>32</w:t>
      </w:r>
      <w:r w:rsidRPr="00E7097C">
        <w:rPr>
          <w:rFonts w:ascii="NewsGotT" w:hAnsi="NewsGotT"/>
          <w:noProof/>
        </w:rPr>
        <w:t>(4), 386–396. https://doi.org/10.1002/gps.4655</w:t>
      </w:r>
    </w:p>
    <w:p w14:paraId="6664B4E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Souza, I. T., Wildner, D. P. da S., Gazdzichi, A. K., &amp; Nink, R. F. O. (2020). THE EVOLUTION OF PSYCHOPHARMACES IN THE TREATMENT OF DEPRESSION. </w:t>
      </w:r>
      <w:r w:rsidRPr="00E7097C">
        <w:rPr>
          <w:rFonts w:ascii="NewsGotT" w:hAnsi="NewsGotT"/>
          <w:i/>
          <w:iCs/>
          <w:noProof/>
        </w:rPr>
        <w:t>Brazilian Journal of Surgery and Clinical Research – BJSCR</w:t>
      </w:r>
      <w:r w:rsidRPr="00E7097C">
        <w:rPr>
          <w:rFonts w:ascii="NewsGotT" w:hAnsi="NewsGotT"/>
          <w:noProof/>
        </w:rPr>
        <w:t xml:space="preserve">, </w:t>
      </w:r>
      <w:r w:rsidRPr="00E7097C">
        <w:rPr>
          <w:rFonts w:ascii="NewsGotT" w:hAnsi="NewsGotT"/>
          <w:i/>
          <w:iCs/>
          <w:noProof/>
        </w:rPr>
        <w:t>33</w:t>
      </w:r>
      <w:r w:rsidRPr="00E7097C">
        <w:rPr>
          <w:rFonts w:ascii="NewsGotT" w:hAnsi="NewsGotT"/>
          <w:noProof/>
        </w:rPr>
        <w:t>(2), 109–114. Retrieved from http://www.mastereditora.com.br/bjscr</w:t>
      </w:r>
    </w:p>
    <w:p w14:paraId="407BFF2B"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Stahl, S. M., Grady, M. M., Moret, C., &amp; Briley, M. (2005). SNRIs: The Pharmacology, Clinical Efficacy, and Tolerability in Comparison with Other Classes of Antidepressants. </w:t>
      </w:r>
      <w:r w:rsidRPr="00E7097C">
        <w:rPr>
          <w:rFonts w:ascii="NewsGotT" w:hAnsi="NewsGotT"/>
          <w:i/>
          <w:iCs/>
          <w:noProof/>
        </w:rPr>
        <w:t>CNS Spectrums</w:t>
      </w:r>
      <w:r w:rsidRPr="00E7097C">
        <w:rPr>
          <w:rFonts w:ascii="NewsGotT" w:hAnsi="NewsGotT"/>
          <w:noProof/>
        </w:rPr>
        <w:t xml:space="preserve">, </w:t>
      </w:r>
      <w:r w:rsidRPr="00E7097C">
        <w:rPr>
          <w:rFonts w:ascii="NewsGotT" w:hAnsi="NewsGotT"/>
          <w:i/>
          <w:iCs/>
          <w:noProof/>
        </w:rPr>
        <w:t>10</w:t>
      </w:r>
      <w:r w:rsidRPr="00E7097C">
        <w:rPr>
          <w:rFonts w:ascii="NewsGotT" w:hAnsi="NewsGotT"/>
          <w:noProof/>
        </w:rPr>
        <w:t>(9), 732–747. https://doi.org/10.1017/S1092852900019726</w:t>
      </w:r>
    </w:p>
    <w:p w14:paraId="6FF8EFE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Stewart, J., Sprivulis, P., &amp; Dwivedi, G. (2018). Artificial intelligence and machine learning in emergency medicine. </w:t>
      </w:r>
      <w:r w:rsidRPr="00E7097C">
        <w:rPr>
          <w:rFonts w:ascii="NewsGotT" w:hAnsi="NewsGotT"/>
          <w:i/>
          <w:iCs/>
          <w:noProof/>
        </w:rPr>
        <w:t>EMA - Emergency Medicine Australasia</w:t>
      </w:r>
      <w:r w:rsidRPr="00E7097C">
        <w:rPr>
          <w:rFonts w:ascii="NewsGotT" w:hAnsi="NewsGotT"/>
          <w:noProof/>
        </w:rPr>
        <w:t xml:space="preserve">, </w:t>
      </w:r>
      <w:r w:rsidRPr="00E7097C">
        <w:rPr>
          <w:rFonts w:ascii="NewsGotT" w:hAnsi="NewsGotT"/>
          <w:i/>
          <w:iCs/>
          <w:noProof/>
        </w:rPr>
        <w:t>30</w:t>
      </w:r>
      <w:r w:rsidRPr="00E7097C">
        <w:rPr>
          <w:rFonts w:ascii="NewsGotT" w:hAnsi="NewsGotT"/>
          <w:noProof/>
        </w:rPr>
        <w:t>(6), 870–874. https://doi.org/10.1111/1742-6723.13145</w:t>
      </w:r>
    </w:p>
    <w:p w14:paraId="3C179415"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Stoltzfus, J. C. (2011). Logistic regression: A brief primer. </w:t>
      </w:r>
      <w:r w:rsidRPr="00E7097C">
        <w:rPr>
          <w:rFonts w:ascii="NewsGotT" w:hAnsi="NewsGotT"/>
          <w:i/>
          <w:iCs/>
          <w:noProof/>
        </w:rPr>
        <w:t>Academic Emergency Medicine</w:t>
      </w:r>
      <w:r w:rsidRPr="00E7097C">
        <w:rPr>
          <w:rFonts w:ascii="NewsGotT" w:hAnsi="NewsGotT"/>
          <w:noProof/>
        </w:rPr>
        <w:t xml:space="preserve">, </w:t>
      </w:r>
      <w:r w:rsidRPr="00E7097C">
        <w:rPr>
          <w:rFonts w:ascii="NewsGotT" w:hAnsi="NewsGotT"/>
          <w:i/>
          <w:iCs/>
          <w:noProof/>
        </w:rPr>
        <w:t>18</w:t>
      </w:r>
      <w:r w:rsidRPr="00E7097C">
        <w:rPr>
          <w:rFonts w:ascii="NewsGotT" w:hAnsi="NewsGotT"/>
          <w:noProof/>
        </w:rPr>
        <w:t>(10), 1099–1104. https://doi.org/10.1111/j.1553-2712.2011.01185.x</w:t>
      </w:r>
    </w:p>
    <w:p w14:paraId="6F98C184"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Swart, L. M., van der Zanden, V., Spies, P. E., de Rooij, S. E., &amp; van Munster, B. C. (2017). The Comparative Risk of Delirium with Different Opioids: A Systematic Review. </w:t>
      </w:r>
      <w:r w:rsidRPr="00E7097C">
        <w:rPr>
          <w:rFonts w:ascii="NewsGotT" w:hAnsi="NewsGotT"/>
          <w:i/>
          <w:iCs/>
          <w:noProof/>
        </w:rPr>
        <w:t>Drugs &amp; Aging</w:t>
      </w:r>
      <w:r w:rsidRPr="00E7097C">
        <w:rPr>
          <w:rFonts w:ascii="NewsGotT" w:hAnsi="NewsGotT"/>
          <w:noProof/>
        </w:rPr>
        <w:t xml:space="preserve">, </w:t>
      </w:r>
      <w:r w:rsidRPr="00E7097C">
        <w:rPr>
          <w:rFonts w:ascii="NewsGotT" w:hAnsi="NewsGotT"/>
          <w:i/>
          <w:iCs/>
          <w:noProof/>
        </w:rPr>
        <w:t>34</w:t>
      </w:r>
      <w:r w:rsidRPr="00E7097C">
        <w:rPr>
          <w:rFonts w:ascii="NewsGotT" w:hAnsi="NewsGotT"/>
          <w:noProof/>
        </w:rPr>
        <w:t>(6), 437–443. https://doi.org/10.1007/s40266-017-0455-9</w:t>
      </w:r>
    </w:p>
    <w:p w14:paraId="5244E7A1"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Taylor, R. A., &amp; Haimovich, A. D. (2021). Machine Learning in Emergency Medicine: Keys to Future Success. </w:t>
      </w:r>
      <w:r w:rsidRPr="00E7097C">
        <w:rPr>
          <w:rFonts w:ascii="NewsGotT" w:hAnsi="NewsGotT"/>
          <w:i/>
          <w:iCs/>
          <w:noProof/>
        </w:rPr>
        <w:t>Academic Emergency Medicine</w:t>
      </w:r>
      <w:r w:rsidRPr="00E7097C">
        <w:rPr>
          <w:rFonts w:ascii="NewsGotT" w:hAnsi="NewsGotT"/>
          <w:noProof/>
        </w:rPr>
        <w:t xml:space="preserve">, </w:t>
      </w:r>
      <w:r w:rsidRPr="00E7097C">
        <w:rPr>
          <w:rFonts w:ascii="NewsGotT" w:hAnsi="NewsGotT"/>
          <w:i/>
          <w:iCs/>
          <w:noProof/>
        </w:rPr>
        <w:t>28</w:t>
      </w:r>
      <w:r w:rsidRPr="00E7097C">
        <w:rPr>
          <w:rFonts w:ascii="NewsGotT" w:hAnsi="NewsGotT"/>
          <w:noProof/>
        </w:rPr>
        <w:t>(2), 263–267. https://doi.org/10.1111/acem.14189</w:t>
      </w:r>
    </w:p>
    <w:p w14:paraId="3876DCF0"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Telles-Correia, D., Guerreiro, D. F., Oliveira, S., &amp; Figueira, M. L. (2007). Diferenças farmacodinâmicas e farmacocinéticas entre os SSRI: Implicações na prática clínica. </w:t>
      </w:r>
      <w:r w:rsidRPr="00E7097C">
        <w:rPr>
          <w:rFonts w:ascii="NewsGotT" w:hAnsi="NewsGotT"/>
          <w:i/>
          <w:iCs/>
          <w:noProof/>
        </w:rPr>
        <w:t>Acta Medica Portuguesa</w:t>
      </w:r>
      <w:r w:rsidRPr="00E7097C">
        <w:rPr>
          <w:rFonts w:ascii="NewsGotT" w:hAnsi="NewsGotT"/>
          <w:noProof/>
        </w:rPr>
        <w:t xml:space="preserve">, </w:t>
      </w:r>
      <w:r w:rsidRPr="00E7097C">
        <w:rPr>
          <w:rFonts w:ascii="NewsGotT" w:hAnsi="NewsGotT"/>
          <w:i/>
          <w:iCs/>
          <w:noProof/>
        </w:rPr>
        <w:t>20</w:t>
      </w:r>
      <w:r w:rsidRPr="00E7097C">
        <w:rPr>
          <w:rFonts w:ascii="NewsGotT" w:hAnsi="NewsGotT"/>
          <w:noProof/>
        </w:rPr>
        <w:t>(2), 167–174.</w:t>
      </w:r>
    </w:p>
    <w:p w14:paraId="4306A7AC"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lastRenderedPageBreak/>
        <w:t xml:space="preserve">Thom, R. P., Levy-Carrick, N. C., Bui, M., &amp; Silbersweig, D. (2019). Delirium. </w:t>
      </w:r>
      <w:r w:rsidRPr="00E7097C">
        <w:rPr>
          <w:rFonts w:ascii="NewsGotT" w:hAnsi="NewsGotT"/>
          <w:i/>
          <w:iCs/>
          <w:noProof/>
        </w:rPr>
        <w:t>American Journal of Psychiatry</w:t>
      </w:r>
      <w:r w:rsidRPr="00E7097C">
        <w:rPr>
          <w:rFonts w:ascii="NewsGotT" w:hAnsi="NewsGotT"/>
          <w:noProof/>
        </w:rPr>
        <w:t xml:space="preserve">, </w:t>
      </w:r>
      <w:r w:rsidRPr="00E7097C">
        <w:rPr>
          <w:rFonts w:ascii="NewsGotT" w:hAnsi="NewsGotT"/>
          <w:i/>
          <w:iCs/>
          <w:noProof/>
        </w:rPr>
        <w:t>176</w:t>
      </w:r>
      <w:r w:rsidRPr="00E7097C">
        <w:rPr>
          <w:rFonts w:ascii="NewsGotT" w:hAnsi="NewsGotT"/>
          <w:noProof/>
        </w:rPr>
        <w:t>(10), 785–793. https://doi.org/10.1176/appi.ajp.2018.18070893</w:t>
      </w:r>
    </w:p>
    <w:p w14:paraId="715B4C1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E7097C">
        <w:rPr>
          <w:rFonts w:ascii="NewsGotT" w:hAnsi="NewsGotT"/>
          <w:i/>
          <w:iCs/>
          <w:noProof/>
        </w:rPr>
        <w:t>BMJ (Online)</w:t>
      </w:r>
      <w:r w:rsidRPr="00E7097C">
        <w:rPr>
          <w:rFonts w:ascii="NewsGotT" w:hAnsi="NewsGotT"/>
          <w:noProof/>
        </w:rPr>
        <w:t xml:space="preserve">, </w:t>
      </w:r>
      <w:r w:rsidRPr="00E7097C">
        <w:rPr>
          <w:rFonts w:ascii="NewsGotT" w:hAnsi="NewsGotT"/>
          <w:i/>
          <w:iCs/>
          <w:noProof/>
        </w:rPr>
        <w:t>344</w:t>
      </w:r>
      <w:r w:rsidRPr="00E7097C">
        <w:rPr>
          <w:rFonts w:ascii="NewsGotT" w:hAnsi="NewsGotT"/>
          <w:noProof/>
        </w:rPr>
        <w:t>(7845), 17. https://doi.org/10.1136/bmj.e420</w:t>
      </w:r>
    </w:p>
    <w:p w14:paraId="56823F88"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Van Eijk, M. M. J., Van Marum, R. J., Klijn, I. A. M., De Wit, N., Kesecioglu, J., &amp; Slooter, A. J. C. (2009). Comparison of delirium assessment tools in a mixed intensive care unit. </w:t>
      </w:r>
      <w:r w:rsidRPr="00E7097C">
        <w:rPr>
          <w:rFonts w:ascii="NewsGotT" w:hAnsi="NewsGotT"/>
          <w:i/>
          <w:iCs/>
          <w:noProof/>
        </w:rPr>
        <w:t>Critical Care Medicine</w:t>
      </w:r>
      <w:r w:rsidRPr="00E7097C">
        <w:rPr>
          <w:rFonts w:ascii="NewsGotT" w:hAnsi="NewsGotT"/>
          <w:noProof/>
        </w:rPr>
        <w:t xml:space="preserve">, </w:t>
      </w:r>
      <w:r w:rsidRPr="00E7097C">
        <w:rPr>
          <w:rFonts w:ascii="NewsGotT" w:hAnsi="NewsGotT"/>
          <w:i/>
          <w:iCs/>
          <w:noProof/>
        </w:rPr>
        <w:t>37</w:t>
      </w:r>
      <w:r w:rsidRPr="00E7097C">
        <w:rPr>
          <w:rFonts w:ascii="NewsGotT" w:hAnsi="NewsGotT"/>
          <w:noProof/>
        </w:rPr>
        <w:t>(6), 1881–1885. https://doi.org/10.1097/CCM.0b013e3181a00118</w:t>
      </w:r>
    </w:p>
    <w:p w14:paraId="5DCC1AF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Vapnik, V. N. (2000). </w:t>
      </w:r>
      <w:r w:rsidRPr="00E7097C">
        <w:rPr>
          <w:rFonts w:ascii="NewsGotT" w:hAnsi="NewsGotT"/>
          <w:i/>
          <w:iCs/>
          <w:noProof/>
        </w:rPr>
        <w:t>The Nature of Statistical Learning Theory</w:t>
      </w:r>
      <w:r w:rsidRPr="00E7097C">
        <w:rPr>
          <w:rFonts w:ascii="NewsGotT" w:hAnsi="NewsGotT"/>
          <w:noProof/>
        </w:rPr>
        <w:t xml:space="preserve">. </w:t>
      </w:r>
      <w:r w:rsidRPr="00E7097C">
        <w:rPr>
          <w:rFonts w:ascii="NewsGotT" w:hAnsi="NewsGotT"/>
          <w:i/>
          <w:iCs/>
          <w:noProof/>
        </w:rPr>
        <w:t>Statistics for Engineering and Information Science</w:t>
      </w:r>
      <w:r w:rsidRPr="00E7097C">
        <w:rPr>
          <w:rFonts w:ascii="NewsGotT" w:hAnsi="NewsGotT"/>
          <w:noProof/>
        </w:rPr>
        <w:t xml:space="preserve"> (2nd ed.). Springer New York. Retrieved from https://ci.nii.ac.jp/naid/10020951890</w:t>
      </w:r>
    </w:p>
    <w:p w14:paraId="7A32AE3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E7097C">
        <w:rPr>
          <w:rFonts w:ascii="NewsGotT" w:hAnsi="NewsGotT"/>
          <w:i/>
          <w:iCs/>
          <w:noProof/>
        </w:rPr>
        <w:t>Nutrition</w:t>
      </w:r>
      <w:r w:rsidRPr="00E7097C">
        <w:rPr>
          <w:rFonts w:ascii="NewsGotT" w:hAnsi="NewsGotT"/>
          <w:noProof/>
        </w:rPr>
        <w:t xml:space="preserve">, </w:t>
      </w:r>
      <w:r w:rsidRPr="00E7097C">
        <w:rPr>
          <w:rFonts w:ascii="NewsGotT" w:hAnsi="NewsGotT"/>
          <w:i/>
          <w:iCs/>
          <w:noProof/>
        </w:rPr>
        <w:t>66</w:t>
      </w:r>
      <w:r w:rsidRPr="00E7097C">
        <w:rPr>
          <w:rFonts w:ascii="NewsGotT" w:hAnsi="NewsGotT"/>
          <w:noProof/>
        </w:rPr>
        <w:t>, 227–232. https://doi.org/10.1016/j.nut.2019.06.006</w:t>
      </w:r>
    </w:p>
    <w:p w14:paraId="05539C27"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Vellido, A. (2020). The importance of interpretability and visualization in machine learning for applications in medicine and health care. </w:t>
      </w:r>
      <w:r w:rsidRPr="00E7097C">
        <w:rPr>
          <w:rFonts w:ascii="NewsGotT" w:hAnsi="NewsGotT"/>
          <w:i/>
          <w:iCs/>
          <w:noProof/>
        </w:rPr>
        <w:t>Neural Computing and Applications</w:t>
      </w:r>
      <w:r w:rsidRPr="00E7097C">
        <w:rPr>
          <w:rFonts w:ascii="NewsGotT" w:hAnsi="NewsGotT"/>
          <w:noProof/>
        </w:rPr>
        <w:t xml:space="preserve">, </w:t>
      </w:r>
      <w:r w:rsidRPr="00E7097C">
        <w:rPr>
          <w:rFonts w:ascii="NewsGotT" w:hAnsi="NewsGotT"/>
          <w:i/>
          <w:iCs/>
          <w:noProof/>
        </w:rPr>
        <w:t>32</w:t>
      </w:r>
      <w:r w:rsidRPr="00E7097C">
        <w:rPr>
          <w:rFonts w:ascii="NewsGotT" w:hAnsi="NewsGotT"/>
          <w:noProof/>
        </w:rPr>
        <w:t>(24), 18069–18083. https://doi.org/10.1007/s00521-019-04051-w</w:t>
      </w:r>
    </w:p>
    <w:p w14:paraId="739A41FB"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Wang, H. R., Woo, Y. S., &amp; Bahk, W.-M. (2013). Atypical antipsychotics in the treatment of delirium. </w:t>
      </w:r>
      <w:r w:rsidRPr="00E7097C">
        <w:rPr>
          <w:rFonts w:ascii="NewsGotT" w:hAnsi="NewsGotT"/>
          <w:i/>
          <w:iCs/>
          <w:noProof/>
        </w:rPr>
        <w:t>Psychiatry and Clinical Neurosciences</w:t>
      </w:r>
      <w:r w:rsidRPr="00E7097C">
        <w:rPr>
          <w:rFonts w:ascii="NewsGotT" w:hAnsi="NewsGotT"/>
          <w:noProof/>
        </w:rPr>
        <w:t xml:space="preserve">, </w:t>
      </w:r>
      <w:r w:rsidRPr="00E7097C">
        <w:rPr>
          <w:rFonts w:ascii="NewsGotT" w:hAnsi="NewsGotT"/>
          <w:i/>
          <w:iCs/>
          <w:noProof/>
        </w:rPr>
        <w:t>67</w:t>
      </w:r>
      <w:r w:rsidRPr="00E7097C">
        <w:rPr>
          <w:rFonts w:ascii="NewsGotT" w:hAnsi="NewsGotT"/>
          <w:noProof/>
        </w:rPr>
        <w:t>(5), 323–331. https://doi.org/10.1111/pcn.12066</w:t>
      </w:r>
    </w:p>
    <w:p w14:paraId="7FE234C3"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Wassenaar, A., Van Den Boogaard, M., Schoonhoven, L., Donders, R., &amp; Pickkers, P. (2017). Delirium prediction in the intensive care unit: Head to head comparison of two delirium prediction models. </w:t>
      </w:r>
      <w:r w:rsidRPr="00E7097C">
        <w:rPr>
          <w:rFonts w:ascii="NewsGotT" w:hAnsi="NewsGotT"/>
          <w:i/>
          <w:iCs/>
          <w:noProof/>
        </w:rPr>
        <w:t>Intensive Care Medicine Experimental</w:t>
      </w:r>
      <w:r w:rsidRPr="00E7097C">
        <w:rPr>
          <w:rFonts w:ascii="NewsGotT" w:hAnsi="NewsGotT"/>
          <w:noProof/>
        </w:rPr>
        <w:t xml:space="preserve">, </w:t>
      </w:r>
      <w:r w:rsidRPr="00E7097C">
        <w:rPr>
          <w:rFonts w:ascii="NewsGotT" w:hAnsi="NewsGotT"/>
          <w:i/>
          <w:iCs/>
          <w:noProof/>
        </w:rPr>
        <w:t>5</w:t>
      </w:r>
      <w:r w:rsidRPr="00E7097C">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240F2357"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E7097C">
        <w:rPr>
          <w:rFonts w:ascii="NewsGotT" w:hAnsi="NewsGotT"/>
          <w:i/>
          <w:iCs/>
          <w:noProof/>
        </w:rPr>
        <w:t>Intensive Care Medicine</w:t>
      </w:r>
      <w:r w:rsidRPr="00E7097C">
        <w:rPr>
          <w:rFonts w:ascii="NewsGotT" w:hAnsi="NewsGotT"/>
          <w:noProof/>
        </w:rPr>
        <w:t xml:space="preserve">, </w:t>
      </w:r>
      <w:r w:rsidRPr="00E7097C">
        <w:rPr>
          <w:rFonts w:ascii="NewsGotT" w:hAnsi="NewsGotT"/>
          <w:i/>
          <w:iCs/>
          <w:noProof/>
        </w:rPr>
        <w:t>41</w:t>
      </w:r>
      <w:r w:rsidRPr="00E7097C">
        <w:rPr>
          <w:rFonts w:ascii="NewsGotT" w:hAnsi="NewsGotT"/>
          <w:noProof/>
        </w:rPr>
        <w:t>(6), 1048–1056. https://doi.org/10.1007/s00134-015-3777-2</w:t>
      </w:r>
    </w:p>
    <w:p w14:paraId="73CB75E0"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WHO, &amp; EMRO. (2005). </w:t>
      </w:r>
      <w:r w:rsidRPr="00E7097C">
        <w:rPr>
          <w:rFonts w:ascii="NewsGotT" w:hAnsi="NewsGotT"/>
          <w:i/>
          <w:iCs/>
          <w:noProof/>
        </w:rPr>
        <w:t>Clinical guidelines for the management od hypertension</w:t>
      </w:r>
      <w:r w:rsidRPr="00E7097C">
        <w:rPr>
          <w:rFonts w:ascii="NewsGotT" w:hAnsi="NewsGotT"/>
          <w:noProof/>
        </w:rPr>
        <w:t>. Retrieved from https://apps.who.int/iris/handle/10665/119738</w:t>
      </w:r>
    </w:p>
    <w:p w14:paraId="5F761832"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Wilson, J. E., Mart, M. F., Cunningham, C., Shehabi, Y., Girard, T. D., MacLullich, A. M. J., … Ely, E. W. (2020). Delirium. </w:t>
      </w:r>
      <w:r w:rsidRPr="00E7097C">
        <w:rPr>
          <w:rFonts w:ascii="NewsGotT" w:hAnsi="NewsGotT"/>
          <w:i/>
          <w:iCs/>
          <w:noProof/>
        </w:rPr>
        <w:t>Nature Reviews Disease Primers</w:t>
      </w:r>
      <w:r w:rsidRPr="00E7097C">
        <w:rPr>
          <w:rFonts w:ascii="NewsGotT" w:hAnsi="NewsGotT"/>
          <w:noProof/>
        </w:rPr>
        <w:t xml:space="preserve">, </w:t>
      </w:r>
      <w:r w:rsidRPr="00E7097C">
        <w:rPr>
          <w:rFonts w:ascii="NewsGotT" w:hAnsi="NewsGotT"/>
          <w:i/>
          <w:iCs/>
          <w:noProof/>
        </w:rPr>
        <w:t>6</w:t>
      </w:r>
      <w:r w:rsidRPr="00E7097C">
        <w:rPr>
          <w:rFonts w:ascii="NewsGotT" w:hAnsi="NewsGotT"/>
          <w:noProof/>
        </w:rPr>
        <w:t>(1), 90. https://doi.org/10.1038/s41572-020-00223-4</w:t>
      </w:r>
    </w:p>
    <w:p w14:paraId="508B1FE3"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Wilson, K., Broadhurst, C., Diver, M., Jackson, M., &amp; Mottram, P. (2005). Plasma insulin growth factor - 1 and incident delirium in older people. </w:t>
      </w:r>
      <w:r w:rsidRPr="00E7097C">
        <w:rPr>
          <w:rFonts w:ascii="NewsGotT" w:hAnsi="NewsGotT"/>
          <w:i/>
          <w:iCs/>
          <w:noProof/>
        </w:rPr>
        <w:t>International Journal of Geriatric Psychiatry</w:t>
      </w:r>
      <w:r w:rsidRPr="00E7097C">
        <w:rPr>
          <w:rFonts w:ascii="NewsGotT" w:hAnsi="NewsGotT"/>
          <w:noProof/>
        </w:rPr>
        <w:t xml:space="preserve">, </w:t>
      </w:r>
      <w:r w:rsidRPr="00E7097C">
        <w:rPr>
          <w:rFonts w:ascii="NewsGotT" w:hAnsi="NewsGotT"/>
          <w:i/>
          <w:iCs/>
          <w:noProof/>
        </w:rPr>
        <w:t>20</w:t>
      </w:r>
      <w:r w:rsidRPr="00E7097C">
        <w:rPr>
          <w:rFonts w:ascii="NewsGotT" w:hAnsi="NewsGotT"/>
          <w:noProof/>
        </w:rPr>
        <w:t>(2), 154–159. https://doi.org/10.1002/gps.1265</w:t>
      </w:r>
    </w:p>
    <w:p w14:paraId="04532C9F"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Wirth, R., &amp; Hipp, J. (2000). CRISP-DM</w:t>
      </w:r>
      <w:r w:rsidRPr="00E7097C">
        <w:rPr>
          <w:noProof/>
        </w:rPr>
        <w:t> </w:t>
      </w:r>
      <w:r w:rsidRPr="00E7097C">
        <w:rPr>
          <w:rFonts w:ascii="NewsGotT" w:hAnsi="NewsGotT"/>
          <w:noProof/>
        </w:rPr>
        <w:t xml:space="preserve">: Towards a Standard Process Model for Data Mining. </w:t>
      </w:r>
      <w:r w:rsidRPr="00E7097C">
        <w:rPr>
          <w:rFonts w:ascii="NewsGotT" w:hAnsi="NewsGotT"/>
          <w:i/>
          <w:iCs/>
          <w:noProof/>
        </w:rPr>
        <w:t>Proceedings of the Fourth International Conference on the Practical Application of Knowledge Discovery and Data Mining</w:t>
      </w:r>
      <w:r w:rsidRPr="00E7097C">
        <w:rPr>
          <w:rFonts w:ascii="NewsGotT" w:hAnsi="NewsGotT"/>
          <w:noProof/>
        </w:rPr>
        <w:t>, (24959), 29–39.</w:t>
      </w:r>
    </w:p>
    <w:p w14:paraId="05E38B7C"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E7097C">
        <w:rPr>
          <w:rFonts w:ascii="NewsGotT" w:hAnsi="NewsGotT"/>
          <w:i/>
          <w:iCs/>
          <w:noProof/>
        </w:rPr>
        <w:t>JAMA - Journal of the American Medical Association</w:t>
      </w:r>
      <w:r w:rsidRPr="00E7097C">
        <w:rPr>
          <w:rFonts w:ascii="NewsGotT" w:hAnsi="NewsGotT"/>
          <w:noProof/>
        </w:rPr>
        <w:t xml:space="preserve">, </w:t>
      </w:r>
      <w:r w:rsidRPr="00E7097C">
        <w:rPr>
          <w:rFonts w:ascii="NewsGotT" w:hAnsi="NewsGotT"/>
          <w:i/>
          <w:iCs/>
          <w:noProof/>
        </w:rPr>
        <w:t>304</w:t>
      </w:r>
      <w:r w:rsidRPr="00E7097C">
        <w:rPr>
          <w:rFonts w:ascii="NewsGotT" w:hAnsi="NewsGotT"/>
          <w:noProof/>
        </w:rPr>
        <w:t>(4), 443–451. https://doi.org/10.1001/jama.2010.1013</w:t>
      </w:r>
    </w:p>
    <w:p w14:paraId="056ABE9C"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Wong, A., Young, A. T., Liang, A. S., Gonzales, R., Douglas, V. C., &amp; Hadley, D. (2018). Development </w:t>
      </w:r>
      <w:r w:rsidRPr="00E7097C">
        <w:rPr>
          <w:rFonts w:ascii="NewsGotT" w:hAnsi="NewsGotT"/>
          <w:noProof/>
        </w:rPr>
        <w:lastRenderedPageBreak/>
        <w:t xml:space="preserve">and Validation of an Electronic Health Record-Based Machine Learning Model to Estimate Delirium Risk in Newly Hospitalized Patients Without Known Cognitive Impairment. </w:t>
      </w:r>
      <w:r w:rsidRPr="00E7097C">
        <w:rPr>
          <w:rFonts w:ascii="NewsGotT" w:hAnsi="NewsGotT"/>
          <w:i/>
          <w:iCs/>
          <w:noProof/>
        </w:rPr>
        <w:t>JAMA Network Open</w:t>
      </w:r>
      <w:r w:rsidRPr="00E7097C">
        <w:rPr>
          <w:rFonts w:ascii="NewsGotT" w:hAnsi="NewsGotT"/>
          <w:noProof/>
        </w:rPr>
        <w:t xml:space="preserve">, </w:t>
      </w:r>
      <w:r w:rsidRPr="00E7097C">
        <w:rPr>
          <w:rFonts w:ascii="NewsGotT" w:hAnsi="NewsGotT"/>
          <w:i/>
          <w:iCs/>
          <w:noProof/>
        </w:rPr>
        <w:t>1</w:t>
      </w:r>
      <w:r w:rsidRPr="00E7097C">
        <w:rPr>
          <w:rFonts w:ascii="NewsGotT" w:hAnsi="NewsGotT"/>
          <w:noProof/>
        </w:rPr>
        <w:t>(4), e181018. https://doi.org/10.1001/jamanetworkopen.2018.1018</w:t>
      </w:r>
    </w:p>
    <w:p w14:paraId="6B1F20BD"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Wong, C. L., Holroyd-Leduc, J., Simel, D. L., &amp; Straus, S. E. (2010). Does this patient have delirium?: value of bedside instruments. </w:t>
      </w:r>
      <w:r w:rsidRPr="00E7097C">
        <w:rPr>
          <w:rFonts w:ascii="NewsGotT" w:hAnsi="NewsGotT"/>
          <w:i/>
          <w:iCs/>
          <w:noProof/>
        </w:rPr>
        <w:t>Jama</w:t>
      </w:r>
      <w:r w:rsidRPr="00E7097C">
        <w:rPr>
          <w:rFonts w:ascii="NewsGotT" w:hAnsi="NewsGotT"/>
          <w:noProof/>
        </w:rPr>
        <w:t xml:space="preserve">, </w:t>
      </w:r>
      <w:r w:rsidRPr="00E7097C">
        <w:rPr>
          <w:rFonts w:ascii="NewsGotT" w:hAnsi="NewsGotT"/>
          <w:i/>
          <w:iCs/>
          <w:noProof/>
        </w:rPr>
        <w:t>304</w:t>
      </w:r>
      <w:r w:rsidRPr="00E7097C">
        <w:rPr>
          <w:rFonts w:ascii="NewsGotT" w:hAnsi="NewsGotT"/>
          <w:noProof/>
        </w:rPr>
        <w:t>(7), 779–786.</w:t>
      </w:r>
    </w:p>
    <w:p w14:paraId="2437EA19"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Xia, H., Wang, C., Yan, L., Dong, X., &amp; Wang, Y. (2019). Machine Learning Based Medicine Distribution System. In </w:t>
      </w:r>
      <w:r w:rsidRPr="00E7097C">
        <w:rPr>
          <w:rFonts w:ascii="NewsGotT" w:hAnsi="NewsGotT"/>
          <w:i/>
          <w:iCs/>
          <w:noProof/>
        </w:rPr>
        <w:t>Proceedings of the 2019 10th IEEE International Conference on Intelligent Data Acquisition and Advanced Computing Systems: Technology and Applications, IDAACS 2019</w:t>
      </w:r>
      <w:r w:rsidRPr="00E7097C">
        <w:rPr>
          <w:rFonts w:ascii="NewsGotT" w:hAnsi="NewsGotT"/>
          <w:noProof/>
        </w:rPr>
        <w:t xml:space="preserve"> (Vol. 2, pp. 912–915). IEEE. https://doi.org/10.1109/IDAACS.2019.8924236</w:t>
      </w:r>
    </w:p>
    <w:p w14:paraId="101C893E"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E7097C">
        <w:rPr>
          <w:rFonts w:ascii="NewsGotT" w:hAnsi="NewsGotT"/>
          <w:i/>
          <w:iCs/>
          <w:noProof/>
        </w:rPr>
        <w:t>JAMA Network Open</w:t>
      </w:r>
      <w:r w:rsidRPr="00E7097C">
        <w:rPr>
          <w:rFonts w:ascii="NewsGotT" w:hAnsi="NewsGotT"/>
          <w:noProof/>
        </w:rPr>
        <w:t xml:space="preserve">, </w:t>
      </w:r>
      <w:r w:rsidRPr="00E7097C">
        <w:rPr>
          <w:rFonts w:ascii="NewsGotT" w:hAnsi="NewsGotT"/>
          <w:i/>
          <w:iCs/>
          <w:noProof/>
        </w:rPr>
        <w:t>4</w:t>
      </w:r>
      <w:r w:rsidRPr="00E7097C">
        <w:rPr>
          <w:rFonts w:ascii="NewsGotT" w:hAnsi="NewsGotT"/>
          <w:noProof/>
        </w:rPr>
        <w:t>(3), e212240. https://doi.org/10.1001/jamanetworkopen.2021.2240</w:t>
      </w:r>
    </w:p>
    <w:p w14:paraId="31C9BFEE" w14:textId="77777777" w:rsidR="00E7097C" w:rsidRPr="00E7097C" w:rsidRDefault="00E7097C" w:rsidP="00E7097C">
      <w:pPr>
        <w:widowControl w:val="0"/>
        <w:autoSpaceDE w:val="0"/>
        <w:autoSpaceDN w:val="0"/>
        <w:adjustRightInd w:val="0"/>
        <w:ind w:left="480" w:hanging="480"/>
        <w:rPr>
          <w:rFonts w:ascii="NewsGotT" w:hAnsi="NewsGotT"/>
          <w:noProof/>
        </w:rPr>
      </w:pPr>
      <w:r w:rsidRPr="00E7097C">
        <w:rPr>
          <w:rFonts w:ascii="NewsGotT" w:hAnsi="NewsGotT"/>
          <w:noProof/>
        </w:rPr>
        <w:t xml:space="preserve">Yanagihara, H., Kamo, K. I., Imori, S., &amp; Satoh, K. (2012). Bias-corrected AIC for selecting variables in multinomial logistic regression models. </w:t>
      </w:r>
      <w:r w:rsidRPr="00E7097C">
        <w:rPr>
          <w:rFonts w:ascii="NewsGotT" w:hAnsi="NewsGotT"/>
          <w:i/>
          <w:iCs/>
          <w:noProof/>
        </w:rPr>
        <w:t>Linear Algebra and Its Applications</w:t>
      </w:r>
      <w:r w:rsidRPr="00E7097C">
        <w:rPr>
          <w:rFonts w:ascii="NewsGotT" w:hAnsi="NewsGotT"/>
          <w:noProof/>
        </w:rPr>
        <w:t xml:space="preserve">, </w:t>
      </w:r>
      <w:r w:rsidRPr="00E7097C">
        <w:rPr>
          <w:rFonts w:ascii="NewsGotT" w:hAnsi="NewsGotT"/>
          <w:i/>
          <w:iCs/>
          <w:noProof/>
        </w:rPr>
        <w:t>436</w:t>
      </w:r>
      <w:r w:rsidRPr="00E7097C">
        <w:rPr>
          <w:rFonts w:ascii="NewsGotT" w:hAnsi="NewsGotT"/>
          <w:noProof/>
        </w:rPr>
        <w:t>(11), 4329–4341. https://doi.org/10.1016/j.laa.2012.01.018</w:t>
      </w:r>
    </w:p>
    <w:p w14:paraId="4439A721" w14:textId="23D4CDFA" w:rsidR="00C75460" w:rsidRPr="001264D6" w:rsidRDefault="00C75460" w:rsidP="00E7097C">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41844" w14:textId="77777777" w:rsidR="002B51CF" w:rsidRDefault="002B51CF" w:rsidP="00E21F02">
      <w:r>
        <w:separator/>
      </w:r>
    </w:p>
  </w:endnote>
  <w:endnote w:type="continuationSeparator" w:id="0">
    <w:p w14:paraId="3802447E" w14:textId="77777777" w:rsidR="002B51CF" w:rsidRDefault="002B51CF"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909DE" w14:textId="77777777" w:rsidR="002B51CF" w:rsidRDefault="002B51CF" w:rsidP="00E21F02">
      <w:r>
        <w:separator/>
      </w:r>
    </w:p>
  </w:footnote>
  <w:footnote w:type="continuationSeparator" w:id="0">
    <w:p w14:paraId="0FEC6C3C" w14:textId="77777777" w:rsidR="002B51CF" w:rsidRDefault="002B51CF"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1CF"/>
    <w:rsid w:val="002B5A42"/>
    <w:rsid w:val="002B5B0B"/>
    <w:rsid w:val="002B6903"/>
    <w:rsid w:val="002B6A3F"/>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4D6"/>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4F7"/>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108</Pages>
  <Words>133928</Words>
  <Characters>786159</Characters>
  <Application>Microsoft Office Word</Application>
  <DocSecurity>0</DocSecurity>
  <Lines>23122</Lines>
  <Paragraphs>10223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909864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193</cp:revision>
  <cp:lastPrinted>2021-08-06T22:21:00Z</cp:lastPrinted>
  <dcterms:created xsi:type="dcterms:W3CDTF">2021-08-06T22:21:00Z</dcterms:created>
  <dcterms:modified xsi:type="dcterms:W3CDTF">2021-08-26T15:53:00Z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