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17F3" w14:textId="77777777" w:rsidR="00B25DD8" w:rsidRDefault="00B25DD8" w:rsidP="00B25DD8">
      <w:pPr>
        <w:pStyle w:val="Heading2"/>
        <w:rPr>
          <w:lang w:val="pt-PT"/>
        </w:rPr>
      </w:pPr>
      <w:bookmarkStart w:id="0" w:name="_Toc60932890"/>
      <w:bookmarkStart w:id="1" w:name="_Toc61364874"/>
      <w:proofErr w:type="spellStart"/>
      <w:r>
        <w:rPr>
          <w:lang w:val="pt-PT"/>
        </w:rPr>
        <w:t>Machine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Learning</w:t>
      </w:r>
      <w:bookmarkEnd w:id="1"/>
      <w:proofErr w:type="spellEnd"/>
      <w:r>
        <w:rPr>
          <w:lang w:val="pt-PT"/>
        </w:rPr>
        <w:t xml:space="preserve"> </w:t>
      </w:r>
    </w:p>
    <w:p w14:paraId="3E5B8352" w14:textId="77777777" w:rsidR="00B25DD8" w:rsidRDefault="00B25DD8" w:rsidP="00B25DD8">
      <w:pPr>
        <w:rPr>
          <w:lang w:eastAsia="x-none"/>
        </w:rPr>
      </w:pPr>
      <w:r>
        <w:rPr>
          <w:lang w:eastAsia="x-none"/>
        </w:rPr>
        <w:t>A Aprendizagem Automática é uma área de investigação que utiliza conceitos de inteligência artificial e</w:t>
      </w:r>
    </w:p>
    <w:p w14:paraId="57C9A38D" w14:textId="77777777" w:rsidR="00B25DD8" w:rsidRDefault="00B25DD8" w:rsidP="00B25DD8">
      <w:pPr>
        <w:rPr>
          <w:lang w:eastAsia="x-none"/>
        </w:rPr>
      </w:pPr>
      <w:r>
        <w:rPr>
          <w:lang w:eastAsia="x-none"/>
        </w:rPr>
        <w:t>estatística. É uma disciplina extensa usando diversos métodos de aprendizagem, como por exemplo as</w:t>
      </w:r>
    </w:p>
    <w:p w14:paraId="6D942BFD" w14:textId="77777777" w:rsidR="00B25DD8" w:rsidRDefault="00B25DD8" w:rsidP="00B25DD8">
      <w:pPr>
        <w:rPr>
          <w:lang w:eastAsia="x-none"/>
        </w:rPr>
      </w:pPr>
      <w:r>
        <w:rPr>
          <w:lang w:eastAsia="x-none"/>
        </w:rPr>
        <w:t>redes neuronais, e, tendo como pontos de aplicação a robótica, entre outras.</w:t>
      </w:r>
    </w:p>
    <w:p w14:paraId="68688BF5" w14:textId="77777777" w:rsidR="00B25DD8" w:rsidRPr="00323ABD" w:rsidRDefault="00B25DD8" w:rsidP="00B25DD8">
      <w:pPr>
        <w:rPr>
          <w:lang w:eastAsia="x-none"/>
        </w:rPr>
      </w:pPr>
      <w:r w:rsidRPr="00BE3C6C">
        <w:rPr>
          <w:lang w:eastAsia="x-none"/>
        </w:rPr>
        <w:t>Aprendizagem Automática considera métodos e os respetivos programas de software para extrair conhecimento útil (padrões, modelos, relações) de grandes bases de dados que frequentemente contem informação caótica e redundante. A maior utilidade e impacto do conhecimento extraído a partir de dados e eventos históricos é na previsão de eventos e alterações similares no futuro.</w:t>
      </w:r>
    </w:p>
    <w:p w14:paraId="0DCE2A5F" w14:textId="4B78C998" w:rsidR="00B25DD8" w:rsidRDefault="00B25DD8" w:rsidP="00B25DD8">
      <w:pPr>
        <w:pStyle w:val="Heading3"/>
      </w:pPr>
      <w:bookmarkStart w:id="2" w:name="_Toc61364875"/>
      <w:r>
        <w:t>História e Evolução</w:t>
      </w:r>
      <w:bookmarkEnd w:id="2"/>
      <w:r>
        <w:t xml:space="preserve"> </w:t>
      </w:r>
    </w:p>
    <w:p w14:paraId="73DAACA6" w14:textId="1A425943" w:rsidR="00C8602C" w:rsidRDefault="00C8602C" w:rsidP="00C8602C"/>
    <w:p w14:paraId="7E673248" w14:textId="0C603697" w:rsidR="00CE28F9" w:rsidRDefault="00CE28F9" w:rsidP="00C8602C"/>
    <w:p w14:paraId="621AED16" w14:textId="77777777" w:rsidR="00CE28F9" w:rsidRDefault="00CE28F9" w:rsidP="00C8602C"/>
    <w:p w14:paraId="517F682E" w14:textId="77777777" w:rsidR="00C8602C" w:rsidRPr="00C8602C" w:rsidRDefault="00C8602C" w:rsidP="00C8602C"/>
    <w:p w14:paraId="55D7E2C3" w14:textId="77777777" w:rsidR="00B25DD8" w:rsidRDefault="00B25DD8" w:rsidP="00B25DD8">
      <w:pPr>
        <w:pStyle w:val="Heading3"/>
      </w:pPr>
      <w:bookmarkStart w:id="3" w:name="_Toc61364876"/>
      <w:r>
        <w:t>Categorias</w:t>
      </w:r>
      <w:bookmarkEnd w:id="3"/>
      <w:r>
        <w:t xml:space="preserve"> </w:t>
      </w:r>
    </w:p>
    <w:p w14:paraId="56233299" w14:textId="77777777" w:rsidR="00B25DD8" w:rsidRDefault="00B25DD8" w:rsidP="00B25DD8"/>
    <w:p w14:paraId="1F58F6AB" w14:textId="77777777" w:rsidR="00B25DD8" w:rsidRDefault="00B25DD8" w:rsidP="00B25DD8"/>
    <w:p w14:paraId="32FBC4DB" w14:textId="77777777" w:rsidR="00B25DD8" w:rsidRDefault="00B25DD8" w:rsidP="00B25DD8"/>
    <w:p w14:paraId="7FBBCB03" w14:textId="77777777" w:rsidR="00B25DD8" w:rsidRDefault="00B25DD8" w:rsidP="00B25DD8">
      <w:pPr>
        <w:pStyle w:val="Heading3"/>
      </w:pPr>
      <w:bookmarkStart w:id="4" w:name="_Toc61364877"/>
      <w:proofErr w:type="spellStart"/>
      <w:r>
        <w:t>Frameworks</w:t>
      </w:r>
      <w:proofErr w:type="spellEnd"/>
      <w:r>
        <w:t xml:space="preserve"> para construção de modelos de </w:t>
      </w:r>
      <w:proofErr w:type="spellStart"/>
      <w:r w:rsidRPr="00130183">
        <w:rPr>
          <w:i/>
          <w:iCs/>
        </w:rPr>
        <w:t>Machine</w:t>
      </w:r>
      <w:proofErr w:type="spellEnd"/>
      <w:r w:rsidRPr="00130183">
        <w:rPr>
          <w:i/>
          <w:iCs/>
        </w:rPr>
        <w:t xml:space="preserve"> </w:t>
      </w:r>
      <w:proofErr w:type="spellStart"/>
      <w:r w:rsidRPr="00130183">
        <w:rPr>
          <w:i/>
          <w:iCs/>
        </w:rPr>
        <w:t>Learning</w:t>
      </w:r>
      <w:bookmarkEnd w:id="4"/>
      <w:proofErr w:type="spellEnd"/>
      <w:r>
        <w:t xml:space="preserve"> </w:t>
      </w:r>
    </w:p>
    <w:p w14:paraId="626840E7" w14:textId="77777777" w:rsidR="00B25DD8" w:rsidRDefault="00B25DD8" w:rsidP="00B25DD8"/>
    <w:p w14:paraId="548EBFD9" w14:textId="77777777" w:rsidR="00B25DD8" w:rsidRDefault="00B25DD8" w:rsidP="00B25DD8">
      <w:pPr>
        <w:pStyle w:val="Heading3"/>
      </w:pPr>
      <w:r>
        <w:t xml:space="preserve">Metodologia </w:t>
      </w:r>
    </w:p>
    <w:p w14:paraId="0362D12F" w14:textId="77777777" w:rsidR="00B25DD8" w:rsidRPr="00806222" w:rsidRDefault="00B25DD8" w:rsidP="00B25DD8">
      <w:proofErr w:type="spellStart"/>
      <w:r>
        <w:t>Semma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</w:t>
      </w:r>
      <w:proofErr w:type="spellStart"/>
      <w:r>
        <w:t>crisp</w:t>
      </w:r>
      <w:proofErr w:type="spellEnd"/>
      <w:r>
        <w:t xml:space="preserve">-dm </w:t>
      </w:r>
    </w:p>
    <w:p w14:paraId="00FFBA64" w14:textId="77777777" w:rsidR="00B25DD8" w:rsidRPr="00806222" w:rsidRDefault="00B25DD8" w:rsidP="00B25DD8"/>
    <w:p w14:paraId="6D9E3849" w14:textId="77777777" w:rsidR="00B25DD8" w:rsidRDefault="00B25DD8" w:rsidP="00B25DD8"/>
    <w:p w14:paraId="69E23DEE" w14:textId="77777777" w:rsidR="00B25DD8" w:rsidRDefault="00B25DD8" w:rsidP="00B25DD8">
      <w:pPr>
        <w:pStyle w:val="Heading3"/>
      </w:pPr>
      <w:bookmarkStart w:id="5" w:name="_Toc61364878"/>
      <w:r>
        <w:t xml:space="preserve">ML </w:t>
      </w:r>
      <w:proofErr w:type="spellStart"/>
      <w:r>
        <w:t>Python</w:t>
      </w:r>
      <w:proofErr w:type="spellEnd"/>
      <w:r>
        <w:t xml:space="preserve"> Packages</w:t>
      </w:r>
      <w:bookmarkEnd w:id="5"/>
      <w:r>
        <w:t xml:space="preserve"> </w:t>
      </w:r>
    </w:p>
    <w:p w14:paraId="276ED11E" w14:textId="77777777" w:rsidR="00B25DD8" w:rsidRDefault="00B25DD8" w:rsidP="00B25DD8"/>
    <w:p w14:paraId="615936D3" w14:textId="77777777" w:rsidR="00B25DD8" w:rsidRDefault="00B25DD8" w:rsidP="00B25DD8">
      <w:pPr>
        <w:pStyle w:val="Heading3"/>
      </w:pPr>
      <w:bookmarkStart w:id="6" w:name="_Toc61364879"/>
      <w:r>
        <w:t>Exploração de dados</w:t>
      </w:r>
      <w:bookmarkEnd w:id="6"/>
      <w:r>
        <w:t xml:space="preserve"> </w:t>
      </w:r>
    </w:p>
    <w:p w14:paraId="36992F12" w14:textId="77777777" w:rsidR="00B25DD8" w:rsidRPr="00691994" w:rsidRDefault="00B25DD8" w:rsidP="00B25DD8"/>
    <w:p w14:paraId="4DD8C1C0" w14:textId="77777777" w:rsidR="00B25DD8" w:rsidRDefault="00B25DD8" w:rsidP="00660FF0"/>
    <w:p w14:paraId="6B15BB75" w14:textId="3BC556AA" w:rsidR="00B25DD8" w:rsidRDefault="00B25DD8" w:rsidP="00B25DD8">
      <w:pPr>
        <w:pStyle w:val="Heading2"/>
        <w:numPr>
          <w:ilvl w:val="0"/>
          <w:numId w:val="0"/>
        </w:numPr>
        <w:ind w:left="567"/>
        <w:rPr>
          <w:lang w:val="pt-PT"/>
        </w:rPr>
      </w:pPr>
    </w:p>
    <w:p w14:paraId="1C9A9C8A" w14:textId="7274195F" w:rsidR="00B25DD8" w:rsidRDefault="00B25DD8" w:rsidP="00B25DD8">
      <w:pPr>
        <w:rPr>
          <w:lang w:eastAsia="x-none"/>
        </w:rPr>
      </w:pPr>
    </w:p>
    <w:p w14:paraId="6AFE370A" w14:textId="35925945" w:rsidR="00B25DD8" w:rsidRDefault="00B25DD8" w:rsidP="00B25DD8">
      <w:pPr>
        <w:rPr>
          <w:lang w:eastAsia="x-none"/>
        </w:rPr>
      </w:pPr>
    </w:p>
    <w:p w14:paraId="4A776F6D" w14:textId="77777777" w:rsidR="00B25DD8" w:rsidRPr="00B25DD8" w:rsidRDefault="00B25DD8" w:rsidP="00B25DD8">
      <w:pPr>
        <w:rPr>
          <w:lang w:eastAsia="x-none"/>
        </w:rPr>
      </w:pPr>
    </w:p>
    <w:p w14:paraId="1BD866FB" w14:textId="79146E3E" w:rsidR="00660FF0" w:rsidRDefault="00660FF0" w:rsidP="00660FF0">
      <w:pPr>
        <w:pStyle w:val="Heading2"/>
        <w:rPr>
          <w:lang w:val="pt-PT"/>
        </w:rPr>
      </w:pPr>
      <w:proofErr w:type="spellStart"/>
      <w:r>
        <w:rPr>
          <w:lang w:val="pt-PT"/>
        </w:rPr>
        <w:t>Delirium</w:t>
      </w:r>
      <w:bookmarkEnd w:id="0"/>
      <w:proofErr w:type="spellEnd"/>
      <w:r>
        <w:rPr>
          <w:lang w:val="pt-PT"/>
        </w:rPr>
        <w:t xml:space="preserve"> </w:t>
      </w:r>
    </w:p>
    <w:p w14:paraId="523D4B30" w14:textId="34C5E312" w:rsidR="00372CF9" w:rsidRDefault="00372CF9" w:rsidP="00372CF9">
      <w:pPr>
        <w:rPr>
          <w:lang w:eastAsia="x-none"/>
        </w:rPr>
      </w:pPr>
      <w:r>
        <w:rPr>
          <w:lang w:eastAsia="x-none"/>
        </w:rPr>
        <w:t xml:space="preserve">O </w:t>
      </w:r>
      <w:proofErr w:type="spellStart"/>
      <w:r>
        <w:rPr>
          <w:lang w:eastAsia="x-none"/>
        </w:rPr>
        <w:t>delirium</w:t>
      </w:r>
      <w:proofErr w:type="spellEnd"/>
      <w:r>
        <w:rPr>
          <w:lang w:eastAsia="x-none"/>
        </w:rPr>
        <w:t xml:space="preserve"> é uma entidade clínica documentada na literatura médica há mais de 2000</w:t>
      </w:r>
      <w:r>
        <w:rPr>
          <w:lang w:eastAsia="x-none"/>
        </w:rPr>
        <w:t xml:space="preserve"> </w:t>
      </w:r>
      <w:r>
        <w:rPr>
          <w:lang w:eastAsia="x-none"/>
        </w:rPr>
        <w:t>anos, inicialmente descrita por Hipócrates. O termo médico “</w:t>
      </w:r>
      <w:proofErr w:type="spellStart"/>
      <w:r>
        <w:rPr>
          <w:lang w:eastAsia="x-none"/>
        </w:rPr>
        <w:t>delirium</w:t>
      </w:r>
      <w:proofErr w:type="spellEnd"/>
      <w:r>
        <w:rPr>
          <w:lang w:eastAsia="x-none"/>
        </w:rPr>
        <w:t>”, derivado do termo</w:t>
      </w:r>
      <w:r>
        <w:rPr>
          <w:lang w:eastAsia="x-none"/>
        </w:rPr>
        <w:t xml:space="preserve"> </w:t>
      </w:r>
      <w:r>
        <w:rPr>
          <w:lang w:eastAsia="x-none"/>
        </w:rPr>
        <w:t xml:space="preserve">latino </w:t>
      </w:r>
      <w:proofErr w:type="spellStart"/>
      <w:r w:rsidRPr="00E362DE">
        <w:rPr>
          <w:i/>
          <w:iCs/>
          <w:lang w:eastAsia="x-none"/>
        </w:rPr>
        <w:t>delirare</w:t>
      </w:r>
      <w:proofErr w:type="spellEnd"/>
      <w:r>
        <w:rPr>
          <w:lang w:eastAsia="x-none"/>
        </w:rPr>
        <w:t>, foi primeiramente usado no primeiro século D.C. por Celso, sendo usado para</w:t>
      </w:r>
      <w:r>
        <w:rPr>
          <w:lang w:eastAsia="x-none"/>
        </w:rPr>
        <w:t xml:space="preserve"> </w:t>
      </w:r>
      <w:r>
        <w:rPr>
          <w:lang w:eastAsia="x-none"/>
        </w:rPr>
        <w:t>descrever distúrbios mentais associados a febre ou traumatismos cranianos.[1]</w:t>
      </w:r>
    </w:p>
    <w:p w14:paraId="26A4F24C" w14:textId="32F0CB08" w:rsidR="00372CF9" w:rsidRPr="00372CF9" w:rsidRDefault="00372CF9" w:rsidP="00372CF9">
      <w:pPr>
        <w:rPr>
          <w:lang w:eastAsia="x-none"/>
        </w:rPr>
      </w:pPr>
      <w:r>
        <w:rPr>
          <w:lang w:eastAsia="x-none"/>
        </w:rPr>
        <w:t>Atualmente, o termo “</w:t>
      </w:r>
      <w:proofErr w:type="spellStart"/>
      <w:r w:rsidRPr="00372CF9">
        <w:rPr>
          <w:i/>
          <w:iCs/>
          <w:lang w:eastAsia="x-none"/>
        </w:rPr>
        <w:t>delirium</w:t>
      </w:r>
      <w:proofErr w:type="spellEnd"/>
      <w:r>
        <w:rPr>
          <w:lang w:eastAsia="x-none"/>
        </w:rPr>
        <w:t>” é preferido, e consiste numa síndrome</w:t>
      </w:r>
      <w:r>
        <w:rPr>
          <w:lang w:eastAsia="x-none"/>
        </w:rPr>
        <w:t xml:space="preserve"> </w:t>
      </w:r>
      <w:r>
        <w:rPr>
          <w:lang w:eastAsia="x-none"/>
        </w:rPr>
        <w:t>neuropsiquiátrica aguda específica, definida como uma perturbação transitória da atenção e</w:t>
      </w:r>
      <w:r>
        <w:rPr>
          <w:lang w:eastAsia="x-none"/>
        </w:rPr>
        <w:t xml:space="preserve"> </w:t>
      </w:r>
      <w:r>
        <w:rPr>
          <w:lang w:eastAsia="x-none"/>
        </w:rPr>
        <w:t>cognição, de início súbito e curso flutuante, com evidência de uma causa subjacente.[3]</w:t>
      </w:r>
    </w:p>
    <w:p w14:paraId="2EBCC87B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7" w:name="_Toc60932891"/>
      <w:r>
        <w:t>Definição</w:t>
      </w:r>
      <w:bookmarkEnd w:id="7"/>
      <w:r>
        <w:t xml:space="preserve"> </w:t>
      </w:r>
    </w:p>
    <w:p w14:paraId="1B63EA62" w14:textId="5CDD0C8B" w:rsidR="00660FF0" w:rsidRDefault="00660FF0" w:rsidP="00660FF0"/>
    <w:p w14:paraId="273728D5" w14:textId="0B86A35C" w:rsidR="00372CF9" w:rsidRDefault="00372CF9" w:rsidP="00372CF9">
      <w:r>
        <w:t xml:space="preserve">O </w:t>
      </w:r>
      <w:proofErr w:type="spellStart"/>
      <w:r>
        <w:t>delirium</w:t>
      </w:r>
      <w:proofErr w:type="spellEnd"/>
      <w:r>
        <w:t xml:space="preserve"> foi primeiramente definido como entidade clínica na 3ª edição do</w:t>
      </w:r>
      <w:r>
        <w:t xml:space="preserve">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Manual </w:t>
      </w:r>
      <w:proofErr w:type="spellStart"/>
      <w:r>
        <w:t>of</w:t>
      </w:r>
      <w:proofErr w:type="spellEnd"/>
      <w:r>
        <w:t xml:space="preserve"> Mental </w:t>
      </w:r>
      <w:proofErr w:type="spellStart"/>
      <w:r>
        <w:t>Disorders</w:t>
      </w:r>
      <w:proofErr w:type="spellEnd"/>
      <w:r>
        <w:t xml:space="preserve"> (DSM-III).[1] Os critérios de</w:t>
      </w:r>
      <w:r>
        <w:t xml:space="preserve"> </w:t>
      </w:r>
      <w:r>
        <w:t xml:space="preserve">diagnóstico de referência </w:t>
      </w:r>
      <w:proofErr w:type="spellStart"/>
      <w:r>
        <w:t>actual</w:t>
      </w:r>
      <w:proofErr w:type="spellEnd"/>
      <w:r>
        <w:t xml:space="preserve"> são os descritos na mais recente versão deste manual</w:t>
      </w:r>
      <w:r>
        <w:t xml:space="preserve">. </w:t>
      </w:r>
    </w:p>
    <w:p w14:paraId="632360F4" w14:textId="77777777" w:rsidR="00660FF0" w:rsidRDefault="00660FF0" w:rsidP="00660FF0">
      <w:r>
        <w:t xml:space="preserve"> O DSM-5 define o </w:t>
      </w:r>
      <w:proofErr w:type="spellStart"/>
      <w:r w:rsidRPr="00F87379">
        <w:rPr>
          <w:i/>
          <w:iCs/>
        </w:rPr>
        <w:t>delirium</w:t>
      </w:r>
      <w:proofErr w:type="spellEnd"/>
      <w:r>
        <w:t xml:space="preserve"> como uma síndrome caracterizada por uma perturbação do nível de consciência com défice de atenção e distúrbio da cognição ou perceção, ocorridos num curto período de tempo.</w:t>
      </w:r>
    </w:p>
    <w:p w14:paraId="5F4B690C" w14:textId="77777777" w:rsidR="00660FF0" w:rsidRDefault="00660FF0" w:rsidP="00660FF0"/>
    <w:p w14:paraId="6B09ED97" w14:textId="77777777" w:rsidR="00660FF0" w:rsidRDefault="00660FF0" w:rsidP="00660FF0"/>
    <w:p w14:paraId="76EC99D6" w14:textId="77777777" w:rsidR="00660FF0" w:rsidRPr="00F87379" w:rsidRDefault="00660FF0" w:rsidP="00660FF0"/>
    <w:p w14:paraId="6DD69ACE" w14:textId="77777777" w:rsidR="00660FF0" w:rsidRDefault="00660FF0" w:rsidP="00660FF0"/>
    <w:p w14:paraId="5CFDB89C" w14:textId="77777777" w:rsidR="00660FF0" w:rsidRDefault="00660FF0" w:rsidP="00660FF0"/>
    <w:p w14:paraId="0CA0288B" w14:textId="77777777" w:rsidR="00660FF0" w:rsidRDefault="00660FF0" w:rsidP="00660FF0"/>
    <w:p w14:paraId="7740173D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8" w:name="_Toc60932892"/>
      <w:r>
        <w:t>Fatores predisponentes</w:t>
      </w:r>
      <w:bookmarkEnd w:id="8"/>
      <w:r>
        <w:t xml:space="preserve"> </w:t>
      </w:r>
    </w:p>
    <w:p w14:paraId="70C86895" w14:textId="77777777" w:rsidR="00660FF0" w:rsidRDefault="00660FF0" w:rsidP="00660FF0"/>
    <w:p w14:paraId="53610BD9" w14:textId="77777777" w:rsidR="00660FF0" w:rsidRDefault="00660FF0" w:rsidP="00660FF0">
      <w:pPr>
        <w:rPr>
          <w:lang w:val="pt-BR"/>
        </w:rPr>
      </w:pPr>
      <w:r w:rsidRPr="004B6F9F">
        <w:rPr>
          <w:lang w:val="pt-BR"/>
        </w:rPr>
        <w:t xml:space="preserve">No contexto de internamento hospitalar, pode-se afirmar, de uma forma genérica, que os fatores </w:t>
      </w:r>
      <w:r w:rsidRPr="004B6F9F">
        <w:rPr>
          <w:color w:val="000000" w:themeColor="text1"/>
        </w:rPr>
        <w:t xml:space="preserve">predisponentes correspondem aos </w:t>
      </w:r>
      <w:r w:rsidRPr="00257F68">
        <w:rPr>
          <w:color w:val="000000" w:themeColor="text1"/>
        </w:rPr>
        <w:t>fatores</w:t>
      </w:r>
      <w:r w:rsidRPr="004B6F9F">
        <w:rPr>
          <w:color w:val="000000" w:themeColor="text1"/>
        </w:rPr>
        <w:t xml:space="preserve"> presentes à admissão e, os </w:t>
      </w:r>
      <w:r w:rsidRPr="00257F68">
        <w:rPr>
          <w:color w:val="000000" w:themeColor="text1"/>
        </w:rPr>
        <w:t>fatores precipitantes, aos fatores instalados</w:t>
      </w:r>
      <w:r w:rsidRPr="004B6F9F">
        <w:rPr>
          <w:lang w:val="pt-BR"/>
        </w:rPr>
        <w:t xml:space="preserve"> durante o internamento.[7, 43]</w:t>
      </w:r>
      <w:r w:rsidRPr="004B6F9F">
        <w:t xml:space="preserve"> </w:t>
      </w:r>
      <w:r w:rsidRPr="004B6F9F">
        <w:rPr>
          <w:lang w:val="pt-BR"/>
        </w:rPr>
        <w:t>A proporção de pacientes que desenvolve delirium é</w:t>
      </w:r>
      <w:r>
        <w:rPr>
          <w:lang w:val="pt-BR"/>
        </w:rPr>
        <w:t xml:space="preserve"> </w:t>
      </w:r>
      <w:r w:rsidRPr="004B6F9F">
        <w:rPr>
          <w:lang w:val="pt-BR"/>
        </w:rPr>
        <w:t>diretamente proporcional ao número de fatores de risco presentes à admissão.[2]</w:t>
      </w:r>
    </w:p>
    <w:p w14:paraId="4D105714" w14:textId="77777777" w:rsidR="00660FF0" w:rsidRDefault="00660FF0" w:rsidP="00660FF0">
      <w:pPr>
        <w:rPr>
          <w:lang w:val="pt-BR"/>
        </w:rPr>
      </w:pPr>
      <w:r w:rsidRPr="004B6F9F">
        <w:rPr>
          <w:lang w:val="pt-BR"/>
        </w:rPr>
        <w:t>Os principais fatores predisponentes, identificados de forma consistente em todas as</w:t>
      </w:r>
      <w:r>
        <w:rPr>
          <w:lang w:val="pt-BR"/>
        </w:rPr>
        <w:t xml:space="preserve"> </w:t>
      </w:r>
      <w:r w:rsidRPr="004B6F9F">
        <w:rPr>
          <w:lang w:val="pt-BR"/>
        </w:rPr>
        <w:t xml:space="preserve">populações de doentes, são a idade avançada, a </w:t>
      </w:r>
      <w:proofErr w:type="spellStart"/>
      <w:r w:rsidRPr="004B6F9F">
        <w:rPr>
          <w:lang w:val="pt-BR"/>
        </w:rPr>
        <w:t>pluripatologia</w:t>
      </w:r>
      <w:proofErr w:type="spellEnd"/>
      <w:r w:rsidRPr="004B6F9F">
        <w:rPr>
          <w:lang w:val="pt-BR"/>
        </w:rPr>
        <w:t xml:space="preserve"> e o défice cognitivo,</w:t>
      </w:r>
      <w:r>
        <w:rPr>
          <w:lang w:val="pt-BR"/>
        </w:rPr>
        <w:t xml:space="preserve"> </w:t>
      </w:r>
      <w:r w:rsidRPr="004B6F9F">
        <w:rPr>
          <w:lang w:val="pt-BR"/>
        </w:rPr>
        <w:t>particularmente a demência grave.[6, 7, 15]</w:t>
      </w:r>
    </w:p>
    <w:p w14:paraId="06E96C8A" w14:textId="77777777" w:rsidR="00660FF0" w:rsidRDefault="00660FF0" w:rsidP="00660FF0">
      <w:pPr>
        <w:rPr>
          <w:lang w:val="pt-BR"/>
        </w:rPr>
      </w:pPr>
    </w:p>
    <w:p w14:paraId="43F5AE8B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9" w:name="_Toc60932893"/>
      <w:r>
        <w:t>Fatores precipitantes</w:t>
      </w:r>
      <w:bookmarkEnd w:id="9"/>
      <w:r>
        <w:t xml:space="preserve"> </w:t>
      </w:r>
    </w:p>
    <w:p w14:paraId="4335DE1E" w14:textId="77777777" w:rsidR="00660FF0" w:rsidRDefault="00660FF0" w:rsidP="00660FF0">
      <w:pPr>
        <w:pStyle w:val="Heading3"/>
        <w:numPr>
          <w:ilvl w:val="0"/>
          <w:numId w:val="0"/>
        </w:numPr>
        <w:jc w:val="both"/>
      </w:pPr>
      <w:bookmarkStart w:id="10" w:name="_Toc60932894"/>
    </w:p>
    <w:p w14:paraId="0496F3A7" w14:textId="77777777" w:rsidR="00660FF0" w:rsidRDefault="00660FF0" w:rsidP="00660FF0">
      <w:pPr>
        <w:pStyle w:val="Heading3"/>
        <w:numPr>
          <w:ilvl w:val="0"/>
          <w:numId w:val="0"/>
        </w:numPr>
        <w:jc w:val="both"/>
      </w:pPr>
      <w:r>
        <w:t xml:space="preserve">Os fatores precipitantes (insultos agudos) são aqueles que acionam os mecanismos fisiopatológicos do </w:t>
      </w:r>
      <w:proofErr w:type="spellStart"/>
      <w:r>
        <w:t>delirium</w:t>
      </w:r>
      <w:proofErr w:type="spellEnd"/>
      <w:r>
        <w:t>.[2, 33] Os vários fatores precipitantes têm uma contribuição diferente consoante as populações de doentes.[5, 15, 32] As causas mais comuns no idoso incluem fármacos, infeções e alterações laboratoriais, seguidos de eventos cardiovasculares, traumatismos e iatrogenia, sobretudo cirurgia.[2, 5, 33-35]</w:t>
      </w:r>
      <w:bookmarkEnd w:id="10"/>
    </w:p>
    <w:p w14:paraId="2E0DFD79" w14:textId="77777777" w:rsidR="00660FF0" w:rsidRDefault="00660FF0" w:rsidP="00660FF0"/>
    <w:p w14:paraId="69C1E073" w14:textId="77777777" w:rsidR="00660FF0" w:rsidRPr="00BF4E26" w:rsidRDefault="00660FF0" w:rsidP="00660FF0"/>
    <w:p w14:paraId="4DCC7F48" w14:textId="77777777" w:rsidR="00660FF0" w:rsidRPr="00BF4E26" w:rsidRDefault="00660FF0" w:rsidP="00660FF0"/>
    <w:p w14:paraId="393BCF63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1" w:name="_Toc60932895"/>
      <w:proofErr w:type="spellStart"/>
      <w:r w:rsidRPr="00F83B6C">
        <w:t>Delirium</w:t>
      </w:r>
      <w:proofErr w:type="spellEnd"/>
      <w:r w:rsidRPr="00F83B6C">
        <w:t xml:space="preserve"> devido a uma condição médica</w:t>
      </w:r>
      <w:bookmarkEnd w:id="11"/>
    </w:p>
    <w:p w14:paraId="468FE7D3" w14:textId="77777777" w:rsidR="00660FF0" w:rsidRDefault="00660FF0" w:rsidP="00660FF0">
      <w:pPr>
        <w:pStyle w:val="Heading3"/>
        <w:numPr>
          <w:ilvl w:val="0"/>
          <w:numId w:val="0"/>
        </w:numPr>
      </w:pPr>
    </w:p>
    <w:p w14:paraId="19BD61D8" w14:textId="77777777" w:rsidR="00660FF0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  <w:bookmarkStart w:id="12" w:name="_Toc60932896"/>
      <w:r w:rsidRPr="00257F68">
        <w:rPr>
          <w:color w:val="auto"/>
          <w:lang w:val="pt-BR"/>
        </w:rPr>
        <w:t>Sistémica</w:t>
      </w:r>
      <w:bookmarkEnd w:id="12"/>
    </w:p>
    <w:p w14:paraId="115F6D4B" w14:textId="77777777" w:rsidR="00660FF0" w:rsidRPr="00257F68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  <w:bookmarkStart w:id="13" w:name="_Toc60932897"/>
      <w:r w:rsidRPr="00257F68">
        <w:rPr>
          <w:color w:val="auto"/>
          <w:lang w:val="pt-BR"/>
        </w:rPr>
        <w:lastRenderedPageBreak/>
        <w:t xml:space="preserve">As infeções, sobretudo infeção urinária e pneumonia mas também </w:t>
      </w:r>
      <w:proofErr w:type="spellStart"/>
      <w:r w:rsidRPr="00257F68">
        <w:rPr>
          <w:color w:val="auto"/>
          <w:lang w:val="pt-BR"/>
        </w:rPr>
        <w:t>septicémia</w:t>
      </w:r>
      <w:proofErr w:type="spellEnd"/>
      <w:r w:rsidRPr="00257F68">
        <w:rPr>
          <w:color w:val="auto"/>
          <w:lang w:val="pt-BR"/>
        </w:rPr>
        <w:t xml:space="preserve">, são, a par dos efeitos colaterais dos fármacos, das causas mais frequentemente reportadas de </w:t>
      </w:r>
      <w:r w:rsidRPr="00257F68">
        <w:rPr>
          <w:i/>
          <w:iCs/>
          <w:color w:val="auto"/>
          <w:lang w:val="pt-BR"/>
        </w:rPr>
        <w:t>delirium</w:t>
      </w:r>
      <w:r w:rsidRPr="00257F68">
        <w:rPr>
          <w:color w:val="auto"/>
          <w:lang w:val="pt-BR"/>
        </w:rPr>
        <w:t>.[7,32,36]</w:t>
      </w:r>
      <w:bookmarkEnd w:id="13"/>
      <w:r w:rsidRPr="00257F68">
        <w:rPr>
          <w:color w:val="auto"/>
          <w:lang w:val="pt-BR"/>
        </w:rPr>
        <w:t xml:space="preserve"> </w:t>
      </w:r>
    </w:p>
    <w:p w14:paraId="14F09736" w14:textId="77777777" w:rsidR="00660FF0" w:rsidRPr="00257F68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</w:p>
    <w:p w14:paraId="6CE5B899" w14:textId="77777777" w:rsidR="00660FF0" w:rsidRPr="00257F68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  <w:bookmarkStart w:id="14" w:name="_Toc60932898"/>
      <w:r w:rsidRPr="00257F68">
        <w:rPr>
          <w:color w:val="auto"/>
          <w:lang w:val="pt-BR"/>
        </w:rPr>
        <w:t xml:space="preserve">A própria febre pode causar </w:t>
      </w:r>
      <w:r w:rsidRPr="00257F68">
        <w:rPr>
          <w:i/>
          <w:iCs/>
          <w:color w:val="auto"/>
          <w:lang w:val="pt-BR"/>
        </w:rPr>
        <w:t>delirium</w:t>
      </w:r>
      <w:r w:rsidRPr="00257F68">
        <w:rPr>
          <w:color w:val="auto"/>
          <w:lang w:val="pt-BR"/>
        </w:rPr>
        <w:t>, designadamente por infeções virais ou mesmo causas não infeciosas.[52] Traumatismo, choque e doença grave com falência orgânica são outros fatores sistémicos potencialmente implicados.[5, 7, 32, 38]</w:t>
      </w:r>
      <w:bookmarkEnd w:id="14"/>
    </w:p>
    <w:p w14:paraId="43E7B872" w14:textId="77777777" w:rsidR="00660FF0" w:rsidRPr="00257F68" w:rsidRDefault="00660FF0" w:rsidP="00660FF0">
      <w:pPr>
        <w:rPr>
          <w:lang w:val="pt-BR"/>
        </w:rPr>
      </w:pPr>
    </w:p>
    <w:p w14:paraId="2B9BD8CA" w14:textId="77777777" w:rsidR="00660FF0" w:rsidRDefault="00660FF0" w:rsidP="00660FF0">
      <w:r>
        <w:t xml:space="preserve">As causas mais comuns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nos pacientes oncológicos são alterações metabólicas como </w:t>
      </w:r>
      <w:proofErr w:type="spellStart"/>
      <w:r>
        <w:t>hipercalcémia</w:t>
      </w:r>
      <w:proofErr w:type="spellEnd"/>
      <w:r>
        <w:t xml:space="preserve"> (devido a metástases ósseas) e hipoglicémia, desidratação, insuficiência hepática ou renal, mais do que por </w:t>
      </w:r>
      <w:proofErr w:type="spellStart"/>
      <w:r>
        <w:t>metastização</w:t>
      </w:r>
      <w:proofErr w:type="spellEnd"/>
      <w:r>
        <w:t xml:space="preserve"> cerebral.[21, 36]</w:t>
      </w:r>
    </w:p>
    <w:p w14:paraId="14D87C07" w14:textId="77777777" w:rsidR="00660FF0" w:rsidRDefault="00660FF0" w:rsidP="00660FF0"/>
    <w:p w14:paraId="501AC653" w14:textId="77777777" w:rsidR="00660FF0" w:rsidRDefault="00660FF0" w:rsidP="00660FF0">
      <w:r>
        <w:t>Neurológica</w:t>
      </w:r>
    </w:p>
    <w:p w14:paraId="2E373752" w14:textId="77777777" w:rsidR="00660FF0" w:rsidRDefault="00660FF0" w:rsidP="00660FF0">
      <w:r>
        <w:t xml:space="preserve">A maioria das causas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encontra-se fora do SNC, devendo estas ser primeiramente investigadas na ausência de suspeição clínica nesse sentido.[46] Porém, a afeção do SNC é, como se percebe, uma causa importante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, quer seja por traumatismo, infeção, AVC, hemorragia, neoplasia ou epilepsia.[7] Confusão mental ou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podem ocorrer como uma consequência não específica de qualquer AVC, desaparecendo geralmente dentro de 24 a 48 horas.[54] Confusão mental ou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mais prolongados podem ocorrer em </w:t>
      </w:r>
      <w:proofErr w:type="spellStart"/>
      <w:r>
        <w:t>AVCs</w:t>
      </w:r>
      <w:proofErr w:type="spellEnd"/>
      <w:r>
        <w:t xml:space="preserve"> hemorrágicos ou, no caso dos </w:t>
      </w:r>
      <w:proofErr w:type="spellStart"/>
      <w:r>
        <w:t>AVCs</w:t>
      </w:r>
      <w:proofErr w:type="spellEnd"/>
      <w:r>
        <w:t xml:space="preserve"> isquémicos, sobretudo no território da artéria cerebral posterior no hemisfério não dominante, afetando estruturas relacionadas com a atenção e consciência, frequentemente associados a perda de campo visual e agitação.[5]</w:t>
      </w:r>
    </w:p>
    <w:p w14:paraId="1751FE1D" w14:textId="77777777" w:rsidR="00660FF0" w:rsidRDefault="00660FF0" w:rsidP="00660FF0"/>
    <w:p w14:paraId="3F8E504A" w14:textId="77777777" w:rsidR="00660FF0" w:rsidRDefault="00660FF0" w:rsidP="00660FF0">
      <w:r>
        <w:t>Vascular</w:t>
      </w:r>
    </w:p>
    <w:p w14:paraId="51AAF1BC" w14:textId="77777777" w:rsidR="00660FF0" w:rsidRDefault="00660FF0" w:rsidP="00660FF0">
      <w:r>
        <w:t xml:space="preserve">Múltiplas causas vasculares podem causar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(tabela 5), com ou sem afeção neurológica direta.[7]</w:t>
      </w:r>
    </w:p>
    <w:p w14:paraId="2608A4BF" w14:textId="77777777" w:rsidR="00660FF0" w:rsidRDefault="00660FF0" w:rsidP="00660FF0">
      <w:r>
        <w:t xml:space="preserve">A anemia, insuficiência cardíaca congestiva (ICC), arritmias cardíacas e choque podem causar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pois constituem fundamentalmente estados de </w:t>
      </w:r>
      <w:proofErr w:type="spellStart"/>
      <w:r>
        <w:t>hipoperfusão</w:t>
      </w:r>
      <w:proofErr w:type="spellEnd"/>
      <w:r>
        <w:t xml:space="preserve">.[10] As vasculites com envolvimento cerebral são uma causa vascular mais rara, mas igualmente passível de afetar o SNC e causar </w:t>
      </w:r>
      <w:proofErr w:type="spellStart"/>
      <w:r w:rsidRPr="0011794D">
        <w:rPr>
          <w:i/>
          <w:iCs/>
        </w:rPr>
        <w:t>delirium</w:t>
      </w:r>
      <w:proofErr w:type="spellEnd"/>
      <w:r>
        <w:t>.[5]</w:t>
      </w:r>
    </w:p>
    <w:p w14:paraId="34A4F8FF" w14:textId="77777777" w:rsidR="00660FF0" w:rsidRDefault="00660FF0" w:rsidP="00660FF0"/>
    <w:p w14:paraId="37F11EA9" w14:textId="77777777" w:rsidR="00660FF0" w:rsidRDefault="00660FF0" w:rsidP="00660FF0">
      <w:r>
        <w:t>Iatrogénica</w:t>
      </w:r>
    </w:p>
    <w:p w14:paraId="383212EF" w14:textId="77777777" w:rsidR="00660FF0" w:rsidRDefault="00660FF0" w:rsidP="00660FF0">
      <w:r>
        <w:t xml:space="preserve">O </w:t>
      </w:r>
      <w:proofErr w:type="spellStart"/>
      <w:r>
        <w:t>delirium</w:t>
      </w:r>
      <w:proofErr w:type="spellEnd"/>
      <w:r>
        <w:t xml:space="preserve"> pós-cirúrgico tem uma incidência que varia de 5% a 15%[25-27] e tem geralmente origem </w:t>
      </w:r>
      <w:proofErr w:type="spellStart"/>
      <w:r>
        <w:t>multifactorial</w:t>
      </w:r>
      <w:proofErr w:type="spellEnd"/>
      <w:r>
        <w:t>.[26]</w:t>
      </w:r>
    </w:p>
    <w:p w14:paraId="740D36FC" w14:textId="77777777" w:rsidR="00660FF0" w:rsidRPr="0011794D" w:rsidRDefault="00660FF0" w:rsidP="00660FF0">
      <w:r>
        <w:lastRenderedPageBreak/>
        <w:t xml:space="preserve">A fratura da anca associa-se a um risco particularmente elevado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devido a múltiplos fatores, desde o traumatismo associado à lesão, a necessidade de internamento e cirurgia urgentes, à dor e perda de função associadas.[26]</w:t>
      </w:r>
    </w:p>
    <w:p w14:paraId="3A034B6C" w14:textId="77777777" w:rsidR="00660FF0" w:rsidRPr="004B6F9F" w:rsidRDefault="00660FF0" w:rsidP="00660FF0">
      <w:pPr>
        <w:rPr>
          <w:lang w:val="pt-BR"/>
        </w:rPr>
      </w:pPr>
    </w:p>
    <w:p w14:paraId="2B713B0A" w14:textId="77777777" w:rsidR="00660FF0" w:rsidRDefault="00660FF0" w:rsidP="00660FF0">
      <w:pPr>
        <w:rPr>
          <w:lang w:val="pt-BR"/>
        </w:rPr>
      </w:pPr>
    </w:p>
    <w:p w14:paraId="31F2A914" w14:textId="77777777" w:rsidR="00660FF0" w:rsidRDefault="00660FF0" w:rsidP="00660FF0">
      <w:pPr>
        <w:rPr>
          <w:lang w:val="pt-BR"/>
        </w:rPr>
      </w:pPr>
    </w:p>
    <w:p w14:paraId="454D31D1" w14:textId="77777777" w:rsidR="00660FF0" w:rsidRDefault="00660FF0" w:rsidP="00660FF0">
      <w:pPr>
        <w:rPr>
          <w:lang w:val="pt-BR"/>
        </w:rPr>
      </w:pPr>
    </w:p>
    <w:p w14:paraId="3D7CF8B1" w14:textId="77777777" w:rsidR="00660FF0" w:rsidRDefault="00660FF0" w:rsidP="00660FF0">
      <w:pPr>
        <w:rPr>
          <w:lang w:val="pt-BR"/>
        </w:rPr>
      </w:pPr>
    </w:p>
    <w:p w14:paraId="7E5D6900" w14:textId="77777777" w:rsidR="00660FF0" w:rsidRDefault="00660FF0" w:rsidP="00660FF0">
      <w:pPr>
        <w:rPr>
          <w:lang w:val="pt-BR"/>
        </w:rPr>
      </w:pPr>
    </w:p>
    <w:p w14:paraId="609228DF" w14:textId="77777777" w:rsidR="00660FF0" w:rsidRPr="0011794D" w:rsidRDefault="00660FF0" w:rsidP="00660FF0">
      <w:pPr>
        <w:rPr>
          <w:lang w:val="pt-BR"/>
        </w:rPr>
      </w:pPr>
    </w:p>
    <w:p w14:paraId="6236E739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5" w:name="_Toc60932899"/>
      <w:r>
        <w:t>Clínica</w:t>
      </w:r>
      <w:bookmarkEnd w:id="15"/>
      <w:r>
        <w:t xml:space="preserve"> </w:t>
      </w:r>
    </w:p>
    <w:p w14:paraId="6F516B58" w14:textId="77777777" w:rsidR="00660FF0" w:rsidRDefault="00660FF0" w:rsidP="00660FF0"/>
    <w:p w14:paraId="218FEF8E" w14:textId="77777777" w:rsidR="00660FF0" w:rsidRDefault="00660FF0" w:rsidP="00660FF0">
      <w:r>
        <w:t xml:space="preserve">As manifestações clínicas diagnósticas chave de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são, por definição (DSM-5), perturbação da consciência, com défice de atenção, e da cognição ou perceção, desenvolvidas num curto período de tempo, com curso flutuante.[7]</w:t>
      </w:r>
    </w:p>
    <w:p w14:paraId="29E5D34F" w14:textId="77777777" w:rsidR="00660FF0" w:rsidRDefault="00660FF0" w:rsidP="00660FF0"/>
    <w:p w14:paraId="70E8446E" w14:textId="77777777" w:rsidR="00660FF0" w:rsidRDefault="00660FF0" w:rsidP="00660FF0">
      <w:r>
        <w:t xml:space="preserve">A alteração do nível de consciência, com défice de atenção, é a característica essencial, mais consistente, do </w:t>
      </w:r>
      <w:proofErr w:type="spellStart"/>
      <w:r w:rsidRPr="00064575">
        <w:rPr>
          <w:i/>
          <w:iCs/>
        </w:rPr>
        <w:t>delirium</w:t>
      </w:r>
      <w:proofErr w:type="spellEnd"/>
      <w:r>
        <w:t>.[4] O paciente manifesta dificuldade em dirigir, focar, manter e desviar a atenção: apresenta dificuldade em manter um diálogo ou cumprir ordens, distraindo-se facilmente com estímulos pouco revelantes, levando à necessidade de repetição de perguntas aquando da entrevista médica, e não raramente, persevera com respostas em relação às perguntas já realizadas.[16]</w:t>
      </w:r>
    </w:p>
    <w:p w14:paraId="19961BC9" w14:textId="77777777" w:rsidR="00660FF0" w:rsidRDefault="00660FF0" w:rsidP="00660FF0"/>
    <w:p w14:paraId="2EB4B02F" w14:textId="77777777" w:rsidR="00660FF0" w:rsidRDefault="00660FF0" w:rsidP="00660FF0">
      <w:r>
        <w:t xml:space="preserve">Para além das manifestações clínicas diagnósticas chave de </w:t>
      </w:r>
      <w:proofErr w:type="spellStart"/>
      <w:r w:rsidRPr="00261798">
        <w:rPr>
          <w:i/>
          <w:iCs/>
        </w:rPr>
        <w:t>delirium</w:t>
      </w:r>
      <w:proofErr w:type="spellEnd"/>
      <w:r>
        <w:t>, podem ocorrer outras alterações do estado mental, que muito embora frequentes e típicas, não são necessárias ao diagnóstico.[14] Alterações adicionais incluem perturbação do ciclo sono-vigília, alteração psicomotora (</w:t>
      </w:r>
      <w:proofErr w:type="spellStart"/>
      <w:r>
        <w:t>hipoactividade</w:t>
      </w:r>
      <w:proofErr w:type="spellEnd"/>
      <w:r>
        <w:t xml:space="preserve"> ou </w:t>
      </w:r>
      <w:proofErr w:type="spellStart"/>
      <w:r>
        <w:t>hiperactividade</w:t>
      </w:r>
      <w:proofErr w:type="spellEnd"/>
      <w:r>
        <w:t>), inadequação do comportamento (até agressividade) e distúrbios emocionais (ansiedade, labilidade emocional).[4, 7, 11]</w:t>
      </w:r>
    </w:p>
    <w:p w14:paraId="64D7BD75" w14:textId="77777777" w:rsidR="00660FF0" w:rsidRDefault="00660FF0" w:rsidP="00660FF0"/>
    <w:p w14:paraId="438C2F29" w14:textId="77777777" w:rsidR="00660FF0" w:rsidRDefault="00660FF0" w:rsidP="00660FF0">
      <w:r>
        <w:t xml:space="preserve">O comportamento psicomotor varia entre o aumento e a diminuição da atividade motora.[14] </w:t>
      </w:r>
      <w:r w:rsidRPr="00261798">
        <w:t xml:space="preserve">A diminuição da atividade psicomotora consiste em </w:t>
      </w:r>
      <w:proofErr w:type="spellStart"/>
      <w:r w:rsidRPr="00261798">
        <w:t>lentificação</w:t>
      </w:r>
      <w:proofErr w:type="spellEnd"/>
      <w:r w:rsidRPr="00261798">
        <w:t xml:space="preserve"> motora e</w:t>
      </w:r>
      <w:r>
        <w:t xml:space="preserve"> letargia,[58] aproximando-se do estupor, caso em que em que há adicionalmente défice de resposta aos estímulos.[14] Manifestações </w:t>
      </w:r>
      <w:r>
        <w:lastRenderedPageBreak/>
        <w:t>do aumento da atividade psicomotora incluem inquietação, agitação, irritabilidade, atos como afastar as roupas de cama numa tentativa de fuga quando tal não é seguro ou é inoportuno, ou, raramente, agressividade.[58]</w:t>
      </w:r>
    </w:p>
    <w:p w14:paraId="73FA02D2" w14:textId="77777777" w:rsidR="00660FF0" w:rsidRDefault="00660FF0" w:rsidP="00660FF0"/>
    <w:p w14:paraId="594B24B4" w14:textId="77777777" w:rsidR="00660FF0" w:rsidRDefault="00660FF0" w:rsidP="00660FF0"/>
    <w:p w14:paraId="32CBF551" w14:textId="77777777" w:rsidR="00660FF0" w:rsidRDefault="00660FF0" w:rsidP="00660FF0"/>
    <w:p w14:paraId="558EFBCB" w14:textId="77777777" w:rsidR="00660FF0" w:rsidRDefault="00660FF0" w:rsidP="00660FF0"/>
    <w:p w14:paraId="695E6CA4" w14:textId="77777777" w:rsidR="00660FF0" w:rsidRDefault="00660FF0" w:rsidP="00660FF0"/>
    <w:p w14:paraId="667ABDDF" w14:textId="77777777" w:rsidR="00660FF0" w:rsidRDefault="00660FF0" w:rsidP="00660FF0"/>
    <w:p w14:paraId="0DD2FC3E" w14:textId="77777777" w:rsidR="00660FF0" w:rsidRDefault="00660FF0" w:rsidP="00660FF0"/>
    <w:p w14:paraId="72237D09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6" w:name="_Toc60932900"/>
      <w:r w:rsidRPr="00261798">
        <w:t xml:space="preserve">Subtipos clínicos de </w:t>
      </w:r>
      <w:proofErr w:type="spellStart"/>
      <w:r w:rsidRPr="00261798">
        <w:t>delirium</w:t>
      </w:r>
      <w:bookmarkEnd w:id="16"/>
      <w:proofErr w:type="spellEnd"/>
    </w:p>
    <w:p w14:paraId="5680AA0B" w14:textId="77777777" w:rsidR="00660FF0" w:rsidRDefault="00660FF0" w:rsidP="00660FF0"/>
    <w:p w14:paraId="210857DE" w14:textId="77777777" w:rsidR="00660FF0" w:rsidRDefault="00660FF0" w:rsidP="00660FF0">
      <w:r>
        <w:t xml:space="preserve">De acordo com a predominância dos sintomas acima descritos, o episódio de </w:t>
      </w:r>
      <w:proofErr w:type="spellStart"/>
      <w:r>
        <w:t>delirium</w:t>
      </w:r>
      <w:proofErr w:type="spellEnd"/>
      <w:r>
        <w:t xml:space="preserve"> pode ser classificado em: </w:t>
      </w:r>
      <w:proofErr w:type="spellStart"/>
      <w:r>
        <w:t>hiperactivo</w:t>
      </w:r>
      <w:proofErr w:type="spellEnd"/>
      <w:r>
        <w:t xml:space="preserve"> (caracterizado por </w:t>
      </w:r>
      <w:proofErr w:type="spellStart"/>
      <w:r>
        <w:t>hipervigilância</w:t>
      </w:r>
      <w:proofErr w:type="spellEnd"/>
      <w:r>
        <w:t xml:space="preserve">, inquietação, agitação, sintomas psicóticos); </w:t>
      </w:r>
      <w:proofErr w:type="spellStart"/>
      <w:r>
        <w:t>hipoactivo</w:t>
      </w:r>
      <w:proofErr w:type="spellEnd"/>
      <w:r>
        <w:t xml:space="preserve"> (caracterizado por </w:t>
      </w:r>
      <w:proofErr w:type="spellStart"/>
      <w:r>
        <w:t>lentificação</w:t>
      </w:r>
      <w:proofErr w:type="spellEnd"/>
      <w:r>
        <w:t>, apatia, sonolência excessiva) ou misto (com características de ambos os subtipos anteriores).[4, 7, 14]</w:t>
      </w:r>
    </w:p>
    <w:p w14:paraId="581F9A64" w14:textId="77777777" w:rsidR="00660FF0" w:rsidRDefault="00660FF0" w:rsidP="00660FF0"/>
    <w:p w14:paraId="4F72D7C0" w14:textId="77777777" w:rsidR="00660FF0" w:rsidRDefault="00660FF0" w:rsidP="00660FF0"/>
    <w:p w14:paraId="03CBD066" w14:textId="77777777" w:rsidR="00660FF0" w:rsidRDefault="00660FF0" w:rsidP="00660FF0"/>
    <w:p w14:paraId="3D067EE5" w14:textId="77777777" w:rsidR="00660FF0" w:rsidRPr="00261798" w:rsidRDefault="00660FF0" w:rsidP="00660FF0"/>
    <w:p w14:paraId="3D3EE69E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7" w:name="_Toc60932901"/>
      <w:r>
        <w:t>Diagnóstico</w:t>
      </w:r>
      <w:bookmarkEnd w:id="17"/>
      <w:r>
        <w:t xml:space="preserve"> </w:t>
      </w:r>
    </w:p>
    <w:p w14:paraId="3122038E" w14:textId="77777777" w:rsidR="00660FF0" w:rsidRDefault="00660FF0" w:rsidP="00660FF0"/>
    <w:p w14:paraId="00EF355B" w14:textId="77777777" w:rsidR="00660FF0" w:rsidRDefault="00660FF0" w:rsidP="00660FF0">
      <w:r>
        <w:t xml:space="preserve">O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é um quadro agudo, grave, que necessita de um diagnóstico rápido, devendo ser encarado como uma emergência médica.[4, 7] Com efeito, esta síndrome correlaciona-se com um prognóstico mais adverso, e pode ter como causa um problema médico grave potencialmente reversível.[1, 9] Evidências indicam que o diagnóstico precoce e abordagem adequada, ao permitirem a prevenção das potenciais complicações, estão associados a uma redução das taxas de </w:t>
      </w:r>
      <w:proofErr w:type="spellStart"/>
      <w:r>
        <w:t>morbi</w:t>
      </w:r>
      <w:proofErr w:type="spellEnd"/>
      <w:r>
        <w:t xml:space="preserve">-mortalidade associadas ao </w:t>
      </w:r>
      <w:proofErr w:type="spellStart"/>
      <w:r w:rsidRPr="00261798">
        <w:rPr>
          <w:i/>
          <w:iCs/>
        </w:rPr>
        <w:t>delirium</w:t>
      </w:r>
      <w:proofErr w:type="spellEnd"/>
      <w:r>
        <w:t>.[2, 7]</w:t>
      </w:r>
    </w:p>
    <w:p w14:paraId="73DEA492" w14:textId="77777777" w:rsidR="00660FF0" w:rsidRDefault="00660FF0" w:rsidP="00660FF0">
      <w:r>
        <w:lastRenderedPageBreak/>
        <w:t xml:space="preserve">No entanto, o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é consistentemente </w:t>
      </w:r>
      <w:proofErr w:type="spellStart"/>
      <w:r>
        <w:t>subdiagnosticado</w:t>
      </w:r>
      <w:proofErr w:type="spellEnd"/>
      <w:r>
        <w:t xml:space="preserve"> e/ou negligenciado na prática clínica.[3, 4, 6-8, 13-15] As razões incluem a não consideração desta condição clínica ou das suas consequências, uma atitude preconceituosa de expectar um estado confusional nos idosos, a falta de conhecimento das características clínicas do </w:t>
      </w:r>
      <w:proofErr w:type="spellStart"/>
      <w:r>
        <w:t>delirium</w:t>
      </w:r>
      <w:proofErr w:type="spellEnd"/>
      <w:r>
        <w:t>, a falta de avaliação cognitiva formal como rotina, o curso flutuante, a sobreposição com demência ou a obtenção de informações inadequadas em relação ao nível de cognição e funcional prévios do doente.[2]</w:t>
      </w:r>
    </w:p>
    <w:p w14:paraId="3F5C5DF1" w14:textId="77777777" w:rsidR="00660FF0" w:rsidRDefault="00660FF0" w:rsidP="00660FF0"/>
    <w:p w14:paraId="558CB0F4" w14:textId="77777777" w:rsidR="00660FF0" w:rsidRPr="00F87379" w:rsidRDefault="00660FF0" w:rsidP="00660FF0">
      <w:r>
        <w:t xml:space="preserve">O diagnóstico de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exige, para além do conhecimento da patologia, uma observação clínica perspicaz.[7] Trata-se de um diagnóstico eminentemente clínico, através de uma história clínica e exame objetivo dirigidos e completos, complementados com uma avaliação cognitiva formal perante a suspeita de alteração cognitiva, e em caso positivo, a confirmação do diagnóstico de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através de um instrumento de diagnóstico validado.[10, 12]</w:t>
      </w:r>
    </w:p>
    <w:p w14:paraId="116D68A5" w14:textId="77777777" w:rsidR="00660FF0" w:rsidRPr="00F87379" w:rsidRDefault="00660FF0" w:rsidP="00660FF0"/>
    <w:p w14:paraId="2D5439EA" w14:textId="77777777" w:rsidR="00660FF0" w:rsidRPr="00F87379" w:rsidRDefault="00660FF0" w:rsidP="00660FF0"/>
    <w:p w14:paraId="133E93C9" w14:textId="77777777" w:rsidR="00660FF0" w:rsidRPr="008017BA" w:rsidRDefault="00660FF0" w:rsidP="00660FF0">
      <w:pPr>
        <w:ind w:firstLine="567"/>
        <w:contextualSpacing w:val="0"/>
      </w:pPr>
    </w:p>
    <w:p w14:paraId="62B84E53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8" w:name="_Toc60932902"/>
      <w:r>
        <w:t>Critérios de diagnóstico</w:t>
      </w:r>
      <w:bookmarkEnd w:id="18"/>
      <w:r>
        <w:t xml:space="preserve"> </w:t>
      </w:r>
    </w:p>
    <w:p w14:paraId="53A1AADB" w14:textId="77777777" w:rsidR="00660FF0" w:rsidRDefault="00660FF0" w:rsidP="00660FF0">
      <w:r>
        <w:t xml:space="preserve">Tendo em vista as altas taxas de resultados adversos e mortalidade, qualquer suspeita ou incerteza (incluindo pacientes com letargia ou incapazes de completar uma entrevista) deve ser abordada como </w:t>
      </w:r>
      <w:proofErr w:type="spellStart"/>
      <w:r w:rsidRPr="00B742E3">
        <w:rPr>
          <w:i/>
          <w:iCs/>
        </w:rPr>
        <w:t>delirium</w:t>
      </w:r>
      <w:proofErr w:type="spellEnd"/>
      <w:r>
        <w:t>, até prova em contrário.[4, 7]</w:t>
      </w:r>
    </w:p>
    <w:p w14:paraId="7C247231" w14:textId="77777777" w:rsidR="00660FF0" w:rsidRDefault="00660FF0" w:rsidP="00660FF0"/>
    <w:p w14:paraId="1D3DAB74" w14:textId="77777777" w:rsidR="00660FF0" w:rsidRDefault="00660FF0" w:rsidP="00660FF0">
      <w:r>
        <w:t xml:space="preserve">O instrumento diagnóstico melhor estudado e mais amplamente utilizado é o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(CAM). Apresenta uma sensibilidade de 43 a 90% e uma especificidade de 84 a 100%.[7, 12]</w:t>
      </w:r>
    </w:p>
    <w:p w14:paraId="61E7391C" w14:textId="77777777" w:rsidR="00660FF0" w:rsidRDefault="00660FF0" w:rsidP="00660FF0">
      <w:r>
        <w:t xml:space="preserve">O CAM encontra-se validado para a língua portuguesa,[57] bem como adaptado para uso em </w:t>
      </w:r>
      <w:proofErr w:type="spellStart"/>
      <w:r>
        <w:t>UCIs</w:t>
      </w:r>
      <w:proofErr w:type="spellEnd"/>
      <w:r>
        <w:t xml:space="preserve"> (CAM-ICU, devendo esta versão ser preferida igualmente em pacientes cirúrgicos[19]), serviços de urgência e lares de idosos.[7]</w:t>
      </w:r>
    </w:p>
    <w:p w14:paraId="7E86DB4F" w14:textId="77777777" w:rsidR="00660FF0" w:rsidRDefault="00660FF0" w:rsidP="00660FF0">
      <w:r>
        <w:t xml:space="preserve">É uma ferramenta simples, projetada a partir dos critérios do DSM-III-R[4] para facilitar o diagnóstico de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por profissionais não especializados em psiquiatria,[4] sendo recomendado treino para uma utilização ótima.[7, 14]</w:t>
      </w:r>
    </w:p>
    <w:p w14:paraId="1698545F" w14:textId="77777777" w:rsidR="00660FF0" w:rsidRDefault="00660FF0" w:rsidP="00660FF0"/>
    <w:p w14:paraId="6CE97EED" w14:textId="77777777" w:rsidR="00660FF0" w:rsidRDefault="00660FF0" w:rsidP="00660FF0">
      <w:r>
        <w:lastRenderedPageBreak/>
        <w:t xml:space="preserve">Outros instrumentos foram desenvolvidos para melhorar as taxas de deteção de </w:t>
      </w:r>
      <w:proofErr w:type="spellStart"/>
      <w:r>
        <w:t>delirium</w:t>
      </w:r>
      <w:proofErr w:type="spellEnd"/>
      <w:r>
        <w:t xml:space="preserve"> e/ou para determinar a sua intensidade.[14] Os instrumentos melhor validados e mais utilizados para avaliação da gravidade do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são o </w:t>
      </w:r>
      <w:proofErr w:type="spellStart"/>
      <w:r>
        <w:t>Delirium</w:t>
      </w:r>
      <w:proofErr w:type="spellEnd"/>
      <w:r>
        <w:t xml:space="preserve"> Rating Scale-R-98 (DRS-R-98) e o Memorial </w:t>
      </w:r>
      <w:proofErr w:type="spellStart"/>
      <w:r>
        <w:t>Delirium</w:t>
      </w:r>
      <w:proofErr w:type="spellEnd"/>
      <w:r>
        <w:t xml:space="preserve"> </w:t>
      </w:r>
      <w:proofErr w:type="spellStart"/>
      <w:r>
        <w:t>Assessment</w:t>
      </w:r>
      <w:proofErr w:type="spellEnd"/>
    </w:p>
    <w:p w14:paraId="54B72FB3" w14:textId="77777777" w:rsidR="00660FF0" w:rsidRDefault="00660FF0" w:rsidP="00660FF0">
      <w:proofErr w:type="spellStart"/>
      <w:r>
        <w:t>Scale</w:t>
      </w:r>
      <w:proofErr w:type="spellEnd"/>
      <w:r>
        <w:t xml:space="preserve"> (MDAS).[7, 31, 63]</w:t>
      </w:r>
    </w:p>
    <w:p w14:paraId="12ADCB8F" w14:textId="77777777" w:rsidR="00660FF0" w:rsidRDefault="00660FF0" w:rsidP="00660FF0"/>
    <w:p w14:paraId="3066E526" w14:textId="77777777" w:rsidR="00660FF0" w:rsidRDefault="00660FF0" w:rsidP="00660FF0">
      <w:r>
        <w:t xml:space="preserve">Estudos indicam que o CAM e CAM-ICU são os dois melhores instrumentos diagnósticos de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atualmente disponíveis.[2]</w:t>
      </w:r>
    </w:p>
    <w:p w14:paraId="76719F1E" w14:textId="77777777" w:rsidR="00660FF0" w:rsidRDefault="00660FF0" w:rsidP="00660FF0"/>
    <w:p w14:paraId="7FF24A90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9" w:name="_Toc60932903"/>
      <w:r>
        <w:t>Prognóstico</w:t>
      </w:r>
      <w:bookmarkEnd w:id="19"/>
      <w:r>
        <w:t xml:space="preserve"> </w:t>
      </w:r>
    </w:p>
    <w:p w14:paraId="0D238282" w14:textId="77777777" w:rsidR="00660FF0" w:rsidRDefault="00660FF0" w:rsidP="00660FF0">
      <w:r>
        <w:t xml:space="preserve">O </w:t>
      </w:r>
      <w:proofErr w:type="spellStart"/>
      <w:r w:rsidRPr="00955DEF">
        <w:rPr>
          <w:i/>
          <w:iCs/>
        </w:rPr>
        <w:t>delirium</w:t>
      </w:r>
      <w:proofErr w:type="spellEnd"/>
      <w:r>
        <w:t>, engloba por definição um conjunto de sintomas mais vasto que a confusão mental,[16] sendo por isso um indicador prognóstico mais sensível, para além de se poder aplicar a um conjunto mais amplo de patologias ou condições.[45, 47, 54]</w:t>
      </w:r>
    </w:p>
    <w:p w14:paraId="26526302" w14:textId="77777777" w:rsidR="00660FF0" w:rsidRDefault="00660FF0" w:rsidP="00660FF0"/>
    <w:p w14:paraId="41AD1CE4" w14:textId="77777777" w:rsidR="00660FF0" w:rsidRPr="00955DEF" w:rsidRDefault="00660FF0" w:rsidP="00660FF0">
      <w:r>
        <w:t xml:space="preserve">O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pode efetivamente progredir para estupor, coma, convulsões ou morte, particularmente se a causa subjacente permanecer sem tratamento.[16]</w:t>
      </w:r>
    </w:p>
    <w:p w14:paraId="293A3683" w14:textId="77777777" w:rsidR="00660FF0" w:rsidRPr="00B742E3" w:rsidRDefault="00660FF0" w:rsidP="00660FF0"/>
    <w:p w14:paraId="394A17B5" w14:textId="77777777" w:rsidR="00660FF0" w:rsidRDefault="00660FF0" w:rsidP="00660FF0">
      <w:pPr>
        <w:spacing w:after="0" w:line="240" w:lineRule="auto"/>
        <w:contextualSpacing w:val="0"/>
        <w:jc w:val="left"/>
      </w:pPr>
      <w:r w:rsidRPr="008017BA">
        <w:br w:type="page"/>
      </w:r>
    </w:p>
    <w:p w14:paraId="1615DD91" w14:textId="77777777" w:rsidR="00660FF0" w:rsidRDefault="00660FF0"/>
    <w:sectPr w:rsidR="0066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20B0604020202020204"/>
    <w:charset w:val="4D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B732B"/>
    <w:multiLevelType w:val="hybridMultilevel"/>
    <w:tmpl w:val="FACAD3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F47D3"/>
    <w:multiLevelType w:val="multilevel"/>
    <w:tmpl w:val="19D2145A"/>
    <w:lvl w:ilvl="0">
      <w:start w:val="1"/>
      <w:numFmt w:val="decimal"/>
      <w:pStyle w:val="TtuloCAP"/>
      <w:lvlText w:val="%1."/>
      <w:lvlJc w:val="left"/>
      <w:pPr>
        <w:tabs>
          <w:tab w:val="num" w:pos="680"/>
        </w:tabs>
        <w:ind w:left="720" w:hanging="363"/>
      </w:pPr>
      <w:rPr>
        <w:rFonts w:hint="default"/>
      </w:rPr>
    </w:lvl>
    <w:lvl w:ilvl="1">
      <w:start w:val="1"/>
      <w:numFmt w:val="decimal"/>
      <w:pStyle w:val="TtuloSECO"/>
      <w:lvlText w:val="%1.%2"/>
      <w:lvlJc w:val="left"/>
      <w:pPr>
        <w:tabs>
          <w:tab w:val="num" w:pos="1474"/>
        </w:tabs>
        <w:ind w:left="1440" w:hanging="36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uloSUBSECO"/>
      <w:lvlText w:val="%1.%2.%3"/>
      <w:lvlJc w:val="right"/>
      <w:pPr>
        <w:tabs>
          <w:tab w:val="num" w:pos="1928"/>
        </w:tabs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TtuloCAP"/>
        <w:lvlText w:val="%1."/>
        <w:lvlJc w:val="left"/>
        <w:pPr>
          <w:tabs>
            <w:tab w:val="num" w:pos="680"/>
          </w:tabs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SECO"/>
        <w:lvlText w:val="%1.%2"/>
        <w:lvlJc w:val="left"/>
        <w:pPr>
          <w:tabs>
            <w:tab w:val="num" w:pos="1474"/>
          </w:tabs>
          <w:ind w:left="1440" w:hanging="363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SUBSECO"/>
        <w:lvlText w:val="%1.%2.%3"/>
        <w:lvlJc w:val="left"/>
        <w:pPr>
          <w:ind w:left="2160" w:hanging="363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3"/>
        </w:pPr>
        <w:rPr>
          <w:rFonts w:hint="default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F0"/>
    <w:rsid w:val="00372CF9"/>
    <w:rsid w:val="00660FF0"/>
    <w:rsid w:val="00B25DD8"/>
    <w:rsid w:val="00C8602C"/>
    <w:rsid w:val="00CE28F9"/>
    <w:rsid w:val="00E362DE"/>
    <w:rsid w:val="00EB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6548B"/>
  <w15:chartTrackingRefBased/>
  <w15:docId w15:val="{E2795348-6D69-1449-A33F-D49B34C0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F0"/>
    <w:pPr>
      <w:spacing w:after="120" w:line="360" w:lineRule="auto"/>
      <w:contextualSpacing/>
      <w:jc w:val="both"/>
    </w:pPr>
    <w:rPr>
      <w:rFonts w:ascii="NewsGotT" w:eastAsia="Times New Roman" w:hAnsi="NewsGotT" w:cs="Times New Roman"/>
      <w:szCs w:val="22"/>
      <w:lang w:val="pt-PT" w:eastAsia="pt-PT"/>
    </w:rPr>
  </w:style>
  <w:style w:type="paragraph" w:styleId="Heading2">
    <w:name w:val="heading 2"/>
    <w:basedOn w:val="TtuloSECO"/>
    <w:next w:val="Normal"/>
    <w:link w:val="Heading2Char"/>
    <w:uiPriority w:val="9"/>
    <w:qFormat/>
    <w:rsid w:val="00660FF0"/>
    <w:pPr>
      <w:spacing w:before="600"/>
      <w:outlineLvl w:val="1"/>
    </w:pPr>
    <w:rPr>
      <w:color w:val="000000" w:themeColor="text1"/>
      <w:sz w:val="28"/>
      <w:szCs w:val="26"/>
    </w:rPr>
  </w:style>
  <w:style w:type="paragraph" w:styleId="Heading3">
    <w:name w:val="heading 3"/>
    <w:basedOn w:val="TituloSUBSECO"/>
    <w:next w:val="Normal"/>
    <w:link w:val="Heading3Char"/>
    <w:uiPriority w:val="9"/>
    <w:qFormat/>
    <w:rsid w:val="00660FF0"/>
    <w:pPr>
      <w:spacing w:before="480"/>
      <w:ind w:left="709" w:hanging="709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FF0"/>
    <w:rPr>
      <w:rFonts w:ascii="NewsGotT" w:eastAsia="Times New Roman" w:hAnsi="NewsGotT" w:cs="Times New Roman"/>
      <w:b/>
      <w:color w:val="000000" w:themeColor="text1"/>
      <w:sz w:val="28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660FF0"/>
    <w:rPr>
      <w:rFonts w:ascii="NewsGotT" w:eastAsia="Times New Roman" w:hAnsi="NewsGotT" w:cs="Times New Roman"/>
      <w:color w:val="000000" w:themeColor="text1"/>
      <w:szCs w:val="22"/>
      <w:lang w:val="pt-PT" w:eastAsia="pt-PT"/>
    </w:rPr>
  </w:style>
  <w:style w:type="paragraph" w:customStyle="1" w:styleId="TtuloCAP">
    <w:name w:val="TítuloCAP"/>
    <w:basedOn w:val="Normal"/>
    <w:next w:val="Normal"/>
    <w:qFormat/>
    <w:rsid w:val="00660FF0"/>
    <w:pPr>
      <w:numPr>
        <w:numId w:val="1"/>
      </w:numPr>
      <w:tabs>
        <w:tab w:val="clear" w:pos="680"/>
      </w:tabs>
      <w:spacing w:before="480" w:after="240"/>
      <w:ind w:left="567" w:hanging="567"/>
    </w:pPr>
    <w:rPr>
      <w:b/>
      <w:smallCaps/>
      <w:color w:val="595959"/>
      <w:sz w:val="28"/>
      <w:lang w:val="x-none" w:eastAsia="x-none"/>
    </w:rPr>
  </w:style>
  <w:style w:type="paragraph" w:customStyle="1" w:styleId="TtuloSECO">
    <w:name w:val="TítuloSECÇÃO"/>
    <w:basedOn w:val="Normal"/>
    <w:next w:val="Normal"/>
    <w:qFormat/>
    <w:rsid w:val="00660FF0"/>
    <w:pPr>
      <w:numPr>
        <w:ilvl w:val="1"/>
        <w:numId w:val="1"/>
      </w:numPr>
      <w:tabs>
        <w:tab w:val="clear" w:pos="1474"/>
      </w:tabs>
      <w:spacing w:before="360"/>
      <w:ind w:left="567" w:hanging="567"/>
    </w:pPr>
    <w:rPr>
      <w:b/>
      <w:color w:val="595959"/>
      <w:lang w:val="x-none" w:eastAsia="x-none"/>
    </w:rPr>
  </w:style>
  <w:style w:type="paragraph" w:customStyle="1" w:styleId="TituloSUBSECO">
    <w:name w:val="TituloSUBSECÇÃO"/>
    <w:basedOn w:val="Normal"/>
    <w:next w:val="Normal"/>
    <w:qFormat/>
    <w:rsid w:val="00660FF0"/>
    <w:pPr>
      <w:numPr>
        <w:ilvl w:val="2"/>
        <w:numId w:val="1"/>
      </w:numPr>
      <w:tabs>
        <w:tab w:val="clear" w:pos="1928"/>
      </w:tabs>
      <w:spacing w:before="240"/>
      <w:ind w:left="567" w:hanging="567"/>
      <w:jc w:val="left"/>
    </w:pPr>
    <w:rPr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1585</Words>
  <Characters>9036</Characters>
  <Application>Microsoft Office Word</Application>
  <DocSecurity>0</DocSecurity>
  <Lines>75</Lines>
  <Paragraphs>21</Paragraphs>
  <ScaleCrop>false</ScaleCrop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6</cp:revision>
  <dcterms:created xsi:type="dcterms:W3CDTF">2021-01-13T12:13:00Z</dcterms:created>
  <dcterms:modified xsi:type="dcterms:W3CDTF">2021-01-15T12:03:00Z</dcterms:modified>
</cp:coreProperties>
</file>