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4CE1" w14:textId="4C8D4182" w:rsidR="007B7839" w:rsidRPr="003A0F42" w:rsidRDefault="007B7839" w:rsidP="00AA07D9">
      <w:pPr>
        <w:jc w:val="both"/>
        <w:rPr>
          <w:b/>
          <w:bCs/>
          <w:sz w:val="32"/>
          <w:szCs w:val="32"/>
        </w:rPr>
      </w:pPr>
      <w:r w:rsidRPr="003A0F42">
        <w:rPr>
          <w:b/>
          <w:bCs/>
          <w:sz w:val="32"/>
          <w:szCs w:val="32"/>
        </w:rPr>
        <w:t xml:space="preserve">12137_tese </w:t>
      </w:r>
    </w:p>
    <w:p w14:paraId="5A9733BF" w14:textId="77777777" w:rsidR="00231D59" w:rsidRPr="003A0F42" w:rsidRDefault="00231D59" w:rsidP="00AA07D9">
      <w:pPr>
        <w:jc w:val="both"/>
        <w:rPr>
          <w:sz w:val="23"/>
          <w:szCs w:val="23"/>
        </w:rPr>
      </w:pPr>
    </w:p>
    <w:p w14:paraId="740F4DF9" w14:textId="77777777" w:rsidR="00231D59" w:rsidRPr="003A0F42" w:rsidRDefault="00231D59" w:rsidP="00AA07D9">
      <w:pPr>
        <w:jc w:val="both"/>
        <w:rPr>
          <w:sz w:val="23"/>
          <w:szCs w:val="23"/>
        </w:rPr>
      </w:pPr>
    </w:p>
    <w:p w14:paraId="541B1F47" w14:textId="56DB4E78" w:rsidR="00231D59" w:rsidRPr="00382D94" w:rsidRDefault="00231D59" w:rsidP="00AA07D9">
      <w:pPr>
        <w:jc w:val="both"/>
        <w:rPr>
          <w:sz w:val="23"/>
          <w:szCs w:val="23"/>
        </w:rPr>
      </w:pPr>
      <w:r w:rsidRPr="00382D94">
        <w:rPr>
          <w:sz w:val="23"/>
          <w:szCs w:val="23"/>
        </w:rPr>
        <w:t xml:space="preserve">7- </w:t>
      </w:r>
      <w:r>
        <w:rPr>
          <w:sz w:val="23"/>
          <w:szCs w:val="23"/>
          <w:lang w:val="pt-BR"/>
        </w:rPr>
        <w:fldChar w:fldCharType="begin" w:fldLock="1"/>
      </w:r>
      <w:r w:rsidR="00B62C62" w:rsidRPr="00382D94">
        <w:rPr>
          <w:sz w:val="23"/>
          <w:szCs w:val="23"/>
        </w:rP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2014)","previouslyFormattedCitation":"(Inouye, Westendorp, &amp; Saczynski, 2014)"},"properties":{"noteIndex":0},"schema":"https://github.com/citation-style-language/schema/raw/master/csl-citation.json"}</w:instrText>
      </w:r>
      <w:r>
        <w:rPr>
          <w:sz w:val="23"/>
          <w:szCs w:val="23"/>
          <w:lang w:val="pt-BR"/>
        </w:rPr>
        <w:fldChar w:fldCharType="separate"/>
      </w:r>
      <w:r w:rsidRPr="00382D94">
        <w:rPr>
          <w:noProof/>
          <w:sz w:val="23"/>
          <w:szCs w:val="23"/>
        </w:rPr>
        <w:t>(Inouye, Westendorp, &amp; Saczynski, 2014)</w:t>
      </w:r>
      <w:r>
        <w:rPr>
          <w:sz w:val="23"/>
          <w:szCs w:val="23"/>
          <w:lang w:val="pt-BR"/>
        </w:rPr>
        <w:fldChar w:fldCharType="end"/>
      </w:r>
    </w:p>
    <w:p w14:paraId="142740CD" w14:textId="37845D91" w:rsidR="00231D59" w:rsidRPr="00382D94" w:rsidRDefault="00B62C62" w:rsidP="00AA07D9">
      <w:pPr>
        <w:jc w:val="both"/>
        <w:rPr>
          <w:sz w:val="23"/>
          <w:szCs w:val="23"/>
        </w:rPr>
      </w:pPr>
      <w:r w:rsidRPr="00382D94">
        <w:rPr>
          <w:sz w:val="23"/>
          <w:szCs w:val="23"/>
        </w:rPr>
        <w:t xml:space="preserve">44- </w:t>
      </w:r>
      <w:r>
        <w:rPr>
          <w:sz w:val="23"/>
          <w:szCs w:val="23"/>
          <w:lang w:val="pt-BR"/>
        </w:rPr>
        <w:fldChar w:fldCharType="begin" w:fldLock="1"/>
      </w:r>
      <w:r w:rsidR="00382D94">
        <w:rPr>
          <w:sz w:val="23"/>
          <w:szCs w:val="23"/>
        </w:rPr>
        <w:instrText>ADDIN CSL_CITATION {"citationItems":[{"id":"ITEM-1","itemData":{"DOI":"10.1093/ageing/afl005","ISSN":"00020729","PMID":"16648149","abstract":"Background: Despite the acknowledged clinical importance of delirium, research evidence for measures to improve its management is sparse. A necessary first step to devising appropriate strategies is to understand how common it is and what its outcomes are in any particular setting. Objective: To determine the occurrence of delirium and its outcomes in medical in-patients, through a systematic review of the literature. Method: We searched electronic medical databases, the Consultation-Liaison Literature Database and reference lists and bibliographies for potentially relevant studies. Studies were selected, quality assessed and data extracted according to preset protocols. Results: Results for the occurrence of delirium in medical in-patients were available for 42 cohorts. Prevalence of delirium at admission ranged from 10 to 31%, incidence of new delirium per admission ranged from 3 to 29% and occurrence rate per admission varied between 11 and 42%. Results for outcomes were available for 19 study cohorts. Delirium was associated with increased mortality at discharge and at 12 months, increased length of hospital stay (LOS) and institutionalisation. A significant proportion of patients had persistent symptoms of delirium at discharge and at 6 and 12 months. Conclusion: Delirium is common in medical in-patients and has serious adverse effects on mortality, functional outcomes, LOS and institutionalisation. The development of appropriate strategies to improve its management should be a clinical and research priority. As delirium prevalent at hospital admission is a significant problem, research is also needed into preventative measures that could be applied in community settings. © 2006 Oxford University Press.","author":[{"dropping-particle":"","family":"Siddiqi","given":"Najma","non-dropping-particle":"","parse-names":false,"suffix":""},{"dropping-particle":"","family":"House","given":"Allan O.","non-dropping-particle":"","parse-names":false,"suffix":""},{"dropping-particle":"","family":"Holmes","given":"John D.","non-dropping-particle":"","parse-names":false,"suffix":""}],"container-title":"Age and Ageing","id":"ITEM-1","issue":"4","issued":{"date-parts":[["2006"]]},"page":"350-364","title":"Occurrence and outcome of delirium in medical in-patients: A systematic literature review","type":"article-journal","volume":"35"},"uris":["http://www.mendeley.com/documents/?uuid=b6b95264-d9c3-4fd9-85af-7591875ff265"]}],"mendeley":{"formattedCitation":"(Siddiqi, House, &amp; Holmes, 2006)","plainTextFormattedCitation":"(Siddiqi, House, &amp; Holmes, 2006)","previouslyFormattedCitation":"(Siddiqi, House, &amp; Holmes, 2006)"},"properties":{"noteIndex":0},"schema":"https://github.com/citation-style-language/schema/raw/master/csl-citation.json"}</w:instrText>
      </w:r>
      <w:r>
        <w:rPr>
          <w:sz w:val="23"/>
          <w:szCs w:val="23"/>
          <w:lang w:val="pt-BR"/>
        </w:rPr>
        <w:fldChar w:fldCharType="separate"/>
      </w:r>
      <w:r w:rsidRPr="00382D94">
        <w:rPr>
          <w:noProof/>
          <w:sz w:val="23"/>
          <w:szCs w:val="23"/>
        </w:rPr>
        <w:t>(Siddiqi, House, &amp; Holmes, 2006)</w:t>
      </w:r>
      <w:r>
        <w:rPr>
          <w:sz w:val="23"/>
          <w:szCs w:val="23"/>
          <w:lang w:val="pt-BR"/>
        </w:rPr>
        <w:fldChar w:fldCharType="end"/>
      </w:r>
    </w:p>
    <w:p w14:paraId="78FB9A2C" w14:textId="010BD916" w:rsidR="00231D59" w:rsidRDefault="00382D94" w:rsidP="00AA07D9">
      <w:pPr>
        <w:jc w:val="both"/>
        <w:rPr>
          <w:sz w:val="23"/>
          <w:szCs w:val="23"/>
        </w:rPr>
      </w:pPr>
      <w:r w:rsidRPr="00382D94">
        <w:rPr>
          <w:sz w:val="23"/>
          <w:szCs w:val="23"/>
        </w:rPr>
        <w:t>5</w:t>
      </w:r>
      <w:r>
        <w:rPr>
          <w:sz w:val="23"/>
          <w:szCs w:val="23"/>
        </w:rPr>
        <w:t xml:space="preserve">2 - </w:t>
      </w:r>
      <w:r>
        <w:rPr>
          <w:sz w:val="23"/>
          <w:szCs w:val="23"/>
        </w:rPr>
        <w:fldChar w:fldCharType="begin" w:fldLock="1"/>
      </w:r>
      <w:r w:rsidR="00096118">
        <w:rPr>
          <w:sz w:val="23"/>
          <w:szCs w:val="23"/>
        </w:rPr>
        <w:instrText>ADDIN CSL_CITATION {"citationItems":[{"id":"ITEM-1","itemData":{"DOI":"10.1001/jama.2010.1013","ISSN":"00987484","PMID":"20664045","abstract":"Context: Delirium is a common and serious complication in elderly patients. Evidence suggests that delirium is associated with long-term poor outcome but delirium often occurs in individuals with more severe underlying disease. Objective: To assess the association between delirium in elderly patients and long-term poor outcome, defined as mortality, institutionalization, or dementia, while controlling for important confounders. Data Sources: Asystematic search of studies published between January 1981 and April 2010 was conducted using the databases of MEDLINE, EMBASE, PsycINFO, and CINAHL. Study Selection: Observational studies of elderly patients with delirium as a study variable and data on mortality, institutionalization, or dementia after a minimum follow-up of 3 months, and published in the English or Dutch language. Titles, abstracts, and articles were reviewed independently by 2 of the authors. Of 2939 references in the original search, 51 relevant articles were identified. Data Extraction: Information on study design, characteristics of the study population, and outcome were extracted. Quality of studies was assessed based on elements of the Strengthening the Reporting of Observational Studies in Epidemiology (STROBE) checklist for cohort studies. Data Synthesis: The primary analyses included only high-quality studies with statistical control for age, sex, comorbid illness or illness severity, and baseline dementia. Pooled-effect estimates were calculated with random-effects models. The primary analysis with adjusted hazard ratios (HRs) showed that delirium is associated with an increased risk of death compared with controls after an average follow-up of 22.7 months (7 studies; 271/714 patients [38.0%] with delirium, 616/2243 controls [27.5%]; HR, 1.95 [95% confidence interval {CI}, 1.51-2.52]; I2, 44.0%). Moreover, patients who had experienced delirium were also at increased risk of institutionalization (7 studies; average follow-up, 14.6 months; 176/527 patients [33.4%] with delirium and 219/2052 controls [10.7%]; odds ratio [OR], 2.41 [95% CI, 1.77-3.29]; I2, 0%) and dementia (2 studies; average follow-up, 4.1 years; 35/56 patients [62.5%] with delirium and 15/185 controls [8.1%]; OR, 12.52 [95% CI, 1.86-84.21]; I2, 52.4%). The sensitivity, trim-and-fill, and secondary analyses with unadjusted high-quality risk estimates stratified according to the study characteristics confirmed the robustness of these results. Conclusion: This meta-analysi…","author":[{"dropping-particle":"","family":"Witlox","given":"Joost","non-dropping-particle":"","parse-names":false,"suffix":""},{"dropping-particle":"","family":"Eurelings","given":"Lisa S.M.","non-dropping-particle":"","parse-names":false,"suffix":""},{"dropping-particle":"","family":"Jonghe","given":"Jos F.M.","non-dropping-particle":"De","parse-names":false,"suffix":""},{"dropping-particle":"","family":"Kalisvaart","given":"Kees J.","non-dropping-particle":"","parse-names":false,"suffix":""},{"dropping-particle":"","family":"Eikelenboom","given":"Piet","non-dropping-particle":"","parse-names":false,"suffix":""},{"dropping-particle":"","family":"Gool","given":"Willem A.","non-dropping-particle":"Van","parse-names":false,"suffix":""}],"container-title":"JAMA - Journal of the American Medical Association","id":"ITEM-1","issue":"4","issued":{"date-parts":[["2010"]]},"page":"443-451","title":"Delirium in elderly patients and the risk of postdischarge mortality, institutionalization, and dementia: A meta-analysis","type":"article-journal","volume":"304"},"uris":["http://www.mendeley.com/documents/?uuid=4f0bae87-9a97-475a-b638-6ecf2270efc9"]}],"mendeley":{"formattedCitation":"(Witlox et al., 2010)","plainTextFormattedCitation":"(Witlox et al., 2010)","previouslyFormattedCitation":"(Witlox et al., 2010)"},"properties":{"noteIndex":0},"schema":"https://github.com/citation-style-language/schema/raw/master/csl-citation.json"}</w:instrText>
      </w:r>
      <w:r>
        <w:rPr>
          <w:sz w:val="23"/>
          <w:szCs w:val="23"/>
        </w:rPr>
        <w:fldChar w:fldCharType="separate"/>
      </w:r>
      <w:r w:rsidRPr="00382D94">
        <w:rPr>
          <w:noProof/>
          <w:sz w:val="23"/>
          <w:szCs w:val="23"/>
        </w:rPr>
        <w:t>(Witlox et al., 2010)</w:t>
      </w:r>
      <w:r>
        <w:rPr>
          <w:sz w:val="23"/>
          <w:szCs w:val="23"/>
        </w:rPr>
        <w:fldChar w:fldCharType="end"/>
      </w:r>
    </w:p>
    <w:p w14:paraId="7036DF9C" w14:textId="5328A006" w:rsidR="00382D94" w:rsidRDefault="00096118" w:rsidP="00AA07D9">
      <w:pPr>
        <w:jc w:val="both"/>
        <w:rPr>
          <w:sz w:val="23"/>
          <w:szCs w:val="23"/>
        </w:rPr>
      </w:pPr>
      <w:r>
        <w:rPr>
          <w:sz w:val="23"/>
          <w:szCs w:val="23"/>
        </w:rPr>
        <w:t xml:space="preserve">143 - </w:t>
      </w:r>
      <w:r>
        <w:rPr>
          <w:sz w:val="23"/>
          <w:szCs w:val="23"/>
        </w:rPr>
        <w:fldChar w:fldCharType="begin" w:fldLock="1"/>
      </w:r>
      <w:r w:rsidR="00D20C22">
        <w:rPr>
          <w:sz w:val="23"/>
          <w:szCs w:val="23"/>
        </w:rPr>
        <w:instrText>ADDIN CSL_CITATION {"citationItems":[{"id":"ITEM-1","itemData":{"DOI":"10.1016/j.jpsychores.2008.05.015","ISSN":"00223999","PMID":"18707942","abstract":"Objective: The development of ICD-11 provides an opportunity to update the description of delirium according to emerging data that have added to our understanding of this complex neuropsychiatric syndrome. Method: Synthetic article based on published work considered by the authors to be relevant to the definition of delirium. Results: The current DSM-IV definition of delirium is preferred to the ICD-10 because of its greater inclusivity. Evidence does not support major changes in the principal components of present definitions but a number of key issues for the updated definition were identified. These include better account of non-cognitive features, more guidance for rating contextual diagnostic items, clearer definition regarding the interface with dementia, and accounting for illness severity, clinical subtypes and course. Conclusion: Development of the ICD definition of delirium can allow for more targeted research and clinical effort. © 2008.","author":[{"dropping-particle":"","family":"Meagher","given":"David J.","non-dropping-particle":"","parse-names":false,"suffix":""},{"dropping-particle":"","family":"MacLullich","given":"Alasdair M.J.","non-dropping-particle":"","parse-names":false,"suffix":""},{"dropping-particle":"V.","family":"Laurila","given":"Jouko","non-dropping-particle":"","parse-names":false,"suffix":""}],"container-title":"Journal of Psychosomatic Research","id":"ITEM-1","issue":"3","issued":{"date-parts":[["2008"]]},"page":"207-214","title":"Defining delirium for the International Classification of Diseases, 11th Revision","type":"article-journal","volume":"65"},"uris":["http://www.mendeley.com/documents/?uuid=1f0f52ef-109c-4f90-88c8-e3362d5e8cb1"]}],"mendeley":{"formattedCitation":"(Meagher, MacLullich, &amp; Laurila, 2008)","plainTextFormattedCitation":"(Meagher, MacLullich, &amp; Laurila, 2008)","previouslyFormattedCitation":"(Meagher, MacLullich, &amp; Laurila, 2008)"},"properties":{"noteIndex":0},"schema":"https://github.com/citation-style-language/schema/raw/master/csl-citation.json"}</w:instrText>
      </w:r>
      <w:r>
        <w:rPr>
          <w:sz w:val="23"/>
          <w:szCs w:val="23"/>
        </w:rPr>
        <w:fldChar w:fldCharType="separate"/>
      </w:r>
      <w:r w:rsidRPr="00096118">
        <w:rPr>
          <w:noProof/>
          <w:sz w:val="23"/>
          <w:szCs w:val="23"/>
        </w:rPr>
        <w:t>(Meagher, MacLullich, &amp; Laurila, 2008)</w:t>
      </w:r>
      <w:r>
        <w:rPr>
          <w:sz w:val="23"/>
          <w:szCs w:val="23"/>
        </w:rPr>
        <w:fldChar w:fldCharType="end"/>
      </w:r>
    </w:p>
    <w:p w14:paraId="588FE94F" w14:textId="23F66174" w:rsidR="00D20C22" w:rsidRDefault="00D20C22" w:rsidP="00AA07D9">
      <w:pPr>
        <w:jc w:val="both"/>
        <w:rPr>
          <w:sz w:val="23"/>
          <w:szCs w:val="23"/>
        </w:rPr>
      </w:pPr>
    </w:p>
    <w:p w14:paraId="3E056C3E" w14:textId="71165CD7" w:rsidR="00D20C22" w:rsidRDefault="00D20C22" w:rsidP="00AA07D9">
      <w:pPr>
        <w:jc w:val="both"/>
        <w:rPr>
          <w:sz w:val="23"/>
          <w:szCs w:val="23"/>
        </w:rPr>
      </w:pPr>
    </w:p>
    <w:p w14:paraId="6616BB85" w14:textId="71DE209D" w:rsidR="005C1BAE" w:rsidRPr="005C1BAE" w:rsidRDefault="00D20C22" w:rsidP="005C1BAE">
      <w:pPr>
        <w:widowControl w:val="0"/>
        <w:autoSpaceDE w:val="0"/>
        <w:autoSpaceDN w:val="0"/>
        <w:adjustRightInd w:val="0"/>
        <w:ind w:left="480" w:hanging="480"/>
        <w:rPr>
          <w:rFonts w:ascii="Calibri" w:hAnsi="Calibri" w:cs="Calibri"/>
          <w:noProof/>
        </w:rPr>
      </w:pPr>
      <w:r>
        <w:rPr>
          <w:sz w:val="23"/>
          <w:szCs w:val="23"/>
        </w:rPr>
        <w:fldChar w:fldCharType="begin" w:fldLock="1"/>
      </w:r>
      <w:r w:rsidRPr="003A0F42">
        <w:rPr>
          <w:sz w:val="23"/>
          <w:szCs w:val="23"/>
          <w:lang w:val="pt-BR"/>
        </w:rPr>
        <w:instrText xml:space="preserve">ADDIN Mendeley Bibliography CSL_BIBLIOGRAPHY </w:instrText>
      </w:r>
      <w:r>
        <w:rPr>
          <w:sz w:val="23"/>
          <w:szCs w:val="23"/>
        </w:rPr>
        <w:fldChar w:fldCharType="separate"/>
      </w:r>
      <w:r w:rsidR="005C1BAE" w:rsidRPr="003A0F42">
        <w:rPr>
          <w:rFonts w:ascii="Calibri" w:hAnsi="Calibri" w:cs="Calibri"/>
          <w:noProof/>
          <w:lang w:val="pt-BR"/>
        </w:rPr>
        <w:t xml:space="preserve">Barr, J., &amp; Pandharipande, P. P. (2013). </w:t>
      </w:r>
      <w:r w:rsidR="005C1BAE" w:rsidRPr="005C1BAE">
        <w:rPr>
          <w:rFonts w:ascii="Calibri" w:hAnsi="Calibri" w:cs="Calibri"/>
          <w:noProof/>
        </w:rPr>
        <w:t xml:space="preserve">The pain, agitation, and delirium care bundle: Synergistic benefits of implementing the 2013 pain, agitation, and delirium guidelines in an integrated and interdisciplinary fashion. </w:t>
      </w:r>
      <w:r w:rsidR="005C1BAE" w:rsidRPr="005C1BAE">
        <w:rPr>
          <w:rFonts w:ascii="Calibri" w:hAnsi="Calibri" w:cs="Calibri"/>
          <w:i/>
          <w:iCs/>
          <w:noProof/>
        </w:rPr>
        <w:t>Critical Care Medicine</w:t>
      </w:r>
      <w:r w:rsidR="005C1BAE" w:rsidRPr="005C1BAE">
        <w:rPr>
          <w:rFonts w:ascii="Calibri" w:hAnsi="Calibri" w:cs="Calibri"/>
          <w:noProof/>
        </w:rPr>
        <w:t xml:space="preserve">, </w:t>
      </w:r>
      <w:r w:rsidR="005C1BAE" w:rsidRPr="005C1BAE">
        <w:rPr>
          <w:rFonts w:ascii="Calibri" w:hAnsi="Calibri" w:cs="Calibri"/>
          <w:i/>
          <w:iCs/>
          <w:noProof/>
        </w:rPr>
        <w:t>41</w:t>
      </w:r>
      <w:r w:rsidR="005C1BAE" w:rsidRPr="005C1BAE">
        <w:rPr>
          <w:rFonts w:ascii="Calibri" w:hAnsi="Calibri" w:cs="Calibri"/>
          <w:noProof/>
        </w:rPr>
        <w:t>(9 SUPPL.1), 99–115. https://doi.org/10.1097/CCM.0b013e3182a16ff0</w:t>
      </w:r>
    </w:p>
    <w:p w14:paraId="1124C219"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Boustani, M., Rudolph, J., Shaughnessy, M., Gruber-Baldini, A., Alici, Y., Arora, R. C., … MacLullich, A. (2014). The DSM-5 criteria, level of arousal and delirium diagnosis: Inclusiveness is safer. </w:t>
      </w:r>
      <w:r w:rsidRPr="005C1BAE">
        <w:rPr>
          <w:rFonts w:ascii="Calibri" w:hAnsi="Calibri" w:cs="Calibri"/>
          <w:i/>
          <w:iCs/>
          <w:noProof/>
        </w:rPr>
        <w:t>BMC Medicine</w:t>
      </w:r>
      <w:r w:rsidRPr="005C1BAE">
        <w:rPr>
          <w:rFonts w:ascii="Calibri" w:hAnsi="Calibri" w:cs="Calibri"/>
          <w:noProof/>
        </w:rPr>
        <w:t xml:space="preserve">, </w:t>
      </w:r>
      <w:r w:rsidRPr="005C1BAE">
        <w:rPr>
          <w:rFonts w:ascii="Calibri" w:hAnsi="Calibri" w:cs="Calibri"/>
          <w:i/>
          <w:iCs/>
          <w:noProof/>
        </w:rPr>
        <w:t>12</w:t>
      </w:r>
      <w:r w:rsidRPr="005C1BAE">
        <w:rPr>
          <w:rFonts w:ascii="Calibri" w:hAnsi="Calibri" w:cs="Calibri"/>
          <w:noProof/>
        </w:rPr>
        <w:t>(1), 1–4. https://doi.org/10.1186/s12916-014-0141-2</w:t>
      </w:r>
    </w:p>
    <w:p w14:paraId="4A36F852"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Inouye, S. K., Westendorp, R. G. J., &amp; Saczynski, J. S. (2014). Delirium in elderly people. </w:t>
      </w:r>
      <w:r w:rsidRPr="005C1BAE">
        <w:rPr>
          <w:rFonts w:ascii="Calibri" w:hAnsi="Calibri" w:cs="Calibri"/>
          <w:i/>
          <w:iCs/>
          <w:noProof/>
        </w:rPr>
        <w:t>The Lancet</w:t>
      </w:r>
      <w:r w:rsidRPr="005C1BAE">
        <w:rPr>
          <w:rFonts w:ascii="Calibri" w:hAnsi="Calibri" w:cs="Calibri"/>
          <w:noProof/>
        </w:rPr>
        <w:t xml:space="preserve">, </w:t>
      </w:r>
      <w:r w:rsidRPr="005C1BAE">
        <w:rPr>
          <w:rFonts w:ascii="Calibri" w:hAnsi="Calibri" w:cs="Calibri"/>
          <w:i/>
          <w:iCs/>
          <w:noProof/>
        </w:rPr>
        <w:t>383</w:t>
      </w:r>
      <w:r w:rsidRPr="005C1BAE">
        <w:rPr>
          <w:rFonts w:ascii="Calibri" w:hAnsi="Calibri" w:cs="Calibri"/>
          <w:noProof/>
        </w:rPr>
        <w:t>(9920), 911–922. https://doi.org/10.1016/S0140-6736(13)60688-1</w:t>
      </w:r>
    </w:p>
    <w:p w14:paraId="39E14751" w14:textId="77777777" w:rsidR="005C1BAE" w:rsidRPr="003A0F42" w:rsidRDefault="005C1BAE" w:rsidP="005C1BAE">
      <w:pPr>
        <w:widowControl w:val="0"/>
        <w:autoSpaceDE w:val="0"/>
        <w:autoSpaceDN w:val="0"/>
        <w:adjustRightInd w:val="0"/>
        <w:ind w:left="480" w:hanging="480"/>
        <w:rPr>
          <w:rFonts w:ascii="Calibri" w:hAnsi="Calibri" w:cs="Calibri"/>
          <w:noProof/>
          <w:lang w:val="pt-BR"/>
        </w:rPr>
      </w:pPr>
      <w:r w:rsidRPr="005C1BAE">
        <w:rPr>
          <w:rFonts w:ascii="Calibri" w:hAnsi="Calibri" w:cs="Calibri"/>
          <w:noProof/>
        </w:rPr>
        <w:t xml:space="preserve">Lipowski, Z. J. (1987). Delirium (Acute Confusional State). </w:t>
      </w:r>
      <w:r w:rsidRPr="003A0F42">
        <w:rPr>
          <w:rFonts w:ascii="Calibri" w:hAnsi="Calibri" w:cs="Calibri"/>
          <w:i/>
          <w:iCs/>
          <w:noProof/>
          <w:lang w:val="pt-BR"/>
        </w:rPr>
        <w:t>JAMA</w:t>
      </w:r>
      <w:r w:rsidRPr="003A0F42">
        <w:rPr>
          <w:rFonts w:ascii="Calibri" w:hAnsi="Calibri" w:cs="Calibri"/>
          <w:noProof/>
          <w:lang w:val="pt-BR"/>
        </w:rPr>
        <w:t>, 1789–1792. https://doi.org/doi:10.1001/jama.1987.03400130103041</w:t>
      </w:r>
    </w:p>
    <w:p w14:paraId="1279CCFD"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Meagher, D. J., MacLullich, A. M. J., &amp; Laurila, J. V. (2008). Defining delirium for the International Classification of Diseases, 11th Revision. </w:t>
      </w:r>
      <w:r w:rsidRPr="005C1BAE">
        <w:rPr>
          <w:rFonts w:ascii="Calibri" w:hAnsi="Calibri" w:cs="Calibri"/>
          <w:i/>
          <w:iCs/>
          <w:noProof/>
        </w:rPr>
        <w:t>Journal of Psychosomatic Research</w:t>
      </w:r>
      <w:r w:rsidRPr="005C1BAE">
        <w:rPr>
          <w:rFonts w:ascii="Calibri" w:hAnsi="Calibri" w:cs="Calibri"/>
          <w:noProof/>
        </w:rPr>
        <w:t xml:space="preserve">, </w:t>
      </w:r>
      <w:r w:rsidRPr="005C1BAE">
        <w:rPr>
          <w:rFonts w:ascii="Calibri" w:hAnsi="Calibri" w:cs="Calibri"/>
          <w:i/>
          <w:iCs/>
          <w:noProof/>
        </w:rPr>
        <w:t>65</w:t>
      </w:r>
      <w:r w:rsidRPr="005C1BAE">
        <w:rPr>
          <w:rFonts w:ascii="Calibri" w:hAnsi="Calibri" w:cs="Calibri"/>
          <w:noProof/>
        </w:rPr>
        <w:t>(3), 207–214. https://doi.org/10.1016/j.jpsychores.2008.05.015</w:t>
      </w:r>
    </w:p>
    <w:p w14:paraId="65B9C23A"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Serafim, R. B., Bozza, F. A., Soares, M., do Brasil, P. E. A. A., Tura, B. R., Ely, E. W., &amp; Salluh, J. I. F. (2015). Pharmacologic prevention and treatment of delirium in intensive care patients: A systematic review. </w:t>
      </w:r>
      <w:r w:rsidRPr="005C1BAE">
        <w:rPr>
          <w:rFonts w:ascii="Calibri" w:hAnsi="Calibri" w:cs="Calibri"/>
          <w:i/>
          <w:iCs/>
          <w:noProof/>
        </w:rPr>
        <w:t>Journal of Critical Care</w:t>
      </w:r>
      <w:r w:rsidRPr="005C1BAE">
        <w:rPr>
          <w:rFonts w:ascii="Calibri" w:hAnsi="Calibri" w:cs="Calibri"/>
          <w:noProof/>
        </w:rPr>
        <w:t xml:space="preserve">, </w:t>
      </w:r>
      <w:r w:rsidRPr="005C1BAE">
        <w:rPr>
          <w:rFonts w:ascii="Calibri" w:hAnsi="Calibri" w:cs="Calibri"/>
          <w:i/>
          <w:iCs/>
          <w:noProof/>
        </w:rPr>
        <w:t>30</w:t>
      </w:r>
      <w:r w:rsidRPr="005C1BAE">
        <w:rPr>
          <w:rFonts w:ascii="Calibri" w:hAnsi="Calibri" w:cs="Calibri"/>
          <w:noProof/>
        </w:rPr>
        <w:t>(4), 799–807. https://doi.org/10.1016/j.jcrc.2015.04.005</w:t>
      </w:r>
    </w:p>
    <w:p w14:paraId="225D0D61"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Siddiqi, N., House, A. O., &amp; Holmes, J. D. (2006). Occurrence and outcome of delirium in medical in-patients: A systematic literature review. </w:t>
      </w:r>
      <w:r w:rsidRPr="005C1BAE">
        <w:rPr>
          <w:rFonts w:ascii="Calibri" w:hAnsi="Calibri" w:cs="Calibri"/>
          <w:i/>
          <w:iCs/>
          <w:noProof/>
        </w:rPr>
        <w:t>Age and Ageing</w:t>
      </w:r>
      <w:r w:rsidRPr="005C1BAE">
        <w:rPr>
          <w:rFonts w:ascii="Calibri" w:hAnsi="Calibri" w:cs="Calibri"/>
          <w:noProof/>
        </w:rPr>
        <w:t xml:space="preserve">, </w:t>
      </w:r>
      <w:r w:rsidRPr="005C1BAE">
        <w:rPr>
          <w:rFonts w:ascii="Calibri" w:hAnsi="Calibri" w:cs="Calibri"/>
          <w:i/>
          <w:iCs/>
          <w:noProof/>
        </w:rPr>
        <w:t>35</w:t>
      </w:r>
      <w:r w:rsidRPr="005C1BAE">
        <w:rPr>
          <w:rFonts w:ascii="Calibri" w:hAnsi="Calibri" w:cs="Calibri"/>
          <w:noProof/>
        </w:rPr>
        <w:t>(4), 350–364. https://doi.org/10.1093/ageing/afl005</w:t>
      </w:r>
    </w:p>
    <w:p w14:paraId="66D701B3" w14:textId="77777777" w:rsidR="005C1BAE" w:rsidRPr="005C1BAE" w:rsidRDefault="005C1BAE" w:rsidP="005C1BAE">
      <w:pPr>
        <w:widowControl w:val="0"/>
        <w:autoSpaceDE w:val="0"/>
        <w:autoSpaceDN w:val="0"/>
        <w:adjustRightInd w:val="0"/>
        <w:ind w:left="480" w:hanging="480"/>
        <w:rPr>
          <w:rFonts w:ascii="Calibri" w:hAnsi="Calibri" w:cs="Calibri"/>
          <w:noProof/>
        </w:rPr>
      </w:pPr>
      <w:r w:rsidRPr="005C1BAE">
        <w:rPr>
          <w:rFonts w:ascii="Calibri" w:hAnsi="Calibri" w:cs="Calibri"/>
          <w:noProof/>
        </w:rPr>
        <w:t xml:space="preserve">Witlox, J., Eurelings, L. S. M., De Jonghe, J. F. M., Kalisvaart, K. J., Eikelenboom, P., &amp; Van Gool, W. A. (2010). Delirium in elderly patients and the risk of postdischarge mortality, institutionalization, and dementia: A meta-analysis. </w:t>
      </w:r>
      <w:r w:rsidRPr="005C1BAE">
        <w:rPr>
          <w:rFonts w:ascii="Calibri" w:hAnsi="Calibri" w:cs="Calibri"/>
          <w:i/>
          <w:iCs/>
          <w:noProof/>
        </w:rPr>
        <w:t>JAMA - Journal of the American Medical Association</w:t>
      </w:r>
      <w:r w:rsidRPr="005C1BAE">
        <w:rPr>
          <w:rFonts w:ascii="Calibri" w:hAnsi="Calibri" w:cs="Calibri"/>
          <w:noProof/>
        </w:rPr>
        <w:t xml:space="preserve">, </w:t>
      </w:r>
      <w:r w:rsidRPr="005C1BAE">
        <w:rPr>
          <w:rFonts w:ascii="Calibri" w:hAnsi="Calibri" w:cs="Calibri"/>
          <w:i/>
          <w:iCs/>
          <w:noProof/>
        </w:rPr>
        <w:t>304</w:t>
      </w:r>
      <w:r w:rsidRPr="005C1BAE">
        <w:rPr>
          <w:rFonts w:ascii="Calibri" w:hAnsi="Calibri" w:cs="Calibri"/>
          <w:noProof/>
        </w:rPr>
        <w:t>(4), 443–451. https://doi.org/10.1001/jama.2010.1013</w:t>
      </w:r>
    </w:p>
    <w:p w14:paraId="01F4878A" w14:textId="61692A75" w:rsidR="00D20C22" w:rsidRDefault="00D20C22" w:rsidP="005C1BAE">
      <w:pPr>
        <w:widowControl w:val="0"/>
        <w:autoSpaceDE w:val="0"/>
        <w:autoSpaceDN w:val="0"/>
        <w:adjustRightInd w:val="0"/>
        <w:ind w:left="480" w:hanging="480"/>
        <w:rPr>
          <w:sz w:val="23"/>
          <w:szCs w:val="23"/>
        </w:rPr>
      </w:pPr>
      <w:r>
        <w:rPr>
          <w:sz w:val="23"/>
          <w:szCs w:val="23"/>
        </w:rPr>
        <w:fldChar w:fldCharType="end"/>
      </w:r>
    </w:p>
    <w:p w14:paraId="5949BD8E" w14:textId="77777777" w:rsidR="00382D94" w:rsidRPr="00382D94" w:rsidRDefault="00382D94" w:rsidP="00AA07D9">
      <w:pPr>
        <w:jc w:val="both"/>
        <w:rPr>
          <w:sz w:val="23"/>
          <w:szCs w:val="23"/>
        </w:rPr>
      </w:pPr>
    </w:p>
    <w:p w14:paraId="20416ED4" w14:textId="77777777" w:rsidR="00231D59" w:rsidRPr="00382D94" w:rsidRDefault="00231D59" w:rsidP="00AA07D9">
      <w:pPr>
        <w:jc w:val="both"/>
        <w:rPr>
          <w:sz w:val="23"/>
          <w:szCs w:val="23"/>
        </w:rPr>
      </w:pPr>
    </w:p>
    <w:p w14:paraId="45A71BCB" w14:textId="6F6FCD3B" w:rsidR="00D20C22" w:rsidRPr="003A0F42" w:rsidRDefault="00B15449" w:rsidP="00AA07D9">
      <w:pPr>
        <w:jc w:val="both"/>
        <w:rPr>
          <w:sz w:val="23"/>
          <w:szCs w:val="23"/>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é frequente nos doentes idosos internados. Define-se pela alteração aguda e flutuante da cognição, atenção e consciência, geralmente reversível e de etiologia </w:t>
      </w:r>
      <w:proofErr w:type="spellStart"/>
      <w:r w:rsidRPr="003A0F42">
        <w:rPr>
          <w:sz w:val="23"/>
          <w:szCs w:val="23"/>
          <w:lang w:val="pt-BR"/>
        </w:rPr>
        <w:t>multifactorial</w:t>
      </w:r>
      <w:proofErr w:type="spellEnd"/>
      <w:r w:rsidRPr="003A0F42">
        <w:rPr>
          <w:sz w:val="23"/>
          <w:szCs w:val="23"/>
          <w:lang w:val="pt-BR"/>
        </w:rPr>
        <w:t xml:space="preserve">. Apesar do impacto socioeconómico e </w:t>
      </w:r>
      <w:r w:rsidR="003A0F42">
        <w:rPr>
          <w:sz w:val="23"/>
          <w:szCs w:val="23"/>
          <w:lang w:val="pt-BR"/>
        </w:rPr>
        <w:t xml:space="preserve">da </w:t>
      </w:r>
      <w:r w:rsidRPr="003A0F42">
        <w:rPr>
          <w:sz w:val="23"/>
          <w:szCs w:val="23"/>
          <w:lang w:val="pt-BR"/>
        </w:rPr>
        <w:t xml:space="preserve">elevada morbimortalidade, permanece uma entidade </w:t>
      </w:r>
      <w:proofErr w:type="spellStart"/>
      <w:r w:rsidRPr="003A0F42">
        <w:rPr>
          <w:sz w:val="23"/>
          <w:szCs w:val="23"/>
          <w:lang w:val="pt-BR"/>
        </w:rPr>
        <w:t>sub-diagnosticada</w:t>
      </w:r>
      <w:proofErr w:type="spellEnd"/>
      <w:r w:rsidRPr="003A0F42">
        <w:rPr>
          <w:sz w:val="23"/>
          <w:szCs w:val="23"/>
          <w:lang w:val="pt-BR"/>
        </w:rPr>
        <w:t>.</w:t>
      </w:r>
    </w:p>
    <w:p w14:paraId="1218480F" w14:textId="48911B60" w:rsidR="00AA07D9" w:rsidRPr="003A0F42" w:rsidRDefault="00AA07D9" w:rsidP="00AA07D9">
      <w:pPr>
        <w:jc w:val="both"/>
        <w:rPr>
          <w:sz w:val="23"/>
          <w:szCs w:val="23"/>
          <w:lang w:val="pt-BR"/>
        </w:rPr>
      </w:pPr>
    </w:p>
    <w:p w14:paraId="7485C866" w14:textId="28B29FBB" w:rsidR="00AA07D9" w:rsidRPr="003A0F42" w:rsidRDefault="00AA07D9" w:rsidP="00AA07D9">
      <w:pPr>
        <w:pStyle w:val="Default"/>
        <w:rPr>
          <w:sz w:val="28"/>
          <w:szCs w:val="28"/>
          <w:lang w:val="pt-BR"/>
        </w:rPr>
      </w:pPr>
      <w:r w:rsidRPr="003A0F42">
        <w:rPr>
          <w:b/>
          <w:bCs/>
          <w:sz w:val="28"/>
          <w:szCs w:val="28"/>
          <w:lang w:val="pt-BR"/>
        </w:rPr>
        <w:t>Definição</w:t>
      </w:r>
    </w:p>
    <w:p w14:paraId="378BA182" w14:textId="260E9659" w:rsidR="00AA07D9" w:rsidRPr="003A0F42" w:rsidRDefault="00AA07D9" w:rsidP="00AA07D9">
      <w:pPr>
        <w:jc w:val="both"/>
        <w:rPr>
          <w:sz w:val="16"/>
          <w:szCs w:val="16"/>
          <w:lang w:val="pt-BR"/>
        </w:rPr>
      </w:pPr>
      <w:r w:rsidRPr="003A0F42">
        <w:rPr>
          <w:sz w:val="23"/>
          <w:szCs w:val="23"/>
          <w:lang w:val="pt-BR"/>
        </w:rPr>
        <w:t xml:space="preserve">O </w:t>
      </w:r>
      <w:r w:rsidRPr="003A0F42">
        <w:rPr>
          <w:i/>
          <w:iCs/>
          <w:sz w:val="23"/>
          <w:szCs w:val="23"/>
          <w:lang w:val="pt-BR"/>
        </w:rPr>
        <w:t xml:space="preserve">delirium </w:t>
      </w:r>
      <w:r w:rsidRPr="003A0F42">
        <w:rPr>
          <w:sz w:val="23"/>
          <w:szCs w:val="23"/>
          <w:lang w:val="pt-BR"/>
        </w:rPr>
        <w:t xml:space="preserve">foi uma das primeiras doenças psiquiátricas descritas na literatura médica, há mais de 2500 anos. Contudo, múltiplos termos têm sido empregues como sinónimos desde então, entre </w:t>
      </w:r>
      <w:r w:rsidRPr="003A0F42">
        <w:rPr>
          <w:sz w:val="23"/>
          <w:szCs w:val="23"/>
          <w:lang w:val="pt-BR"/>
        </w:rPr>
        <w:lastRenderedPageBreak/>
        <w:t>eles: síndrome confusional ou estado confusional agudo, agitação, alteração da consciência, encefalopatia, falência cerebral aguda, síndrome cerebral agudo, psicose, entre outros.</w:t>
      </w:r>
      <w:r w:rsidRPr="003A0F42">
        <w:rPr>
          <w:sz w:val="16"/>
          <w:szCs w:val="16"/>
          <w:lang w:val="pt-BR"/>
        </w:rPr>
        <w:t>26, 27</w:t>
      </w:r>
    </w:p>
    <w:p w14:paraId="750A15FC" w14:textId="1EFA5431" w:rsidR="00E17083" w:rsidRPr="003A0F42" w:rsidRDefault="00E17083" w:rsidP="00AA07D9">
      <w:pPr>
        <w:jc w:val="both"/>
        <w:rPr>
          <w:sz w:val="16"/>
          <w:szCs w:val="16"/>
          <w:lang w:val="pt-BR"/>
        </w:rPr>
      </w:pPr>
    </w:p>
    <w:p w14:paraId="047CA828" w14:textId="77777777" w:rsidR="00E17083" w:rsidRPr="003A0F42" w:rsidRDefault="00E17083" w:rsidP="00AA07D9">
      <w:pPr>
        <w:jc w:val="both"/>
        <w:rPr>
          <w:sz w:val="16"/>
          <w:szCs w:val="16"/>
          <w:lang w:val="pt-BR"/>
        </w:rPr>
      </w:pPr>
    </w:p>
    <w:p w14:paraId="10F989BC" w14:textId="2F5AFADA" w:rsidR="00AA07D9" w:rsidRDefault="00E17083" w:rsidP="00632DEE">
      <w:pPr>
        <w:jc w:val="both"/>
        <w:rPr>
          <w:lang w:val="pt-BR"/>
        </w:rPr>
      </w:pPr>
      <w:r w:rsidRPr="003A0F42">
        <w:rPr>
          <w:lang w:val="pt-BR"/>
        </w:rPr>
        <w:t xml:space="preserve">-- </w:t>
      </w:r>
      <w:r w:rsidR="00632DEE" w:rsidRPr="003A0F42">
        <w:rPr>
          <w:lang w:val="pt-BR"/>
        </w:rPr>
        <w:t xml:space="preserve">Delirium é uma síndrome comum, especialmente em pacientes idosos, e ocorre em </w:t>
      </w:r>
      <w:r w:rsidR="003A0F42">
        <w:rPr>
          <w:lang w:val="pt-BR"/>
        </w:rPr>
        <w:t>diversos</w:t>
      </w:r>
      <w:r w:rsidR="00632DEE" w:rsidRPr="003A0F42">
        <w:rPr>
          <w:lang w:val="pt-BR"/>
        </w:rPr>
        <w:t xml:space="preserve"> os ambientes clínicos. Pode</w:t>
      </w:r>
      <w:r w:rsidR="003A0F42">
        <w:rPr>
          <w:lang w:val="pt-BR"/>
        </w:rPr>
        <w:t>-se</w:t>
      </w:r>
      <w:r w:rsidR="00632DEE" w:rsidRPr="003A0F42">
        <w:rPr>
          <w:lang w:val="pt-BR"/>
        </w:rPr>
        <w:t xml:space="preserve"> desenvolver em qualquer idade e ser </w:t>
      </w:r>
      <w:r w:rsidR="003A0F42">
        <w:rPr>
          <w:lang w:val="pt-BR"/>
        </w:rPr>
        <w:t xml:space="preserve">mau </w:t>
      </w:r>
      <w:r w:rsidR="00632DEE" w:rsidRPr="003A0F42">
        <w:rPr>
          <w:lang w:val="pt-BR"/>
        </w:rPr>
        <w:t>sinal de prognóstico. Muitas vezes é esquecido, mas cada clínico e enfermeiro devem aprender a diagnosticar cedo na tentativa de prevenir interrupção da ala, resultado letal e complicações médico-legais. Essa síndrome mental orgânica há muito conhecida, mas negligenciada, é prática e teoricamente importante e necessita urgentemente de pesquisa.</w:t>
      </w:r>
      <w:r w:rsidRPr="003A0F42">
        <w:rPr>
          <w:lang w:val="pt-BR"/>
        </w:rPr>
        <w:t xml:space="preserve">-- </w:t>
      </w:r>
      <w:r>
        <w:rPr>
          <w:lang w:val="pt-BR"/>
        </w:rPr>
        <w:fldChar w:fldCharType="begin" w:fldLock="1"/>
      </w:r>
      <w:r w:rsidR="00231D59" w:rsidRPr="003A0F42">
        <w:rPr>
          <w:lang w:val="pt-BR"/>
        </w:rPr>
        <w:instrText>ADDIN CSL_CITATION {"citationItems":[{"id":"ITEM-1","itemData":{"DOI":"doi:10.1001/jama.1987.03400130103041","ISBN":"9780123851574","ISSN":"0098-7484","PMID":"3625989","abstract":"Delirium is a common problem in hospitalized patients and occurs for a variety of reasons. The</w:instrText>
      </w:r>
      <w:r w:rsidR="00231D59">
        <w:rPr>
          <w:lang w:val="pt-BR"/>
        </w:rPr>
        <w:instrText xml:space="preserve"> main component of delirium is a state of disordered attention and arousal with altered cognition, such as impairment in thinking, memory, expressive or receptive language, visuospatial functioning, and executive functioning. It presents clinically in a variety of ways grouped into three categories: hyperactive, mixed, or hypoactive delirium. The etiology is usually multifactorial and a systematic approach to its diagnosis and management is required. The treatment is directed at the underlying cause and clinical symptoms, and should include pharmacological and nonpharmacological interventions.","author":[{"dropping-particle":"","family":"Lipowski","given":"Z. J.","non-dropping-particle":"","parse-names":false,"suffix":""}],"container-title":"JAMA","id":"ITEM-1","issued":{"date-parts":[["1987"]]},"page":"1789-1792","title":"Delirium (Acute Confusional State)","type":"article-journal"},"uris":["http://www.mendeley.com/documents/?uuid=299f1630-88d7-4256-8439-3fdf8ab36228"]}],"mendeley":{"formattedCitation":"(Lipowski, 1987)","plainTextFormattedCitation":"(Lipowski, 1987)","previouslyFormattedCitation":"(Lipowski, 1987)"},"properties":{"noteIndex":0},"schema":"https://github.com/citation-style-language/schema/raw/master/csl-citation.json"}</w:instrText>
      </w:r>
      <w:r>
        <w:rPr>
          <w:lang w:val="pt-BR"/>
        </w:rPr>
        <w:fldChar w:fldCharType="separate"/>
      </w:r>
      <w:r w:rsidRPr="00E17083">
        <w:rPr>
          <w:noProof/>
          <w:lang w:val="pt-BR"/>
        </w:rPr>
        <w:t>(Lipowski, 1987)</w:t>
      </w:r>
      <w:r>
        <w:rPr>
          <w:lang w:val="pt-BR"/>
        </w:rPr>
        <w:fldChar w:fldCharType="end"/>
      </w:r>
    </w:p>
    <w:p w14:paraId="7DCB0297" w14:textId="702F5FA0" w:rsidR="007B7839" w:rsidRDefault="007B7839" w:rsidP="00632DEE">
      <w:pPr>
        <w:jc w:val="both"/>
        <w:rPr>
          <w:lang w:val="pt-BR"/>
        </w:rPr>
      </w:pPr>
    </w:p>
    <w:p w14:paraId="6474783B" w14:textId="6367272F" w:rsidR="007B7839" w:rsidRDefault="007B7839" w:rsidP="007B7839">
      <w:pPr>
        <w:jc w:val="both"/>
        <w:rPr>
          <w:lang w:val="pt-BR"/>
        </w:rPr>
      </w:pPr>
      <w:r w:rsidRPr="007B7839">
        <w:rPr>
          <w:lang w:val="pt-BR"/>
        </w:rPr>
        <w:t xml:space="preserve">Na tentativa de estabelecer uma definição clara e inequívoca, em 1980, a American </w:t>
      </w:r>
      <w:proofErr w:type="spellStart"/>
      <w:r w:rsidRPr="007B7839">
        <w:rPr>
          <w:lang w:val="pt-BR"/>
        </w:rPr>
        <w:t>Psychiatric</w:t>
      </w:r>
      <w:proofErr w:type="spellEnd"/>
      <w:r w:rsidRPr="007B7839">
        <w:rPr>
          <w:lang w:val="pt-BR"/>
        </w:rPr>
        <w:t xml:space="preserve"> </w:t>
      </w:r>
      <w:proofErr w:type="spellStart"/>
      <w:r w:rsidRPr="007B7839">
        <w:rPr>
          <w:lang w:val="pt-BR"/>
        </w:rPr>
        <w:t>Association</w:t>
      </w:r>
      <w:proofErr w:type="spellEnd"/>
      <w:r w:rsidRPr="007B7839">
        <w:rPr>
          <w:lang w:val="pt-BR"/>
        </w:rPr>
        <w:t xml:space="preserve"> publicou o DSM-III em que o delirium surgiu como uma entidade diagnóstica com critérios</w:t>
      </w:r>
      <w:r>
        <w:rPr>
          <w:lang w:val="pt-BR"/>
        </w:rPr>
        <w:t xml:space="preserve"> </w:t>
      </w:r>
      <w:r w:rsidRPr="007B7839">
        <w:rPr>
          <w:lang w:val="pt-BR"/>
        </w:rPr>
        <w:t>específicos.31</w:t>
      </w:r>
      <w:r>
        <w:rPr>
          <w:lang w:val="pt-BR"/>
        </w:rPr>
        <w:t xml:space="preserve"> </w:t>
      </w:r>
      <w:r w:rsidRPr="007B7839">
        <w:rPr>
          <w:lang w:val="pt-BR"/>
        </w:rPr>
        <w:t xml:space="preserve">Posteriormente foi revisto e </w:t>
      </w:r>
      <w:r w:rsidR="00F3577F" w:rsidRPr="007B7839">
        <w:rPr>
          <w:lang w:val="pt-BR"/>
        </w:rPr>
        <w:t>atualizado</w:t>
      </w:r>
      <w:r w:rsidRPr="007B7839">
        <w:rPr>
          <w:lang w:val="pt-BR"/>
        </w:rPr>
        <w:t xml:space="preserve"> com o DSM-IV (1994)32, que tentou simplificar a definição prévia, classificando o delirium segundo a sua etiologia e destacou a alteração de consciência como elemento fundamental para o seu diagnóstico. Mais recentemente, em 2013, foi publicado o DSM-5</w:t>
      </w:r>
      <w:r w:rsidR="003A0F42">
        <w:rPr>
          <w:lang w:val="pt-BR"/>
        </w:rPr>
        <w:t xml:space="preserve"> (</w:t>
      </w:r>
      <w:r w:rsidRPr="007B7839">
        <w:rPr>
          <w:lang w:val="pt-BR"/>
        </w:rPr>
        <w:t>6</w:t>
      </w:r>
      <w:r w:rsidR="003A0F42">
        <w:rPr>
          <w:lang w:val="pt-BR"/>
        </w:rPr>
        <w:t>)</w:t>
      </w:r>
      <w:r w:rsidRPr="007B7839">
        <w:rPr>
          <w:lang w:val="pt-BR"/>
        </w:rPr>
        <w:t xml:space="preserve"> que reforçou as alterações da atenção, para além do estado de consciência, como principais características do delirium e </w:t>
      </w:r>
      <w:r w:rsidR="00231D59" w:rsidRPr="007B7839">
        <w:rPr>
          <w:lang w:val="pt-BR"/>
        </w:rPr>
        <w:t>atualizou</w:t>
      </w:r>
      <w:r w:rsidRPr="007B7839">
        <w:rPr>
          <w:lang w:val="pt-BR"/>
        </w:rPr>
        <w:t xml:space="preserve"> os restantes critérios</w:t>
      </w:r>
      <w:r w:rsidR="003A0F42">
        <w:rPr>
          <w:lang w:val="pt-BR"/>
        </w:rPr>
        <w:t xml:space="preserve">. </w:t>
      </w:r>
    </w:p>
    <w:p w14:paraId="0D7B6BB2" w14:textId="52DF5099" w:rsidR="007B7839" w:rsidRDefault="007B7839" w:rsidP="007B7839">
      <w:pPr>
        <w:jc w:val="both"/>
        <w:rPr>
          <w:lang w:val="pt-BR"/>
        </w:rPr>
      </w:pPr>
    </w:p>
    <w:p w14:paraId="5C23DB9E" w14:textId="66AD14A9" w:rsidR="007B7839" w:rsidRDefault="007B7839" w:rsidP="007B7839">
      <w:pPr>
        <w:jc w:val="both"/>
        <w:rPr>
          <w:lang w:val="pt-BR"/>
        </w:rPr>
      </w:pPr>
    </w:p>
    <w:p w14:paraId="18FE968D" w14:textId="23DF15C3" w:rsidR="007B7839" w:rsidRDefault="007B7839" w:rsidP="007B7839">
      <w:pPr>
        <w:jc w:val="both"/>
        <w:rPr>
          <w:sz w:val="16"/>
          <w:szCs w:val="16"/>
          <w:lang w:val="pt-BR"/>
        </w:rPr>
      </w:pPr>
      <w:r w:rsidRPr="007B7839">
        <w:rPr>
          <w:sz w:val="23"/>
          <w:szCs w:val="23"/>
          <w:lang w:val="pt-BR"/>
        </w:rPr>
        <w:t xml:space="preserve">O </w:t>
      </w:r>
      <w:r w:rsidRPr="007B7839">
        <w:rPr>
          <w:i/>
          <w:iCs/>
          <w:sz w:val="23"/>
          <w:szCs w:val="23"/>
          <w:lang w:val="pt-BR"/>
        </w:rPr>
        <w:t xml:space="preserve">delirium </w:t>
      </w:r>
      <w:r w:rsidRPr="007B7839">
        <w:rPr>
          <w:sz w:val="23"/>
          <w:szCs w:val="23"/>
          <w:lang w:val="pt-BR"/>
        </w:rPr>
        <w:t>tem um elevado impacto a nível socioeconómico e dos Cuidados de Saúde, não só pela sua elevada prevalência, mas também pelo seu efeito negativo na morbimortalidade durante o internamento e, a longo prazo, com repercussão negativa na qualidade de vida do doente e dos seus familiares.</w:t>
      </w:r>
      <w:r w:rsidRPr="007B7839">
        <w:rPr>
          <w:sz w:val="16"/>
          <w:szCs w:val="16"/>
          <w:lang w:val="pt-BR"/>
        </w:rPr>
        <w:t>7, 44,52</w:t>
      </w:r>
    </w:p>
    <w:p w14:paraId="3203BA64" w14:textId="54124AB8" w:rsidR="007B7839" w:rsidRDefault="007B7839" w:rsidP="007B7839">
      <w:pPr>
        <w:jc w:val="both"/>
        <w:rPr>
          <w:sz w:val="16"/>
          <w:szCs w:val="16"/>
          <w:lang w:val="pt-BR"/>
        </w:rPr>
      </w:pPr>
    </w:p>
    <w:p w14:paraId="5CC95E1E" w14:textId="620901F0" w:rsidR="007B7839" w:rsidRDefault="007B7839" w:rsidP="007B7839">
      <w:pPr>
        <w:jc w:val="both"/>
        <w:rPr>
          <w:sz w:val="16"/>
          <w:szCs w:val="16"/>
          <w:lang w:val="pt-BR"/>
        </w:rPr>
      </w:pPr>
      <w:r w:rsidRPr="007B7839">
        <w:rPr>
          <w:sz w:val="23"/>
          <w:szCs w:val="23"/>
          <w:lang w:val="pt-BR"/>
        </w:rPr>
        <w:t xml:space="preserve">A associação entre </w:t>
      </w:r>
      <w:r w:rsidRPr="007B7839">
        <w:rPr>
          <w:i/>
          <w:iCs/>
          <w:sz w:val="23"/>
          <w:szCs w:val="23"/>
          <w:lang w:val="pt-BR"/>
        </w:rPr>
        <w:t xml:space="preserve">delirium </w:t>
      </w:r>
      <w:r w:rsidRPr="007B7839">
        <w:rPr>
          <w:sz w:val="23"/>
          <w:szCs w:val="23"/>
          <w:lang w:val="pt-BR"/>
        </w:rPr>
        <w:t xml:space="preserve">e a </w:t>
      </w:r>
      <w:r w:rsidRPr="007B7839">
        <w:rPr>
          <w:b/>
          <w:bCs/>
          <w:sz w:val="23"/>
          <w:szCs w:val="23"/>
          <w:lang w:val="pt-BR"/>
        </w:rPr>
        <w:t xml:space="preserve">mortalidade </w:t>
      </w:r>
      <w:r w:rsidRPr="007B7839">
        <w:rPr>
          <w:sz w:val="23"/>
          <w:szCs w:val="23"/>
          <w:lang w:val="pt-BR"/>
        </w:rPr>
        <w:t>foi evidenciada por diversos estudos, durante e após o internamento, em qualquer tipologia.</w:t>
      </w:r>
      <w:r w:rsidRPr="007B7839">
        <w:rPr>
          <w:sz w:val="16"/>
          <w:szCs w:val="16"/>
          <w:lang w:val="pt-BR"/>
        </w:rPr>
        <w:t>44, 52</w:t>
      </w:r>
    </w:p>
    <w:p w14:paraId="4A234295" w14:textId="45BE27BE" w:rsidR="007B7839" w:rsidRDefault="007B7839" w:rsidP="007B7839">
      <w:pPr>
        <w:jc w:val="both"/>
        <w:rPr>
          <w:sz w:val="16"/>
          <w:szCs w:val="16"/>
          <w:lang w:val="pt-BR"/>
        </w:rPr>
      </w:pPr>
    </w:p>
    <w:p w14:paraId="2B078728" w14:textId="32AB0E9D" w:rsidR="007B7839" w:rsidRDefault="00231D59" w:rsidP="007B7839">
      <w:pPr>
        <w:jc w:val="both"/>
        <w:rPr>
          <w:sz w:val="16"/>
          <w:szCs w:val="16"/>
          <w:lang w:val="pt-BR"/>
        </w:rPr>
      </w:pPr>
      <w:r w:rsidRPr="007B7839">
        <w:rPr>
          <w:sz w:val="23"/>
          <w:szCs w:val="23"/>
          <w:lang w:val="pt-BR"/>
        </w:rPr>
        <w:t>Efetivamente</w:t>
      </w:r>
      <w:r w:rsidR="007B7839" w:rsidRPr="007B7839">
        <w:rPr>
          <w:sz w:val="23"/>
          <w:szCs w:val="23"/>
          <w:lang w:val="pt-BR"/>
        </w:rPr>
        <w:t xml:space="preserve">, o </w:t>
      </w:r>
      <w:r w:rsidR="007B7839" w:rsidRPr="007B7839">
        <w:rPr>
          <w:i/>
          <w:iCs/>
          <w:sz w:val="23"/>
          <w:szCs w:val="23"/>
          <w:lang w:val="pt-BR"/>
        </w:rPr>
        <w:t xml:space="preserve">delirium </w:t>
      </w:r>
      <w:r w:rsidR="007B7839" w:rsidRPr="007B7839">
        <w:rPr>
          <w:sz w:val="23"/>
          <w:szCs w:val="23"/>
          <w:lang w:val="pt-BR"/>
        </w:rPr>
        <w:t xml:space="preserve">surge como </w:t>
      </w:r>
      <w:proofErr w:type="spellStart"/>
      <w:r w:rsidR="007B7839" w:rsidRPr="007B7839">
        <w:rPr>
          <w:sz w:val="23"/>
          <w:szCs w:val="23"/>
          <w:lang w:val="pt-BR"/>
        </w:rPr>
        <w:t>preditor</w:t>
      </w:r>
      <w:proofErr w:type="spellEnd"/>
      <w:r w:rsidR="007B7839" w:rsidRPr="007B7839">
        <w:rPr>
          <w:sz w:val="23"/>
          <w:szCs w:val="23"/>
          <w:lang w:val="pt-BR"/>
        </w:rPr>
        <w:t xml:space="preserve"> independente de mortalidade nos doentes idosos aos 12 meses após a alta hospitalar.</w:t>
      </w:r>
      <w:r w:rsidR="007B7839" w:rsidRPr="007B7839">
        <w:rPr>
          <w:sz w:val="16"/>
          <w:szCs w:val="16"/>
          <w:lang w:val="pt-BR"/>
        </w:rPr>
        <w:t xml:space="preserve">52, 55 </w:t>
      </w:r>
      <w:r w:rsidR="007B7839" w:rsidRPr="007B7839">
        <w:rPr>
          <w:sz w:val="23"/>
          <w:szCs w:val="23"/>
          <w:lang w:val="pt-BR"/>
        </w:rPr>
        <w:t xml:space="preserve">Também na população sob cuidados paliativos se verificou um aumento da mortalidade nos doentes com </w:t>
      </w:r>
      <w:r w:rsidR="007B7839" w:rsidRPr="007B7839">
        <w:rPr>
          <w:i/>
          <w:iCs/>
          <w:sz w:val="23"/>
          <w:szCs w:val="23"/>
          <w:lang w:val="pt-BR"/>
        </w:rPr>
        <w:t>delirium</w:t>
      </w:r>
      <w:r w:rsidR="007B7839" w:rsidRPr="007B7839">
        <w:rPr>
          <w:sz w:val="23"/>
          <w:szCs w:val="23"/>
          <w:lang w:val="pt-BR"/>
        </w:rPr>
        <w:t>.</w:t>
      </w:r>
      <w:r w:rsidR="007B7839" w:rsidRPr="007B7839">
        <w:rPr>
          <w:sz w:val="16"/>
          <w:szCs w:val="16"/>
          <w:lang w:val="pt-BR"/>
        </w:rPr>
        <w:t>56-58</w:t>
      </w:r>
    </w:p>
    <w:p w14:paraId="42D97FE1" w14:textId="2D0BA31F" w:rsidR="007B7839" w:rsidRDefault="007B7839" w:rsidP="007B7839">
      <w:pPr>
        <w:jc w:val="both"/>
        <w:rPr>
          <w:sz w:val="16"/>
          <w:szCs w:val="16"/>
          <w:lang w:val="pt-BR"/>
        </w:rPr>
      </w:pPr>
    </w:p>
    <w:p w14:paraId="327DA192" w14:textId="0E9C39F2" w:rsidR="007B7839" w:rsidRDefault="007B7839" w:rsidP="007B7839">
      <w:pPr>
        <w:jc w:val="both"/>
        <w:rPr>
          <w:sz w:val="16"/>
          <w:szCs w:val="16"/>
          <w:lang w:val="pt-BR"/>
        </w:rPr>
      </w:pPr>
      <w:r w:rsidRPr="007B7839">
        <w:rPr>
          <w:sz w:val="23"/>
          <w:szCs w:val="23"/>
          <w:lang w:val="pt-BR"/>
        </w:rPr>
        <w:t xml:space="preserve">Nomeadamente, verificou-se que o desenvolvimento de </w:t>
      </w:r>
      <w:r w:rsidRPr="007B7839">
        <w:rPr>
          <w:i/>
          <w:iCs/>
          <w:sz w:val="23"/>
          <w:szCs w:val="23"/>
          <w:lang w:val="pt-BR"/>
        </w:rPr>
        <w:t xml:space="preserve">delirium </w:t>
      </w:r>
      <w:r w:rsidRPr="007B7839">
        <w:rPr>
          <w:sz w:val="23"/>
          <w:szCs w:val="23"/>
          <w:lang w:val="pt-BR"/>
        </w:rPr>
        <w:t xml:space="preserve">no Serviço de Urgência é um fator </w:t>
      </w:r>
      <w:proofErr w:type="spellStart"/>
      <w:r w:rsidRPr="007B7839">
        <w:rPr>
          <w:sz w:val="23"/>
          <w:szCs w:val="23"/>
          <w:lang w:val="pt-BR"/>
        </w:rPr>
        <w:t>preditor</w:t>
      </w:r>
      <w:proofErr w:type="spellEnd"/>
      <w:r w:rsidRPr="007B7839">
        <w:rPr>
          <w:sz w:val="23"/>
          <w:szCs w:val="23"/>
          <w:lang w:val="pt-BR"/>
        </w:rPr>
        <w:t xml:space="preserve"> do aumento do tempo de internamento.</w:t>
      </w:r>
      <w:r w:rsidRPr="007B7839">
        <w:rPr>
          <w:sz w:val="16"/>
          <w:szCs w:val="16"/>
          <w:lang w:val="pt-BR"/>
        </w:rPr>
        <w:t>67</w:t>
      </w:r>
    </w:p>
    <w:p w14:paraId="1553ECD3" w14:textId="4FB106B6" w:rsidR="007B7839" w:rsidRDefault="007B7839" w:rsidP="007B7839">
      <w:pPr>
        <w:jc w:val="both"/>
        <w:rPr>
          <w:sz w:val="16"/>
          <w:szCs w:val="16"/>
          <w:lang w:val="pt-BR"/>
        </w:rPr>
      </w:pPr>
    </w:p>
    <w:p w14:paraId="555B4676" w14:textId="18AA955F" w:rsidR="007B7839" w:rsidRDefault="007B7839" w:rsidP="007B7839">
      <w:pPr>
        <w:jc w:val="both"/>
        <w:rPr>
          <w:lang w:val="pt-BR"/>
        </w:rPr>
      </w:pPr>
      <w:r w:rsidRPr="007B7839">
        <w:rPr>
          <w:lang w:val="pt-BR"/>
        </w:rPr>
        <w:t>No entanto, as repercussões do delirium vão além do período de hospitalização, com consequências a médio e longo prazo. Os doentes que sofreram de delirium durante o internamento têm maior probabilidade de institucionalização à data de alta</w:t>
      </w:r>
      <w:r w:rsidR="00231D59">
        <w:rPr>
          <w:lang w:val="pt-BR"/>
        </w:rPr>
        <w:t xml:space="preserve"> </w:t>
      </w:r>
      <w:r w:rsidRPr="007B7839">
        <w:rPr>
          <w:lang w:val="pt-BR"/>
        </w:rPr>
        <w:t>7, 52, 53, 68 e apresentam maior limitação funcional, que pode persistir até vários meses após o internamento.44, 45, 69-71 Da mesma forma, cada vez mais a evidência científica corrobora também a existência de alterações cognitivas decorrentes desta entidade, mesmo nos doentes sem disfunção prévia conhecida</w:t>
      </w:r>
      <w:r w:rsidR="00382D94">
        <w:rPr>
          <w:lang w:val="pt-BR"/>
        </w:rPr>
        <w:t xml:space="preserve"> </w:t>
      </w:r>
      <w:r w:rsidRPr="007B7839">
        <w:rPr>
          <w:lang w:val="pt-BR"/>
        </w:rPr>
        <w:t>63, 72, 73, 74, e que, em muitos dos casos, persistem sem retornar completamente ao seu nível basal após resolução do episódio de delirium.63</w:t>
      </w:r>
    </w:p>
    <w:p w14:paraId="3FE703E6" w14:textId="1C8D6DF1" w:rsidR="007B7839" w:rsidRDefault="007B7839" w:rsidP="007B7839">
      <w:pPr>
        <w:jc w:val="both"/>
        <w:rPr>
          <w:lang w:val="pt-BR"/>
        </w:rPr>
      </w:pPr>
    </w:p>
    <w:p w14:paraId="78BF72CA" w14:textId="76684D54" w:rsidR="007B7839" w:rsidRDefault="007B7839" w:rsidP="007B7839">
      <w:pPr>
        <w:jc w:val="both"/>
        <w:rPr>
          <w:sz w:val="16"/>
          <w:szCs w:val="16"/>
          <w:lang w:val="pt-BR"/>
        </w:rPr>
      </w:pPr>
      <w:r w:rsidRPr="007B7839">
        <w:rPr>
          <w:sz w:val="23"/>
          <w:szCs w:val="23"/>
          <w:lang w:val="pt-BR"/>
        </w:rPr>
        <w:t xml:space="preserve">A análise do impacto económico do </w:t>
      </w:r>
      <w:r w:rsidRPr="007B7839">
        <w:rPr>
          <w:i/>
          <w:iCs/>
          <w:sz w:val="23"/>
          <w:szCs w:val="23"/>
          <w:lang w:val="pt-BR"/>
        </w:rPr>
        <w:t xml:space="preserve">delirium </w:t>
      </w:r>
      <w:r w:rsidRPr="007B7839">
        <w:rPr>
          <w:sz w:val="23"/>
          <w:szCs w:val="23"/>
          <w:lang w:val="pt-BR"/>
        </w:rPr>
        <w:t xml:space="preserve">alerta para a necessidade de gerir adequadamente os recursos e intervenções utilizados, nomeadamente através da elaboração e implementação de protocolos que sejam custo-eficazes e que permitam a prevenção e o tratamento do </w:t>
      </w:r>
      <w:r w:rsidRPr="007B7839">
        <w:rPr>
          <w:i/>
          <w:iCs/>
          <w:sz w:val="23"/>
          <w:szCs w:val="23"/>
          <w:lang w:val="pt-BR"/>
        </w:rPr>
        <w:t>delirium</w:t>
      </w:r>
      <w:r w:rsidRPr="007B7839">
        <w:rPr>
          <w:sz w:val="23"/>
          <w:szCs w:val="23"/>
          <w:lang w:val="pt-BR"/>
        </w:rPr>
        <w:t>.</w:t>
      </w:r>
      <w:r w:rsidRPr="007B7839">
        <w:rPr>
          <w:sz w:val="16"/>
          <w:szCs w:val="16"/>
          <w:lang w:val="pt-BR"/>
        </w:rPr>
        <w:t>94</w:t>
      </w:r>
    </w:p>
    <w:p w14:paraId="1A6B877A" w14:textId="2A3925D1" w:rsidR="007B7839" w:rsidRDefault="007B7839" w:rsidP="007B7839">
      <w:pPr>
        <w:jc w:val="both"/>
        <w:rPr>
          <w:sz w:val="16"/>
          <w:szCs w:val="16"/>
          <w:lang w:val="pt-BR"/>
        </w:rPr>
      </w:pPr>
    </w:p>
    <w:p w14:paraId="6D6C9C3D" w14:textId="223E19F5" w:rsidR="007B7839" w:rsidRPr="003A0F42" w:rsidRDefault="007B7839" w:rsidP="007B7839">
      <w:pPr>
        <w:jc w:val="both"/>
        <w:rPr>
          <w:b/>
          <w:bCs/>
          <w:sz w:val="28"/>
          <w:szCs w:val="28"/>
          <w:lang w:val="pt-BR"/>
        </w:rPr>
      </w:pPr>
      <w:proofErr w:type="spellStart"/>
      <w:r w:rsidRPr="003A0F42">
        <w:rPr>
          <w:b/>
          <w:bCs/>
          <w:sz w:val="28"/>
          <w:szCs w:val="28"/>
          <w:lang w:val="pt-BR"/>
        </w:rPr>
        <w:t>Patofisiologia</w:t>
      </w:r>
      <w:proofErr w:type="spellEnd"/>
    </w:p>
    <w:p w14:paraId="43768CE4" w14:textId="3607EC35" w:rsidR="007B7839" w:rsidRPr="003A0F42" w:rsidRDefault="007B7839" w:rsidP="007B7839">
      <w:pPr>
        <w:jc w:val="both"/>
        <w:rPr>
          <w:b/>
          <w:bCs/>
          <w:sz w:val="28"/>
          <w:szCs w:val="28"/>
          <w:lang w:val="pt-BR"/>
        </w:rPr>
      </w:pPr>
    </w:p>
    <w:p w14:paraId="68FD7DE0" w14:textId="590240BF" w:rsidR="007B7839" w:rsidRPr="003A0F42" w:rsidRDefault="007B7839" w:rsidP="003A0F42">
      <w:pPr>
        <w:autoSpaceDE w:val="0"/>
        <w:autoSpaceDN w:val="0"/>
        <w:adjustRightInd w:val="0"/>
        <w:rPr>
          <w:rFonts w:ascii="Calibri" w:hAnsi="Calibri" w:cs="Calibri"/>
          <w:color w:val="000000"/>
          <w:sz w:val="18"/>
          <w:szCs w:val="18"/>
          <w:lang w:val="pt-BR"/>
        </w:rPr>
      </w:pPr>
      <w:r w:rsidRPr="007B7839">
        <w:rPr>
          <w:rFonts w:ascii="Calibri" w:hAnsi="Calibri" w:cs="Calibri"/>
          <w:color w:val="000000"/>
          <w:sz w:val="23"/>
          <w:szCs w:val="23"/>
          <w:lang w:val="pt-BR"/>
        </w:rPr>
        <w:t xml:space="preserve">Desde de cedo se compreendeu que, dada sua natureza </w:t>
      </w:r>
      <w:proofErr w:type="spellStart"/>
      <w:r w:rsidRPr="007B7839">
        <w:rPr>
          <w:rFonts w:ascii="Calibri" w:hAnsi="Calibri" w:cs="Calibri"/>
          <w:color w:val="000000"/>
          <w:sz w:val="23"/>
          <w:szCs w:val="23"/>
          <w:lang w:val="pt-BR"/>
        </w:rPr>
        <w:t>multifactorial</w:t>
      </w:r>
      <w:proofErr w:type="spellEnd"/>
      <w:r w:rsidRPr="007B7839">
        <w:rPr>
          <w:rFonts w:ascii="Calibri" w:hAnsi="Calibri" w:cs="Calibri"/>
          <w:color w:val="000000"/>
          <w:sz w:val="23"/>
          <w:szCs w:val="23"/>
          <w:lang w:val="pt-BR"/>
        </w:rPr>
        <w:t xml:space="preserve">, uma teoria única não </w:t>
      </w:r>
      <w:r w:rsidRPr="007B7839">
        <w:rPr>
          <w:rFonts w:ascii="Calibri" w:hAnsi="Calibri" w:cs="Calibri"/>
          <w:color w:val="000000"/>
          <w:sz w:val="18"/>
          <w:szCs w:val="18"/>
          <w:lang w:val="pt-BR"/>
        </w:rPr>
        <w:t>9</w:t>
      </w:r>
      <w:r w:rsidR="003A0F42">
        <w:rPr>
          <w:rFonts w:ascii="Calibri" w:hAnsi="Calibri" w:cs="Calibri"/>
          <w:color w:val="000000"/>
          <w:sz w:val="18"/>
          <w:szCs w:val="18"/>
          <w:lang w:val="pt-BR"/>
        </w:rPr>
        <w:t xml:space="preserve"> </w:t>
      </w:r>
      <w:r w:rsidRPr="007B7839">
        <w:rPr>
          <w:rFonts w:ascii="Calibri" w:hAnsi="Calibri"/>
          <w:sz w:val="23"/>
          <w:szCs w:val="23"/>
          <w:lang w:val="pt-BR"/>
        </w:rPr>
        <w:t xml:space="preserve">conseguiria abarcar a complexidade inerente ao </w:t>
      </w:r>
      <w:r w:rsidRPr="007B7839">
        <w:rPr>
          <w:rFonts w:ascii="Calibri" w:hAnsi="Calibri" w:cs="Calibri"/>
          <w:i/>
          <w:iCs/>
          <w:sz w:val="23"/>
          <w:szCs w:val="23"/>
          <w:lang w:val="pt-BR"/>
        </w:rPr>
        <w:t>delirium</w:t>
      </w:r>
      <w:r w:rsidRPr="007B7839">
        <w:rPr>
          <w:rFonts w:ascii="Calibri" w:hAnsi="Calibri" w:cs="Calibri"/>
          <w:sz w:val="23"/>
          <w:szCs w:val="23"/>
          <w:lang w:val="pt-BR"/>
        </w:rPr>
        <w:t>. Há mais de 50 anos que se admite que resulta de uma desregulação cerebral aguda secundária a alterações sistémicas.</w:t>
      </w:r>
      <w:r w:rsidRPr="007B7839">
        <w:rPr>
          <w:rFonts w:ascii="Calibri" w:hAnsi="Calibri" w:cs="Calibri"/>
          <w:sz w:val="16"/>
          <w:szCs w:val="16"/>
          <w:lang w:val="pt-BR"/>
        </w:rPr>
        <w:t xml:space="preserve">10 </w:t>
      </w:r>
      <w:r w:rsidRPr="007B7839">
        <w:rPr>
          <w:rFonts w:ascii="Calibri" w:hAnsi="Calibri" w:cs="Calibri"/>
          <w:sz w:val="23"/>
          <w:szCs w:val="23"/>
          <w:lang w:val="pt-BR"/>
        </w:rPr>
        <w:t>Desde</w:t>
      </w:r>
      <w:r>
        <w:rPr>
          <w:rFonts w:ascii="Calibri" w:hAnsi="Calibri" w:cs="Calibri"/>
          <w:sz w:val="23"/>
          <w:szCs w:val="23"/>
          <w:lang w:val="pt-BR"/>
        </w:rPr>
        <w:t xml:space="preserve"> </w:t>
      </w:r>
      <w:r w:rsidRPr="007B7839">
        <w:rPr>
          <w:sz w:val="23"/>
          <w:szCs w:val="23"/>
          <w:lang w:val="pt-BR"/>
        </w:rPr>
        <w:t xml:space="preserve">então surgiram múltiplas hipóteses, admitindo diferentes vias complementares e por vezes sobrepostas. Atualmente existem 7 principais teorias: envelhecimento neuronal, inflamação, stress </w:t>
      </w:r>
      <w:proofErr w:type="spellStart"/>
      <w:r w:rsidRPr="007B7839">
        <w:rPr>
          <w:sz w:val="23"/>
          <w:szCs w:val="23"/>
          <w:lang w:val="pt-BR"/>
        </w:rPr>
        <w:t>oxidativo</w:t>
      </w:r>
      <w:proofErr w:type="spellEnd"/>
      <w:r w:rsidRPr="007B7839">
        <w:rPr>
          <w:sz w:val="23"/>
          <w:szCs w:val="23"/>
          <w:lang w:val="pt-BR"/>
        </w:rPr>
        <w:t>, alterações neuroendócrinas, alterações de neurotransmissores, desregulação da melatonina e falha na conectividade da rede neuronal.</w:t>
      </w:r>
      <w:r w:rsidRPr="007B7839">
        <w:rPr>
          <w:sz w:val="16"/>
          <w:szCs w:val="16"/>
          <w:lang w:val="pt-BR"/>
        </w:rPr>
        <w:t>10, 101</w:t>
      </w:r>
      <w:r w:rsidRPr="007B7839">
        <w:rPr>
          <w:sz w:val="23"/>
          <w:szCs w:val="23"/>
          <w:lang w:val="pt-BR"/>
        </w:rPr>
        <w:t>.</w:t>
      </w:r>
    </w:p>
    <w:p w14:paraId="6362927F" w14:textId="579AF50A" w:rsidR="00D04BC9" w:rsidRDefault="00D04BC9" w:rsidP="007B7839">
      <w:pPr>
        <w:jc w:val="both"/>
        <w:rPr>
          <w:sz w:val="23"/>
          <w:szCs w:val="23"/>
          <w:lang w:val="pt-BR"/>
        </w:rPr>
      </w:pPr>
    </w:p>
    <w:p w14:paraId="6EB777D7" w14:textId="0F7D72F0" w:rsidR="00D04BC9" w:rsidRDefault="00D04BC9" w:rsidP="007B7839">
      <w:pPr>
        <w:jc w:val="both"/>
        <w:rPr>
          <w:sz w:val="23"/>
          <w:szCs w:val="23"/>
          <w:lang w:val="pt-BR"/>
        </w:rPr>
      </w:pPr>
    </w:p>
    <w:p w14:paraId="5AAF102B" w14:textId="467AD58C" w:rsidR="00D04BC9" w:rsidRDefault="00D04BC9" w:rsidP="007B7839">
      <w:pPr>
        <w:jc w:val="both"/>
        <w:rPr>
          <w:sz w:val="16"/>
          <w:szCs w:val="16"/>
          <w:lang w:val="pt-BR"/>
        </w:rPr>
      </w:pPr>
      <w:r w:rsidRPr="00D04BC9">
        <w:rPr>
          <w:sz w:val="23"/>
          <w:szCs w:val="23"/>
          <w:lang w:val="pt-BR"/>
        </w:rPr>
        <w:t xml:space="preserve">Com o </w:t>
      </w:r>
      <w:r w:rsidRPr="00D04BC9">
        <w:rPr>
          <w:b/>
          <w:bCs/>
          <w:sz w:val="23"/>
          <w:szCs w:val="23"/>
          <w:lang w:val="pt-BR"/>
        </w:rPr>
        <w:t xml:space="preserve">envelhecimento </w:t>
      </w:r>
      <w:r w:rsidRPr="00D04BC9">
        <w:rPr>
          <w:sz w:val="23"/>
          <w:szCs w:val="23"/>
          <w:lang w:val="pt-BR"/>
        </w:rPr>
        <w:t xml:space="preserve">verifica-se uma maior vulnerabilidade ao </w:t>
      </w:r>
      <w:r w:rsidRPr="00D04BC9">
        <w:rPr>
          <w:i/>
          <w:iCs/>
          <w:sz w:val="23"/>
          <w:szCs w:val="23"/>
          <w:lang w:val="pt-BR"/>
        </w:rPr>
        <w:t xml:space="preserve">delirium </w:t>
      </w:r>
      <w:r w:rsidRPr="00D04BC9">
        <w:rPr>
          <w:sz w:val="23"/>
          <w:szCs w:val="23"/>
          <w:lang w:val="pt-BR"/>
        </w:rPr>
        <w:t>por diminuição da reserva fisiológica, independentemente de outros factores.</w:t>
      </w:r>
      <w:r w:rsidRPr="00D04BC9">
        <w:rPr>
          <w:sz w:val="16"/>
          <w:szCs w:val="16"/>
          <w:lang w:val="pt-BR"/>
        </w:rPr>
        <w:t>102</w:t>
      </w:r>
      <w:r w:rsidRPr="00D04BC9">
        <w:rPr>
          <w:sz w:val="23"/>
          <w:szCs w:val="23"/>
          <w:lang w:val="pt-BR"/>
        </w:rPr>
        <w:t>. Este processo é global e com alterações fisiológicas características, atingindo também o sistema nervoso, com alterações ao nível dos neurotransmissores, do fluxo sanguíneo cerebral e perda de neurónios. Todos estes fatores contribuem para a deterioração cognitiva progressiva e risco de demência associados com a idade.</w:t>
      </w:r>
      <w:r w:rsidRPr="00D04BC9">
        <w:rPr>
          <w:sz w:val="16"/>
          <w:szCs w:val="16"/>
          <w:lang w:val="pt-BR"/>
        </w:rPr>
        <w:t xml:space="preserve">103 </w:t>
      </w:r>
      <w:r w:rsidRPr="00D04BC9">
        <w:rPr>
          <w:sz w:val="23"/>
          <w:szCs w:val="23"/>
          <w:lang w:val="pt-BR"/>
        </w:rPr>
        <w:t>Por outro lado, estudos também documentaram um aumento dos níveis basais de mediadores inflamatórios sugestivos de um processo crónico associado ao envelhecimento.</w:t>
      </w:r>
      <w:r w:rsidRPr="00D04BC9">
        <w:rPr>
          <w:sz w:val="16"/>
          <w:szCs w:val="16"/>
          <w:lang w:val="pt-BR"/>
        </w:rPr>
        <w:t>104-106</w:t>
      </w:r>
    </w:p>
    <w:p w14:paraId="67221958" w14:textId="22334001" w:rsidR="00D04BC9" w:rsidRDefault="00D04BC9" w:rsidP="007B7839">
      <w:pPr>
        <w:jc w:val="both"/>
        <w:rPr>
          <w:sz w:val="16"/>
          <w:szCs w:val="16"/>
          <w:lang w:val="pt-BR"/>
        </w:rPr>
      </w:pPr>
    </w:p>
    <w:p w14:paraId="232B2395" w14:textId="715F46DB" w:rsidR="00D04BC9" w:rsidRDefault="00D04BC9" w:rsidP="007B7839">
      <w:pPr>
        <w:jc w:val="both"/>
        <w:rPr>
          <w:sz w:val="16"/>
          <w:szCs w:val="16"/>
          <w:lang w:val="pt-BR"/>
        </w:rPr>
      </w:pPr>
      <w:r w:rsidRPr="00D04BC9">
        <w:rPr>
          <w:sz w:val="23"/>
          <w:szCs w:val="23"/>
          <w:lang w:val="pt-BR"/>
        </w:rPr>
        <w:t xml:space="preserve">Alguns trabalhos demonstraram que a saturação de oxigénio </w:t>
      </w:r>
      <w:proofErr w:type="spellStart"/>
      <w:r w:rsidRPr="00D04BC9">
        <w:rPr>
          <w:sz w:val="23"/>
          <w:szCs w:val="23"/>
          <w:lang w:val="pt-BR"/>
        </w:rPr>
        <w:t>intraoperatória</w:t>
      </w:r>
      <w:proofErr w:type="spellEnd"/>
      <w:r w:rsidRPr="00D04BC9">
        <w:rPr>
          <w:sz w:val="23"/>
          <w:szCs w:val="23"/>
          <w:lang w:val="pt-BR"/>
        </w:rPr>
        <w:t xml:space="preserve"> e a função cognitiva no pós-operatório se encontram relacionadas, nomeadamente que a hipóxia é um fator de risco significativo para desenvolver </w:t>
      </w:r>
      <w:r w:rsidRPr="00D04BC9">
        <w:rPr>
          <w:i/>
          <w:iCs/>
          <w:sz w:val="23"/>
          <w:szCs w:val="23"/>
          <w:lang w:val="pt-BR"/>
        </w:rPr>
        <w:t xml:space="preserve">delirium </w:t>
      </w:r>
      <w:r w:rsidRPr="00D04BC9">
        <w:rPr>
          <w:sz w:val="23"/>
          <w:szCs w:val="23"/>
          <w:lang w:val="pt-BR"/>
        </w:rPr>
        <w:t xml:space="preserve">no pós-operatório. Por outro lado, as alterações </w:t>
      </w:r>
      <w:proofErr w:type="spellStart"/>
      <w:r w:rsidRPr="00D04BC9">
        <w:rPr>
          <w:sz w:val="23"/>
          <w:szCs w:val="23"/>
          <w:lang w:val="pt-BR"/>
        </w:rPr>
        <w:t>oxidativas</w:t>
      </w:r>
      <w:proofErr w:type="spellEnd"/>
      <w:r w:rsidRPr="00D04BC9">
        <w:rPr>
          <w:sz w:val="23"/>
          <w:szCs w:val="23"/>
          <w:lang w:val="pt-BR"/>
        </w:rPr>
        <w:t xml:space="preserve"> também foram associadas ao declínio cognitivo irreversível, </w:t>
      </w:r>
      <w:proofErr w:type="spellStart"/>
      <w:r w:rsidRPr="00D04BC9">
        <w:rPr>
          <w:sz w:val="23"/>
          <w:szCs w:val="23"/>
          <w:lang w:val="pt-BR"/>
        </w:rPr>
        <w:t>sequelar</w:t>
      </w:r>
      <w:proofErr w:type="spellEnd"/>
      <w:r w:rsidRPr="00D04BC9">
        <w:rPr>
          <w:sz w:val="23"/>
          <w:szCs w:val="23"/>
          <w:lang w:val="pt-BR"/>
        </w:rPr>
        <w:t xml:space="preserve"> ao episódio de </w:t>
      </w:r>
      <w:r w:rsidRPr="00D04BC9">
        <w:rPr>
          <w:i/>
          <w:iCs/>
          <w:sz w:val="23"/>
          <w:szCs w:val="23"/>
          <w:lang w:val="pt-BR"/>
        </w:rPr>
        <w:t>delirium</w:t>
      </w:r>
      <w:r w:rsidRPr="00D04BC9">
        <w:rPr>
          <w:sz w:val="23"/>
          <w:szCs w:val="23"/>
          <w:lang w:val="pt-BR"/>
        </w:rPr>
        <w:t>.</w:t>
      </w:r>
      <w:r w:rsidRPr="00D04BC9">
        <w:rPr>
          <w:sz w:val="16"/>
          <w:szCs w:val="16"/>
          <w:lang w:val="pt-BR"/>
        </w:rPr>
        <w:t>109</w:t>
      </w:r>
    </w:p>
    <w:p w14:paraId="59F74631" w14:textId="7E4CBEE2" w:rsidR="00D04BC9" w:rsidRDefault="00D04BC9" w:rsidP="007B7839">
      <w:pPr>
        <w:jc w:val="both"/>
        <w:rPr>
          <w:sz w:val="16"/>
          <w:szCs w:val="16"/>
          <w:lang w:val="pt-BR"/>
        </w:rPr>
      </w:pPr>
    </w:p>
    <w:p w14:paraId="6143D252" w14:textId="01E87520" w:rsidR="00D04BC9" w:rsidRDefault="00D04BC9" w:rsidP="007B7839">
      <w:pPr>
        <w:jc w:val="both"/>
        <w:rPr>
          <w:sz w:val="16"/>
          <w:szCs w:val="16"/>
          <w:lang w:val="pt-BR"/>
        </w:rPr>
      </w:pPr>
    </w:p>
    <w:p w14:paraId="4DE1FE3A" w14:textId="6F2E2815" w:rsidR="00D04BC9" w:rsidRPr="003A0F42" w:rsidRDefault="00D04BC9" w:rsidP="007B7839">
      <w:pPr>
        <w:jc w:val="both"/>
        <w:rPr>
          <w:b/>
          <w:bCs/>
          <w:sz w:val="28"/>
          <w:szCs w:val="28"/>
          <w:lang w:val="pt-BR"/>
        </w:rPr>
      </w:pPr>
      <w:r w:rsidRPr="003A0F42">
        <w:rPr>
          <w:b/>
          <w:bCs/>
          <w:sz w:val="28"/>
          <w:szCs w:val="28"/>
          <w:lang w:val="pt-BR"/>
        </w:rPr>
        <w:t>Etiologia: fatores predisponentes e precipitantes</w:t>
      </w:r>
    </w:p>
    <w:p w14:paraId="3CDFAE01" w14:textId="6C23348D" w:rsidR="00D04BC9" w:rsidRPr="003A0F42" w:rsidRDefault="00D04BC9" w:rsidP="007B7839">
      <w:pPr>
        <w:jc w:val="both"/>
        <w:rPr>
          <w:b/>
          <w:bCs/>
          <w:sz w:val="28"/>
          <w:szCs w:val="28"/>
          <w:lang w:val="pt-BR"/>
        </w:rPr>
      </w:pPr>
    </w:p>
    <w:p w14:paraId="1DA3FD69" w14:textId="4052B0E8" w:rsidR="00D04BC9" w:rsidRDefault="00D04BC9" w:rsidP="007B7839">
      <w:pPr>
        <w:jc w:val="both"/>
        <w:rPr>
          <w:sz w:val="16"/>
          <w:szCs w:val="16"/>
          <w:lang w:val="pt-BR"/>
        </w:rPr>
      </w:pPr>
      <w:r w:rsidRPr="00D04BC9">
        <w:rPr>
          <w:sz w:val="23"/>
          <w:szCs w:val="23"/>
          <w:lang w:val="pt-BR"/>
        </w:rPr>
        <w:t xml:space="preserve">Entre os principais fatores </w:t>
      </w:r>
      <w:r w:rsidRPr="00D04BC9">
        <w:rPr>
          <w:b/>
          <w:bCs/>
          <w:sz w:val="23"/>
          <w:szCs w:val="23"/>
          <w:lang w:val="pt-BR"/>
        </w:rPr>
        <w:t xml:space="preserve">predisponentes </w:t>
      </w:r>
      <w:r w:rsidRPr="00D04BC9">
        <w:rPr>
          <w:sz w:val="23"/>
          <w:szCs w:val="23"/>
          <w:lang w:val="pt-BR"/>
        </w:rPr>
        <w:t xml:space="preserve">destacam-se a idade avançada, alterações cognitivas ou demência, </w:t>
      </w:r>
      <w:proofErr w:type="spellStart"/>
      <w:r w:rsidRPr="00D04BC9">
        <w:rPr>
          <w:sz w:val="23"/>
          <w:szCs w:val="23"/>
          <w:lang w:val="pt-BR"/>
        </w:rPr>
        <w:t>multimorbilidade</w:t>
      </w:r>
      <w:proofErr w:type="spellEnd"/>
      <w:r w:rsidRPr="00D04BC9">
        <w:rPr>
          <w:sz w:val="23"/>
          <w:szCs w:val="23"/>
          <w:lang w:val="pt-BR"/>
        </w:rPr>
        <w:t>, fragilidade, dependência funcional, diminuição da acuidade visual ou auditiva, e consumo alcoólico excessivo.</w:t>
      </w:r>
      <w:r w:rsidRPr="00D04BC9">
        <w:rPr>
          <w:sz w:val="16"/>
          <w:szCs w:val="16"/>
          <w:lang w:val="pt-BR"/>
        </w:rPr>
        <w:t xml:space="preserve">7, 113 </w:t>
      </w:r>
      <w:r w:rsidRPr="00D04BC9">
        <w:rPr>
          <w:sz w:val="23"/>
          <w:szCs w:val="23"/>
          <w:lang w:val="pt-BR"/>
        </w:rPr>
        <w:t xml:space="preserve">Os fatores </w:t>
      </w:r>
      <w:r w:rsidRPr="00D04BC9">
        <w:rPr>
          <w:b/>
          <w:bCs/>
          <w:sz w:val="23"/>
          <w:szCs w:val="23"/>
          <w:lang w:val="pt-BR"/>
        </w:rPr>
        <w:t xml:space="preserve">precipitantes </w:t>
      </w:r>
      <w:r w:rsidRPr="00D04BC9">
        <w:rPr>
          <w:sz w:val="23"/>
          <w:szCs w:val="23"/>
          <w:lang w:val="pt-BR"/>
        </w:rPr>
        <w:t xml:space="preserve">são variados, assinalando-se a </w:t>
      </w:r>
      <w:proofErr w:type="spellStart"/>
      <w:r w:rsidRPr="00D04BC9">
        <w:rPr>
          <w:sz w:val="23"/>
          <w:szCs w:val="23"/>
          <w:lang w:val="pt-BR"/>
        </w:rPr>
        <w:t>polifarmácia</w:t>
      </w:r>
      <w:proofErr w:type="spellEnd"/>
      <w:r w:rsidRPr="00D04BC9">
        <w:rPr>
          <w:sz w:val="23"/>
          <w:szCs w:val="23"/>
          <w:lang w:val="pt-BR"/>
        </w:rPr>
        <w:t xml:space="preserve">, o uso de medicação psicoativa, imobilização física, </w:t>
      </w:r>
      <w:proofErr w:type="spellStart"/>
      <w:r w:rsidRPr="00D04BC9">
        <w:rPr>
          <w:sz w:val="23"/>
          <w:szCs w:val="23"/>
          <w:lang w:val="pt-BR"/>
        </w:rPr>
        <w:t>algaliação</w:t>
      </w:r>
      <w:proofErr w:type="spellEnd"/>
      <w:r w:rsidRPr="00D04BC9">
        <w:rPr>
          <w:sz w:val="23"/>
          <w:szCs w:val="23"/>
          <w:lang w:val="pt-BR"/>
        </w:rPr>
        <w:t xml:space="preserve">, desidratação, dor, infecção, hipóxia, desnutrição, ou alterações </w:t>
      </w:r>
      <w:proofErr w:type="spellStart"/>
      <w:r w:rsidRPr="00D04BC9">
        <w:rPr>
          <w:sz w:val="23"/>
          <w:szCs w:val="23"/>
          <w:lang w:val="pt-BR"/>
        </w:rPr>
        <w:t>electrolíticas</w:t>
      </w:r>
      <w:proofErr w:type="spellEnd"/>
      <w:r w:rsidRPr="00D04BC9">
        <w:rPr>
          <w:sz w:val="23"/>
          <w:szCs w:val="23"/>
          <w:lang w:val="pt-BR"/>
        </w:rPr>
        <w:t xml:space="preserve">, como a </w:t>
      </w:r>
      <w:proofErr w:type="spellStart"/>
      <w:r w:rsidRPr="00D04BC9">
        <w:rPr>
          <w:sz w:val="23"/>
          <w:szCs w:val="23"/>
          <w:lang w:val="pt-BR"/>
        </w:rPr>
        <w:t>hiponatremia</w:t>
      </w:r>
      <w:proofErr w:type="spellEnd"/>
      <w:r w:rsidRPr="00D04BC9">
        <w:rPr>
          <w:sz w:val="23"/>
          <w:szCs w:val="23"/>
          <w:lang w:val="pt-BR"/>
        </w:rPr>
        <w:t xml:space="preserve"> (Tabela 2).</w:t>
      </w:r>
      <w:r w:rsidRPr="00D04BC9">
        <w:rPr>
          <w:sz w:val="16"/>
          <w:szCs w:val="16"/>
          <w:lang w:val="pt-BR"/>
        </w:rPr>
        <w:t>7, 56, 113</w:t>
      </w:r>
    </w:p>
    <w:p w14:paraId="28519335" w14:textId="5C890FED" w:rsidR="00D04BC9" w:rsidRDefault="00D04BC9" w:rsidP="007B7839">
      <w:pPr>
        <w:jc w:val="both"/>
        <w:rPr>
          <w:sz w:val="16"/>
          <w:szCs w:val="16"/>
          <w:lang w:val="pt-BR"/>
        </w:rPr>
      </w:pPr>
    </w:p>
    <w:p w14:paraId="1134CF5E" w14:textId="7DCBD3D8" w:rsidR="00D04BC9" w:rsidRDefault="00D04BC9" w:rsidP="007B7839">
      <w:pPr>
        <w:jc w:val="both"/>
        <w:rPr>
          <w:sz w:val="16"/>
          <w:szCs w:val="16"/>
          <w:lang w:val="pt-BR"/>
        </w:rPr>
      </w:pPr>
      <w:r w:rsidRPr="00D04BC9">
        <w:rPr>
          <w:sz w:val="23"/>
          <w:szCs w:val="23"/>
          <w:lang w:val="pt-BR"/>
        </w:rPr>
        <w:t xml:space="preserve">A medicação é responsável em por cerca de 30% dos casos de </w:t>
      </w:r>
      <w:r w:rsidRPr="00D04BC9">
        <w:rPr>
          <w:i/>
          <w:iCs/>
          <w:sz w:val="23"/>
          <w:szCs w:val="23"/>
          <w:lang w:val="pt-BR"/>
        </w:rPr>
        <w:t>delirium</w:t>
      </w:r>
      <w:r w:rsidRPr="00D04BC9">
        <w:rPr>
          <w:sz w:val="23"/>
          <w:szCs w:val="23"/>
          <w:lang w:val="pt-BR"/>
        </w:rPr>
        <w:t>, estando implicado não só o tipo, mas também o número total de fármacos.</w:t>
      </w:r>
      <w:r w:rsidRPr="00D04BC9">
        <w:rPr>
          <w:sz w:val="16"/>
          <w:szCs w:val="16"/>
          <w:lang w:val="pt-BR"/>
        </w:rPr>
        <w:t xml:space="preserve">115 </w:t>
      </w:r>
      <w:r w:rsidRPr="00D04BC9">
        <w:rPr>
          <w:sz w:val="23"/>
          <w:szCs w:val="23"/>
          <w:lang w:val="pt-BR"/>
        </w:rPr>
        <w:t xml:space="preserve">Apesar de, na sua maioria, poderem desencadear um episódio de </w:t>
      </w:r>
      <w:r w:rsidRPr="00D04BC9">
        <w:rPr>
          <w:i/>
          <w:iCs/>
          <w:sz w:val="23"/>
          <w:szCs w:val="23"/>
          <w:lang w:val="pt-BR"/>
        </w:rPr>
        <w:t>delirium</w:t>
      </w:r>
      <w:r w:rsidRPr="00D04BC9">
        <w:rPr>
          <w:sz w:val="23"/>
          <w:szCs w:val="23"/>
          <w:lang w:val="pt-BR"/>
        </w:rPr>
        <w:t xml:space="preserve">, algumas classes apresentam um maior risco, possivelmente por </w:t>
      </w:r>
      <w:r w:rsidR="00231D59" w:rsidRPr="00D04BC9">
        <w:rPr>
          <w:sz w:val="23"/>
          <w:szCs w:val="23"/>
          <w:lang w:val="pt-BR"/>
        </w:rPr>
        <w:t>atuarem</w:t>
      </w:r>
      <w:r w:rsidRPr="00D04BC9">
        <w:rPr>
          <w:sz w:val="23"/>
          <w:szCs w:val="23"/>
          <w:lang w:val="pt-BR"/>
        </w:rPr>
        <w:t xml:space="preserve"> ao nível das vias patofisiológicas e dos </w:t>
      </w:r>
      <w:proofErr w:type="spellStart"/>
      <w:r w:rsidRPr="00D04BC9">
        <w:rPr>
          <w:sz w:val="23"/>
          <w:szCs w:val="23"/>
          <w:lang w:val="pt-BR"/>
        </w:rPr>
        <w:t>neuromediadores</w:t>
      </w:r>
      <w:proofErr w:type="spellEnd"/>
      <w:r w:rsidRPr="00D04BC9">
        <w:rPr>
          <w:sz w:val="23"/>
          <w:szCs w:val="23"/>
          <w:lang w:val="pt-BR"/>
        </w:rPr>
        <w:t xml:space="preserve"> envolvidos na sua génese, como os anticolinérgicos ou os antidopaminérgicos.</w:t>
      </w:r>
      <w:r w:rsidRPr="00D04BC9">
        <w:rPr>
          <w:sz w:val="16"/>
          <w:szCs w:val="16"/>
          <w:lang w:val="pt-BR"/>
        </w:rPr>
        <w:t xml:space="preserve">101 </w:t>
      </w:r>
      <w:r w:rsidRPr="00D04BC9">
        <w:rPr>
          <w:sz w:val="23"/>
          <w:szCs w:val="23"/>
          <w:lang w:val="pt-BR"/>
        </w:rPr>
        <w:t xml:space="preserve">Assim, destacam-se os: </w:t>
      </w:r>
      <w:proofErr w:type="spellStart"/>
      <w:r w:rsidRPr="00D04BC9">
        <w:rPr>
          <w:sz w:val="23"/>
          <w:szCs w:val="23"/>
          <w:lang w:val="pt-BR"/>
        </w:rPr>
        <w:t>antipsicóticos</w:t>
      </w:r>
      <w:proofErr w:type="spellEnd"/>
      <w:r w:rsidRPr="00D04BC9">
        <w:rPr>
          <w:sz w:val="23"/>
          <w:szCs w:val="23"/>
          <w:lang w:val="pt-BR"/>
        </w:rPr>
        <w:t xml:space="preserve">, ansiolíticos, antidepressivos, </w:t>
      </w:r>
      <w:proofErr w:type="spellStart"/>
      <w:r w:rsidRPr="00D04BC9">
        <w:rPr>
          <w:sz w:val="23"/>
          <w:szCs w:val="23"/>
          <w:lang w:val="pt-BR"/>
        </w:rPr>
        <w:t>opióides</w:t>
      </w:r>
      <w:proofErr w:type="spellEnd"/>
      <w:r w:rsidRPr="00D04BC9">
        <w:rPr>
          <w:sz w:val="23"/>
          <w:szCs w:val="23"/>
          <w:lang w:val="pt-BR"/>
        </w:rPr>
        <w:t>, corticosteroides, anticonvulsivantes e antihistamínicos.</w:t>
      </w:r>
      <w:r w:rsidRPr="00D04BC9">
        <w:rPr>
          <w:sz w:val="16"/>
          <w:szCs w:val="16"/>
          <w:lang w:val="pt-BR"/>
        </w:rPr>
        <w:t>7, 116-117</w:t>
      </w:r>
    </w:p>
    <w:p w14:paraId="7751C7E2" w14:textId="176E2629" w:rsidR="00D04BC9" w:rsidRDefault="00D04BC9" w:rsidP="007B7839">
      <w:pPr>
        <w:jc w:val="both"/>
        <w:rPr>
          <w:sz w:val="16"/>
          <w:szCs w:val="16"/>
          <w:lang w:val="pt-BR"/>
        </w:rPr>
      </w:pPr>
    </w:p>
    <w:p w14:paraId="218B6416" w14:textId="77777777" w:rsidR="00D04BC9" w:rsidRPr="003A0F42" w:rsidRDefault="00D04BC9" w:rsidP="00D04BC9">
      <w:pPr>
        <w:autoSpaceDE w:val="0"/>
        <w:autoSpaceDN w:val="0"/>
        <w:adjustRightInd w:val="0"/>
        <w:rPr>
          <w:rFonts w:ascii="Calibri" w:hAnsi="Calibri" w:cs="Calibri"/>
          <w:b/>
          <w:bCs/>
          <w:color w:val="000000"/>
          <w:sz w:val="23"/>
          <w:szCs w:val="23"/>
          <w:lang w:val="pt-BR"/>
        </w:rPr>
      </w:pPr>
      <w:r w:rsidRPr="003A0F42">
        <w:rPr>
          <w:rFonts w:ascii="Calibri" w:hAnsi="Calibri" w:cs="Calibri"/>
          <w:b/>
          <w:bCs/>
          <w:color w:val="000000"/>
          <w:sz w:val="23"/>
          <w:szCs w:val="23"/>
          <w:lang w:val="pt-BR"/>
        </w:rPr>
        <w:t xml:space="preserve">PRINCIPAIS DIFICULDADES </w:t>
      </w:r>
    </w:p>
    <w:p w14:paraId="77BAAC83" w14:textId="1AF52D2C"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Dado o prognóstico associado e elevado impacto socioeconómico, é fundamental o reconhecimento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para o seu diagnóstico e prevenção. No entanto, apesar da sua elevada prevalência, os níveis de identificação e documentação têm permanecido baixos ao longo dos anos.</w:t>
      </w:r>
      <w:r w:rsidRPr="00D04BC9">
        <w:rPr>
          <w:rFonts w:ascii="Calibri" w:hAnsi="Calibri" w:cs="Calibri"/>
          <w:color w:val="000000"/>
          <w:sz w:val="16"/>
          <w:szCs w:val="16"/>
          <w:lang w:val="pt-BR"/>
        </w:rPr>
        <w:t xml:space="preserve">139-142 </w:t>
      </w:r>
      <w:r w:rsidRPr="00D04BC9">
        <w:rPr>
          <w:rFonts w:ascii="Calibri" w:hAnsi="Calibri" w:cs="Calibri"/>
          <w:color w:val="000000"/>
          <w:sz w:val="23"/>
          <w:szCs w:val="23"/>
          <w:lang w:val="pt-BR"/>
        </w:rPr>
        <w:t xml:space="preserve">Existem vários </w:t>
      </w:r>
      <w:r w:rsidR="00231D59" w:rsidRPr="00D04BC9">
        <w:rPr>
          <w:rFonts w:ascii="Calibri" w:hAnsi="Calibri" w:cs="Calibri"/>
          <w:color w:val="000000"/>
          <w:sz w:val="23"/>
          <w:szCs w:val="23"/>
          <w:lang w:val="pt-BR"/>
        </w:rPr>
        <w:t>fatores</w:t>
      </w:r>
      <w:r w:rsidRPr="00D04BC9">
        <w:rPr>
          <w:rFonts w:ascii="Calibri" w:hAnsi="Calibri" w:cs="Calibri"/>
          <w:color w:val="000000"/>
          <w:sz w:val="23"/>
          <w:szCs w:val="23"/>
          <w:lang w:val="pt-BR"/>
        </w:rPr>
        <w:t xml:space="preserve"> que têm contribuído para esta realidade. Por um lado, pela falta de conhecimento e formação dos profissionais de saúde, quer para o reconhecimento do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xml:space="preserve">, como para aplicação </w:t>
      </w:r>
      <w:r w:rsidR="00231D59" w:rsidRPr="00D04BC9">
        <w:rPr>
          <w:rFonts w:ascii="Calibri" w:hAnsi="Calibri" w:cs="Calibri"/>
          <w:color w:val="000000"/>
          <w:sz w:val="23"/>
          <w:szCs w:val="23"/>
          <w:lang w:val="pt-BR"/>
        </w:rPr>
        <w:t>correta</w:t>
      </w:r>
      <w:r w:rsidRPr="00D04BC9">
        <w:rPr>
          <w:rFonts w:ascii="Calibri" w:hAnsi="Calibri" w:cs="Calibri"/>
          <w:color w:val="000000"/>
          <w:sz w:val="23"/>
          <w:szCs w:val="23"/>
          <w:lang w:val="pt-BR"/>
        </w:rPr>
        <w:t xml:space="preserve"> das escalas de avaliação cognitiva e dos instrumentos de diagnóstico.</w:t>
      </w:r>
      <w:r w:rsidRPr="00D04BC9">
        <w:rPr>
          <w:rFonts w:ascii="Calibri" w:hAnsi="Calibri" w:cs="Calibri"/>
          <w:color w:val="000000"/>
          <w:sz w:val="16"/>
          <w:szCs w:val="16"/>
          <w:lang w:val="pt-BR"/>
        </w:rPr>
        <w:t>28, 142</w:t>
      </w:r>
    </w:p>
    <w:p w14:paraId="70C7D81E" w14:textId="3DBAE80A" w:rsidR="00D04BC9" w:rsidRDefault="00D04BC9" w:rsidP="00D04BC9">
      <w:pPr>
        <w:jc w:val="both"/>
        <w:rPr>
          <w:rFonts w:ascii="Calibri" w:hAnsi="Calibri" w:cs="Calibri"/>
          <w:color w:val="000000"/>
          <w:sz w:val="16"/>
          <w:szCs w:val="16"/>
          <w:lang w:val="pt-BR"/>
        </w:rPr>
      </w:pPr>
    </w:p>
    <w:p w14:paraId="4664AC43" w14:textId="7889F541" w:rsidR="00D04BC9" w:rsidRDefault="00D04BC9" w:rsidP="00D04BC9">
      <w:pPr>
        <w:jc w:val="both"/>
        <w:rPr>
          <w:sz w:val="16"/>
          <w:szCs w:val="16"/>
          <w:lang w:val="pt-BR"/>
        </w:rPr>
      </w:pPr>
      <w:r w:rsidRPr="00D04BC9">
        <w:rPr>
          <w:lang w:val="pt-BR"/>
        </w:rPr>
        <w:lastRenderedPageBreak/>
        <w:t xml:space="preserve">Concomitantemente, os próprios critérios e definição permanecem pouco claros, com falta de consenso quanto à duração, gravidade, ou melhor forma de avaliação e diagnóstico, com uma multiplicidade de instrumentos que, globalmente, não são fáceis de aplicar de forma sistematizada e rápida.10, 143 Também os aspectos inerentes à patologia, como o ser flutuante ou a ausência do componente motor nas formas </w:t>
      </w:r>
      <w:proofErr w:type="spellStart"/>
      <w:r w:rsidRPr="00D04BC9">
        <w:rPr>
          <w:lang w:val="pt-BR"/>
        </w:rPr>
        <w:t>hipoactivas</w:t>
      </w:r>
      <w:proofErr w:type="spellEnd"/>
      <w:r w:rsidRPr="00D04BC9">
        <w:rPr>
          <w:lang w:val="pt-BR"/>
        </w:rPr>
        <w:t>, tornam difícil diferenciar de outras patologias frequentes no idoso, como a demência ou a depressão.132, 141, 143-144 Por fim, também a falha na comunicação e integração</w:t>
      </w:r>
      <w:r>
        <w:rPr>
          <w:lang w:val="pt-BR"/>
        </w:rPr>
        <w:t xml:space="preserve"> </w:t>
      </w:r>
      <w:r w:rsidRPr="00D04BC9">
        <w:rPr>
          <w:sz w:val="23"/>
          <w:szCs w:val="23"/>
          <w:lang w:val="pt-BR"/>
        </w:rPr>
        <w:t>das informações prestadas pelos cuidadores e familiares, bem como as contingências temporais e espaciais das enfermarias dificultam o reconhecimento e diagnóstico desta patologia.</w:t>
      </w:r>
      <w:r w:rsidRPr="00D04BC9">
        <w:rPr>
          <w:sz w:val="16"/>
          <w:szCs w:val="16"/>
          <w:lang w:val="pt-BR"/>
        </w:rPr>
        <w:t xml:space="preserve">143, 145 </w:t>
      </w:r>
      <w:r w:rsidRPr="00D04BC9">
        <w:rPr>
          <w:sz w:val="16"/>
          <w:szCs w:val="16"/>
          <w:lang w:val="pt-BR"/>
        </w:rPr>
        <w:tab/>
      </w:r>
    </w:p>
    <w:p w14:paraId="5F92AFD4" w14:textId="1970438A" w:rsidR="00D04BC9" w:rsidRDefault="00D04BC9" w:rsidP="00D04BC9">
      <w:pPr>
        <w:jc w:val="both"/>
        <w:rPr>
          <w:sz w:val="16"/>
          <w:szCs w:val="16"/>
          <w:lang w:val="pt-BR"/>
        </w:rPr>
      </w:pPr>
    </w:p>
    <w:p w14:paraId="02DBD1B7" w14:textId="65A6B363" w:rsidR="00D04BC9" w:rsidRDefault="00D04BC9" w:rsidP="00D04BC9">
      <w:pPr>
        <w:jc w:val="both"/>
        <w:rPr>
          <w:lang w:val="pt-BR"/>
        </w:rPr>
      </w:pPr>
      <w:r w:rsidRPr="00D04BC9">
        <w:rPr>
          <w:lang w:val="pt-BR"/>
        </w:rPr>
        <w:t xml:space="preserve">Efetivamente, o diagnóstico de delirium é clínico, não existindo atualmente marcadores laboratoriais ou </w:t>
      </w:r>
      <w:proofErr w:type="spellStart"/>
      <w:r w:rsidRPr="00D04BC9">
        <w:rPr>
          <w:lang w:val="pt-BR"/>
        </w:rPr>
        <w:t>imagiológicos</w:t>
      </w:r>
      <w:proofErr w:type="spellEnd"/>
      <w:r w:rsidRPr="00D04BC9">
        <w:rPr>
          <w:lang w:val="pt-BR"/>
        </w:rPr>
        <w:t xml:space="preserve"> para confirmar a sua presença.7 Como referido previamente, os critérios do DSM-5 e da ICD-10 são os </w:t>
      </w:r>
      <w:proofErr w:type="spellStart"/>
      <w:r w:rsidRPr="00D04BC9">
        <w:rPr>
          <w:lang w:val="pt-BR"/>
        </w:rPr>
        <w:t>gold</w:t>
      </w:r>
      <w:proofErr w:type="spellEnd"/>
      <w:r w:rsidRPr="00D04BC9">
        <w:rPr>
          <w:lang w:val="pt-BR"/>
        </w:rPr>
        <w:t xml:space="preserve"> standard para confirmar a sua presença.</w:t>
      </w:r>
    </w:p>
    <w:p w14:paraId="1A8EA244" w14:textId="6CF3C838" w:rsidR="00D04BC9" w:rsidRDefault="00D04BC9" w:rsidP="00D04BC9">
      <w:pPr>
        <w:jc w:val="both"/>
        <w:rPr>
          <w:lang w:val="pt-BR"/>
        </w:rPr>
      </w:pPr>
    </w:p>
    <w:p w14:paraId="02F06905" w14:textId="11CA219F" w:rsidR="00D04BC9" w:rsidRDefault="00D04BC9" w:rsidP="00D04BC9">
      <w:pPr>
        <w:jc w:val="both"/>
        <w:rPr>
          <w:lang w:val="pt-BR"/>
        </w:rPr>
      </w:pPr>
      <w:r w:rsidRPr="00D04BC9">
        <w:rPr>
          <w:lang w:val="pt-BR"/>
        </w:rPr>
        <w:t>INSTRUMENTOS DE DIAGNÓSTICO</w:t>
      </w:r>
    </w:p>
    <w:p w14:paraId="12788B49" w14:textId="77777777" w:rsidR="00D04BC9" w:rsidRPr="00D04BC9" w:rsidRDefault="00D04BC9" w:rsidP="00D04BC9">
      <w:pPr>
        <w:jc w:val="both"/>
        <w:rPr>
          <w:lang w:val="pt-BR"/>
        </w:rPr>
      </w:pPr>
    </w:p>
    <w:p w14:paraId="5F54EB0D" w14:textId="5BF99B5D" w:rsidR="00D04BC9" w:rsidRPr="00D04BC9" w:rsidRDefault="00D04BC9" w:rsidP="00D04BC9">
      <w:pPr>
        <w:jc w:val="both"/>
        <w:rPr>
          <w:lang w:val="pt-BR"/>
        </w:rPr>
      </w:pPr>
      <w:r w:rsidRPr="00D04BC9">
        <w:rPr>
          <w:lang w:val="pt-BR"/>
        </w:rPr>
        <w:t>Como também já frisado, um dos aspectos fundamentais neste processo é determinar qual o estado cognitivo basal do doente, de forma a conseguir identificar as suas alterações súbitas e flutuações clínicas, dois dos critérios elementares para estabelecer este diagnóstico.</w:t>
      </w:r>
    </w:p>
    <w:p w14:paraId="715A8F55" w14:textId="35841DAD" w:rsidR="00632DEE" w:rsidRDefault="00632DEE" w:rsidP="00632DEE">
      <w:pPr>
        <w:jc w:val="both"/>
        <w:rPr>
          <w:lang w:val="pt-BR"/>
        </w:rPr>
      </w:pPr>
    </w:p>
    <w:p w14:paraId="28734B7E" w14:textId="6A23EBD9" w:rsidR="00D04BC9" w:rsidRDefault="00D04BC9" w:rsidP="00632DEE">
      <w:pPr>
        <w:jc w:val="both"/>
        <w:rPr>
          <w:lang w:val="pt-BR"/>
        </w:rPr>
      </w:pPr>
    </w:p>
    <w:p w14:paraId="7F1BE42E" w14:textId="01E35843" w:rsidR="00D04BC9" w:rsidRDefault="00D04BC9" w:rsidP="00632DEE">
      <w:pPr>
        <w:jc w:val="both"/>
        <w:rPr>
          <w:sz w:val="16"/>
          <w:szCs w:val="16"/>
          <w:lang w:val="pt-BR"/>
        </w:rPr>
      </w:pPr>
      <w:r w:rsidRPr="00D04BC9">
        <w:rPr>
          <w:sz w:val="23"/>
          <w:szCs w:val="23"/>
          <w:lang w:val="pt-BR"/>
        </w:rPr>
        <w:t>O instrumento de diagnóstico ideal deve ter elevada sensibilidade, ser breve e fácil de aplicar com treino mínimo. Deve ainda adequar-se à tipologia de doentes em que vai ser utilizado e não deverá implicar uma sobrecarga adicional para o doente, para a família ou para os profissionais de saúde.</w:t>
      </w:r>
      <w:r w:rsidRPr="00D04BC9">
        <w:rPr>
          <w:sz w:val="16"/>
          <w:szCs w:val="16"/>
          <w:lang w:val="pt-BR"/>
        </w:rPr>
        <w:t>154</w:t>
      </w:r>
    </w:p>
    <w:p w14:paraId="09BDA7A8" w14:textId="4BD59D0B" w:rsidR="00D04BC9" w:rsidRDefault="00D04BC9" w:rsidP="00632DEE">
      <w:pPr>
        <w:jc w:val="both"/>
        <w:rPr>
          <w:sz w:val="16"/>
          <w:szCs w:val="16"/>
          <w:lang w:val="pt-BR"/>
        </w:rPr>
      </w:pPr>
    </w:p>
    <w:p w14:paraId="5CF684A1" w14:textId="4AD2A4AF" w:rsidR="00D04BC9" w:rsidRDefault="00D04BC9" w:rsidP="00632DEE">
      <w:pPr>
        <w:jc w:val="both"/>
        <w:rPr>
          <w:sz w:val="16"/>
          <w:szCs w:val="16"/>
          <w:lang w:val="pt-BR"/>
        </w:rPr>
      </w:pPr>
      <w:r w:rsidRPr="00D04BC9">
        <w:rPr>
          <w:sz w:val="23"/>
          <w:szCs w:val="23"/>
          <w:lang w:val="pt-BR"/>
        </w:rPr>
        <w:t xml:space="preserve">Para melhorar o reconhecimento de </w:t>
      </w:r>
      <w:r w:rsidRPr="00D04BC9">
        <w:rPr>
          <w:i/>
          <w:iCs/>
          <w:sz w:val="23"/>
          <w:szCs w:val="23"/>
          <w:lang w:val="pt-BR"/>
        </w:rPr>
        <w:t xml:space="preserve">delirium </w:t>
      </w:r>
      <w:r w:rsidRPr="00D04BC9">
        <w:rPr>
          <w:sz w:val="23"/>
          <w:szCs w:val="23"/>
          <w:lang w:val="pt-BR"/>
        </w:rPr>
        <w:t>deve-se aplicar de forma sistematizada instrumentos de rastreio observacionais, nomeadamente pela equipa de enfermagem, associados a testes cognitivos e de atenção.</w:t>
      </w:r>
      <w:r w:rsidRPr="00D04BC9">
        <w:rPr>
          <w:sz w:val="16"/>
          <w:szCs w:val="16"/>
          <w:lang w:val="pt-BR"/>
        </w:rPr>
        <w:t xml:space="preserve">154 </w:t>
      </w:r>
      <w:r w:rsidRPr="00D04BC9">
        <w:rPr>
          <w:sz w:val="23"/>
          <w:szCs w:val="23"/>
          <w:lang w:val="pt-BR"/>
        </w:rPr>
        <w:t xml:space="preserve">Atualmente, existem mais de 40 instrumentos com propriedades psicométricos para a avaliação do </w:t>
      </w:r>
      <w:r w:rsidRPr="00D04BC9">
        <w:rPr>
          <w:i/>
          <w:iCs/>
          <w:sz w:val="23"/>
          <w:szCs w:val="23"/>
          <w:lang w:val="pt-BR"/>
        </w:rPr>
        <w:t>delirium</w:t>
      </w:r>
      <w:r w:rsidRPr="00D04BC9">
        <w:rPr>
          <w:sz w:val="23"/>
          <w:szCs w:val="23"/>
          <w:lang w:val="pt-BR"/>
        </w:rPr>
        <w:t>.</w:t>
      </w:r>
      <w:r w:rsidRPr="00D04BC9">
        <w:rPr>
          <w:sz w:val="16"/>
          <w:szCs w:val="16"/>
          <w:lang w:val="pt-BR"/>
        </w:rPr>
        <w:t>155-156</w:t>
      </w:r>
    </w:p>
    <w:p w14:paraId="072B29B2" w14:textId="1DEB5900" w:rsidR="00D04BC9" w:rsidRDefault="00D04BC9" w:rsidP="00632DEE">
      <w:pPr>
        <w:jc w:val="both"/>
        <w:rPr>
          <w:sz w:val="16"/>
          <w:szCs w:val="16"/>
          <w:lang w:val="pt-BR"/>
        </w:rPr>
      </w:pPr>
    </w:p>
    <w:p w14:paraId="68C2057A" w14:textId="65C78F04" w:rsidR="00D04BC9" w:rsidRDefault="00D04BC9" w:rsidP="00632DEE">
      <w:pPr>
        <w:jc w:val="both"/>
        <w:rPr>
          <w:lang w:val="pt-BR"/>
        </w:rPr>
      </w:pPr>
      <w:r w:rsidRPr="00D04BC9">
        <w:rPr>
          <w:lang w:val="pt-BR"/>
        </w:rPr>
        <w:t xml:space="preserve">O instrumento mais usado, quer no âmbito clínico, quer no de investigação, é o CAM. Este é um algoritmo que se baseia na presença dos 4 elementos característicos do delirium: início súbito, flutuação dos sintomas, </w:t>
      </w:r>
      <w:proofErr w:type="spellStart"/>
      <w:r w:rsidRPr="00D04BC9">
        <w:rPr>
          <w:lang w:val="pt-BR"/>
        </w:rPr>
        <w:t>inatenção</w:t>
      </w:r>
      <w:proofErr w:type="spellEnd"/>
      <w:r w:rsidRPr="00D04BC9">
        <w:rPr>
          <w:lang w:val="pt-BR"/>
        </w:rPr>
        <w:t xml:space="preserve"> e pensamento desorganizado ou alteração da consciência</w:t>
      </w:r>
      <w:r>
        <w:rPr>
          <w:lang w:val="pt-BR"/>
        </w:rPr>
        <w:t xml:space="preserve">. </w:t>
      </w:r>
    </w:p>
    <w:p w14:paraId="33C67DAC" w14:textId="31CA9254" w:rsidR="00D04BC9" w:rsidRDefault="00D04BC9" w:rsidP="00632DEE">
      <w:pPr>
        <w:jc w:val="both"/>
        <w:rPr>
          <w:sz w:val="16"/>
          <w:szCs w:val="16"/>
          <w:lang w:val="pt-BR"/>
        </w:rPr>
      </w:pPr>
      <w:r w:rsidRPr="00D04BC9">
        <w:rPr>
          <w:sz w:val="23"/>
          <w:szCs w:val="23"/>
          <w:lang w:val="pt-BR"/>
        </w:rPr>
        <w:t>A versão completa inclui um total de 9 itens baseados nos critérios do DSM-III (em vigor na data da sua criação)</w:t>
      </w:r>
      <w:r w:rsidRPr="00D04BC9">
        <w:rPr>
          <w:sz w:val="16"/>
          <w:szCs w:val="16"/>
          <w:lang w:val="pt-BR"/>
        </w:rPr>
        <w:t>157</w:t>
      </w:r>
      <w:r w:rsidRPr="00D04BC9">
        <w:rPr>
          <w:sz w:val="23"/>
          <w:szCs w:val="23"/>
          <w:lang w:val="pt-BR"/>
        </w:rPr>
        <w:t>; versões abreviadas (3D-CAM)</w:t>
      </w:r>
      <w:r w:rsidRPr="00D04BC9">
        <w:rPr>
          <w:sz w:val="16"/>
          <w:szCs w:val="16"/>
          <w:lang w:val="pt-BR"/>
        </w:rPr>
        <w:t xml:space="preserve">160 </w:t>
      </w:r>
      <w:r w:rsidRPr="00D04BC9">
        <w:rPr>
          <w:sz w:val="23"/>
          <w:szCs w:val="23"/>
          <w:lang w:val="pt-BR"/>
        </w:rPr>
        <w:t>adaptada ao uso em Cuidados Paliativos</w:t>
      </w:r>
      <w:r w:rsidRPr="00D04BC9">
        <w:rPr>
          <w:sz w:val="16"/>
          <w:szCs w:val="16"/>
          <w:lang w:val="pt-BR"/>
        </w:rPr>
        <w:t>161</w:t>
      </w:r>
      <w:r w:rsidRPr="00D04BC9">
        <w:rPr>
          <w:sz w:val="23"/>
          <w:szCs w:val="23"/>
          <w:lang w:val="pt-BR"/>
        </w:rPr>
        <w:t>, em Cuidados Intensivos (CAM-ICU)</w:t>
      </w:r>
      <w:r w:rsidRPr="00D04BC9">
        <w:rPr>
          <w:sz w:val="16"/>
          <w:szCs w:val="16"/>
          <w:lang w:val="pt-BR"/>
        </w:rPr>
        <w:t>47</w:t>
      </w:r>
      <w:r w:rsidRPr="00D04BC9">
        <w:rPr>
          <w:sz w:val="23"/>
          <w:szCs w:val="23"/>
          <w:lang w:val="pt-BR"/>
        </w:rPr>
        <w:t>, no Serviço de Urgência</w:t>
      </w:r>
      <w:r w:rsidRPr="00D04BC9">
        <w:rPr>
          <w:sz w:val="16"/>
          <w:szCs w:val="16"/>
          <w:lang w:val="pt-BR"/>
        </w:rPr>
        <w:t>162</w:t>
      </w:r>
      <w:r w:rsidRPr="00D04BC9">
        <w:rPr>
          <w:sz w:val="23"/>
          <w:szCs w:val="23"/>
          <w:lang w:val="pt-BR"/>
        </w:rPr>
        <w:t>, ou em lares/instituições de apoio social.</w:t>
      </w:r>
      <w:r w:rsidRPr="00D04BC9">
        <w:rPr>
          <w:sz w:val="16"/>
          <w:szCs w:val="16"/>
          <w:lang w:val="pt-BR"/>
        </w:rPr>
        <w:t>163</w:t>
      </w:r>
    </w:p>
    <w:p w14:paraId="435C7A0E" w14:textId="4DC3473F" w:rsidR="00D04BC9" w:rsidRDefault="00D04BC9" w:rsidP="00632DEE">
      <w:pPr>
        <w:jc w:val="both"/>
        <w:rPr>
          <w:sz w:val="16"/>
          <w:szCs w:val="16"/>
          <w:lang w:val="pt-BR"/>
        </w:rPr>
      </w:pPr>
    </w:p>
    <w:p w14:paraId="579125C2" w14:textId="76627690" w:rsidR="00D04BC9" w:rsidRDefault="00D04BC9" w:rsidP="00632DEE">
      <w:pPr>
        <w:jc w:val="both"/>
        <w:rPr>
          <w:sz w:val="16"/>
          <w:szCs w:val="16"/>
          <w:lang w:val="pt-BR"/>
        </w:rPr>
      </w:pPr>
    </w:p>
    <w:p w14:paraId="2456BA0C"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Seguidamente, destacam-se alguns dos instrumentos usados no rastreio e avaliação de delirium (Tabela 3): </w:t>
      </w:r>
    </w:p>
    <w:p w14:paraId="2E2C2565"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proofErr w:type="spellStart"/>
      <w:r w:rsidRPr="00D04BC9">
        <w:rPr>
          <w:rFonts w:ascii="Calibri" w:hAnsi="Calibri" w:cs="Calibri"/>
          <w:i/>
          <w:iCs/>
          <w:color w:val="000000"/>
          <w:sz w:val="23"/>
          <w:szCs w:val="23"/>
          <w:lang w:val="pt-BR"/>
        </w:rPr>
        <w:t>Nursing</w:t>
      </w:r>
      <w:proofErr w:type="spellEnd"/>
      <w:r w:rsidRPr="00D04BC9">
        <w:rPr>
          <w:rFonts w:ascii="Calibri" w:hAnsi="Calibri" w:cs="Calibri"/>
          <w:i/>
          <w:iCs/>
          <w:color w:val="000000"/>
          <w:sz w:val="23"/>
          <w:szCs w:val="23"/>
          <w:lang w:val="pt-BR"/>
        </w:rPr>
        <w:t xml:space="preserve"> Delirium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Checklist</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NuDESC</w:t>
      </w:r>
      <w:proofErr w:type="spellEnd"/>
      <w:r w:rsidRPr="00D04BC9">
        <w:rPr>
          <w:rFonts w:ascii="Calibri" w:hAnsi="Calibri" w:cs="Calibri"/>
          <w:color w:val="000000"/>
          <w:sz w:val="23"/>
          <w:szCs w:val="23"/>
          <w:lang w:val="pt-BR"/>
        </w:rPr>
        <w:t>) é uma ferramenta observacional para vigilância contínua no internamento;</w:t>
      </w:r>
      <w:r w:rsidRPr="00D04BC9">
        <w:rPr>
          <w:rFonts w:ascii="Calibri" w:hAnsi="Calibri" w:cs="Calibri"/>
          <w:color w:val="000000"/>
          <w:sz w:val="16"/>
          <w:szCs w:val="16"/>
          <w:lang w:val="pt-BR"/>
        </w:rPr>
        <w:t xml:space="preserve">164 </w:t>
      </w:r>
    </w:p>
    <w:p w14:paraId="6EA34EA8"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Delirium </w:t>
      </w:r>
      <w:proofErr w:type="spellStart"/>
      <w:r w:rsidRPr="00D04BC9">
        <w:rPr>
          <w:rFonts w:ascii="Calibri" w:hAnsi="Calibri" w:cs="Calibri"/>
          <w:i/>
          <w:iCs/>
          <w:color w:val="000000"/>
          <w:sz w:val="23"/>
          <w:szCs w:val="23"/>
          <w:lang w:val="pt-BR"/>
        </w:rPr>
        <w:t>Observation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and</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(DOS) é constituído por 25 itens, aplicado por enfermeiros, e visa os padrões de comportamento, tentando captar o aspecto flutuante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num período de 24 horas;</w:t>
      </w:r>
      <w:r w:rsidRPr="00D04BC9">
        <w:rPr>
          <w:rFonts w:ascii="Calibri" w:hAnsi="Calibri" w:cs="Calibri"/>
          <w:color w:val="000000"/>
          <w:sz w:val="16"/>
          <w:szCs w:val="16"/>
          <w:lang w:val="pt-BR"/>
        </w:rPr>
        <w:t xml:space="preserve">165 </w:t>
      </w:r>
    </w:p>
    <w:p w14:paraId="0A0D815D"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NEECHAM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é um instrumento observacional que procura identificar a confusão aguda e o risco de desenvolver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É também útil para a sua monitorização.</w:t>
      </w:r>
      <w:r w:rsidRPr="00D04BC9">
        <w:rPr>
          <w:rFonts w:ascii="Calibri" w:hAnsi="Calibri" w:cs="Calibri"/>
          <w:color w:val="000000"/>
          <w:sz w:val="16"/>
          <w:szCs w:val="16"/>
          <w:lang w:val="pt-BR"/>
        </w:rPr>
        <w:t xml:space="preserve">166 </w:t>
      </w:r>
    </w:p>
    <w:p w14:paraId="3A6B7284" w14:textId="7BED9283" w:rsidR="00D04BC9" w:rsidRP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lastRenderedPageBreak/>
        <w:t>- O teste dos 4A (4AT) é um instrumento rápido e obje</w:t>
      </w:r>
      <w:r w:rsidR="00231D59">
        <w:rPr>
          <w:rFonts w:ascii="Calibri" w:hAnsi="Calibri" w:cs="Calibri"/>
          <w:color w:val="000000"/>
          <w:sz w:val="23"/>
          <w:szCs w:val="23"/>
          <w:lang w:val="pt-BR"/>
        </w:rPr>
        <w:t>t</w:t>
      </w:r>
      <w:r w:rsidRPr="00D04BC9">
        <w:rPr>
          <w:rFonts w:ascii="Calibri" w:hAnsi="Calibri" w:cs="Calibri"/>
          <w:color w:val="000000"/>
          <w:sz w:val="23"/>
          <w:szCs w:val="23"/>
          <w:lang w:val="pt-BR"/>
        </w:rPr>
        <w:t>ivo, que inclui dois breves testes cognitivos, e a avaliação do estado de consciência e de alterações agudas do estado mental. Pode ser aplicado em doentes que não sejam capazes de completar os testes cognitivos mais complexos ou que estejam muito agitados ou prostrados;</w:t>
      </w:r>
      <w:r w:rsidRPr="00D04BC9">
        <w:rPr>
          <w:rFonts w:ascii="Calibri" w:hAnsi="Calibri" w:cs="Calibri"/>
          <w:color w:val="000000"/>
          <w:sz w:val="16"/>
          <w:szCs w:val="16"/>
          <w:lang w:val="pt-BR"/>
        </w:rPr>
        <w:t>167</w:t>
      </w:r>
    </w:p>
    <w:p w14:paraId="2BB75B0F"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Family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Assessment</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Method</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(FAM-CAM) baseia-se nas informações dos familiares e cuidadores;</w:t>
      </w:r>
      <w:r w:rsidRPr="00D04BC9">
        <w:rPr>
          <w:rFonts w:ascii="Calibri" w:hAnsi="Calibri" w:cs="Calibri"/>
          <w:color w:val="000000"/>
          <w:sz w:val="16"/>
          <w:szCs w:val="16"/>
          <w:lang w:val="pt-BR"/>
        </w:rPr>
        <w:t xml:space="preserve">168 </w:t>
      </w:r>
    </w:p>
    <w:p w14:paraId="1B84AA7D" w14:textId="402DED10"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Single </w:t>
      </w:r>
      <w:proofErr w:type="spellStart"/>
      <w:r w:rsidRPr="00D04BC9">
        <w:rPr>
          <w:rFonts w:ascii="Calibri" w:hAnsi="Calibri" w:cs="Calibri"/>
          <w:i/>
          <w:iCs/>
          <w:color w:val="000000"/>
          <w:sz w:val="23"/>
          <w:szCs w:val="23"/>
          <w:lang w:val="pt-BR"/>
        </w:rPr>
        <w:t>Question</w:t>
      </w:r>
      <w:proofErr w:type="spellEnd"/>
      <w:r w:rsidRPr="00D04BC9">
        <w:rPr>
          <w:rFonts w:ascii="Calibri" w:hAnsi="Calibri" w:cs="Calibri"/>
          <w:i/>
          <w:iCs/>
          <w:color w:val="000000"/>
          <w:sz w:val="23"/>
          <w:szCs w:val="23"/>
          <w:lang w:val="pt-BR"/>
        </w:rPr>
        <w:t xml:space="preserve"> in Delirium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SQiD</w:t>
      </w:r>
      <w:proofErr w:type="spellEnd"/>
      <w:r w:rsidRPr="00D04BC9">
        <w:rPr>
          <w:rFonts w:ascii="Calibri" w:hAnsi="Calibri" w:cs="Calibri"/>
          <w:color w:val="000000"/>
          <w:sz w:val="23"/>
          <w:szCs w:val="23"/>
          <w:lang w:val="pt-BR"/>
        </w:rPr>
        <w:t>), o teste mais breve, mas com resultados aceitáveis como instrumento de rastreio, indicado para ser utilizado pelos cuidadores e familiares.</w:t>
      </w:r>
      <w:r w:rsidRPr="00D04BC9">
        <w:rPr>
          <w:rFonts w:ascii="Calibri" w:hAnsi="Calibri" w:cs="Calibri"/>
          <w:color w:val="000000"/>
          <w:sz w:val="16"/>
          <w:szCs w:val="16"/>
          <w:lang w:val="pt-BR"/>
        </w:rPr>
        <w:t>169</w:t>
      </w:r>
    </w:p>
    <w:p w14:paraId="3CEC54FB" w14:textId="5002A04A" w:rsidR="00D04BC9" w:rsidRDefault="00D04BC9" w:rsidP="00D04BC9">
      <w:pPr>
        <w:jc w:val="both"/>
        <w:rPr>
          <w:lang w:val="pt-BR"/>
        </w:rPr>
      </w:pPr>
    </w:p>
    <w:p w14:paraId="1CF462D4" w14:textId="77777777" w:rsidR="007D6505" w:rsidRPr="007D6505" w:rsidRDefault="007D6505" w:rsidP="007D6505">
      <w:pPr>
        <w:autoSpaceDE w:val="0"/>
        <w:autoSpaceDN w:val="0"/>
        <w:adjustRightInd w:val="0"/>
        <w:rPr>
          <w:rFonts w:ascii="Calibri" w:hAnsi="Calibri" w:cs="Calibri"/>
          <w:color w:val="000000"/>
          <w:sz w:val="23"/>
          <w:szCs w:val="23"/>
          <w:lang w:val="pt-BR"/>
        </w:rPr>
      </w:pPr>
      <w:r w:rsidRPr="007D6505">
        <w:rPr>
          <w:rFonts w:ascii="Calibri" w:hAnsi="Calibri" w:cs="Calibri"/>
          <w:color w:val="000000"/>
          <w:sz w:val="23"/>
          <w:szCs w:val="23"/>
          <w:lang w:val="pt-BR"/>
        </w:rPr>
        <w:t xml:space="preserve">Foram também desenvolvidas ferramentas com intuito de avaliar a gravidade do episódio de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xml:space="preserve">: </w:t>
      </w:r>
    </w:p>
    <w:p w14:paraId="66802479"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Delirium Rating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(DRS e DRS-98) avalia a gravidade do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 xml:space="preserve">e baseia-se no comportamento do doente num período de 24 horas, contudo não é útil para distinguir entre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 demência;</w:t>
      </w:r>
      <w:r w:rsidRPr="007D6505">
        <w:rPr>
          <w:rFonts w:ascii="Calibri" w:hAnsi="Calibri" w:cs="Calibri"/>
          <w:color w:val="000000"/>
          <w:sz w:val="16"/>
          <w:szCs w:val="16"/>
          <w:lang w:val="pt-BR"/>
        </w:rPr>
        <w:t xml:space="preserve">122, 170 </w:t>
      </w:r>
    </w:p>
    <w:p w14:paraId="5D041E68" w14:textId="1E0B24D2"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Memorial Delirium </w:t>
      </w:r>
      <w:proofErr w:type="spellStart"/>
      <w:r w:rsidRPr="007D6505">
        <w:rPr>
          <w:rFonts w:ascii="Calibri" w:hAnsi="Calibri" w:cs="Calibri"/>
          <w:i/>
          <w:iCs/>
          <w:color w:val="000000"/>
          <w:sz w:val="23"/>
          <w:szCs w:val="23"/>
          <w:lang w:val="pt-BR"/>
        </w:rPr>
        <w:t>Assessment</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(MDAS) é outro instrumento que mede a gravidade do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avaliando o nível de consciência, memória, nível de cognição e atividade psicomotora. Foi desenhada para ser repetida várias vezes ao longo do dia;</w:t>
      </w:r>
      <w:r w:rsidRPr="007D6505">
        <w:rPr>
          <w:rFonts w:ascii="Calibri" w:hAnsi="Calibri" w:cs="Calibri"/>
          <w:color w:val="000000"/>
          <w:sz w:val="16"/>
          <w:szCs w:val="16"/>
          <w:lang w:val="pt-BR"/>
        </w:rPr>
        <w:t xml:space="preserve">171 </w:t>
      </w:r>
    </w:p>
    <w:p w14:paraId="020F5D91"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proofErr w:type="spellStart"/>
      <w:r w:rsidRPr="007D6505">
        <w:rPr>
          <w:rFonts w:ascii="Calibri" w:hAnsi="Calibri" w:cs="Calibri"/>
          <w:i/>
          <w:iCs/>
          <w:color w:val="000000"/>
          <w:sz w:val="23"/>
          <w:szCs w:val="23"/>
          <w:lang w:val="pt-BR"/>
        </w:rPr>
        <w:t>modified</w:t>
      </w:r>
      <w:proofErr w:type="spellEnd"/>
      <w:r w:rsidRPr="007D6505">
        <w:rPr>
          <w:rFonts w:ascii="Calibri" w:hAnsi="Calibri" w:cs="Calibri"/>
          <w:i/>
          <w:iCs/>
          <w:color w:val="000000"/>
          <w:sz w:val="23"/>
          <w:szCs w:val="23"/>
          <w:lang w:val="pt-BR"/>
        </w:rPr>
        <w:t xml:space="preserve"> R</w:t>
      </w:r>
      <w:r w:rsidRPr="007D6505">
        <w:rPr>
          <w:rFonts w:ascii="Calibri" w:hAnsi="Calibri" w:cs="Calibri"/>
          <w:color w:val="000000"/>
          <w:sz w:val="23"/>
          <w:szCs w:val="23"/>
          <w:lang w:val="pt-BR"/>
        </w:rPr>
        <w:t>ASS é um instrumento que avalia o nível de consciência e a e atenção.</w:t>
      </w:r>
      <w:r w:rsidRPr="007D6505">
        <w:rPr>
          <w:rFonts w:ascii="Calibri" w:hAnsi="Calibri" w:cs="Calibri"/>
          <w:color w:val="000000"/>
          <w:sz w:val="16"/>
          <w:szCs w:val="16"/>
          <w:lang w:val="pt-BR"/>
        </w:rPr>
        <w:t xml:space="preserve">172 </w:t>
      </w:r>
    </w:p>
    <w:p w14:paraId="0FCC251B" w14:textId="6BDE0220" w:rsidR="007D6505" w:rsidRP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Têm ainda sido desenvolvidos instrumentos para o rastreio e monitorização do grau de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em doentes paliativos com resultados promissores, como a RASS-PAL</w:t>
      </w:r>
      <w:r w:rsidRPr="007D6505">
        <w:rPr>
          <w:rFonts w:ascii="Calibri" w:hAnsi="Calibri" w:cs="Calibri"/>
          <w:color w:val="000000"/>
          <w:sz w:val="16"/>
          <w:szCs w:val="16"/>
          <w:lang w:val="pt-BR"/>
        </w:rPr>
        <w:t xml:space="preserve">173 </w:t>
      </w:r>
      <w:r w:rsidRPr="007D6505">
        <w:rPr>
          <w:rFonts w:ascii="Calibri" w:hAnsi="Calibri" w:cs="Calibri"/>
          <w:color w:val="000000"/>
          <w:sz w:val="23"/>
          <w:szCs w:val="23"/>
          <w:lang w:val="pt-BR"/>
        </w:rPr>
        <w:t xml:space="preserve">ou a </w:t>
      </w:r>
      <w:proofErr w:type="spellStart"/>
      <w:r w:rsidRPr="007D6505">
        <w:rPr>
          <w:rFonts w:ascii="Calibri" w:hAnsi="Calibri" w:cs="Calibri"/>
          <w:i/>
          <w:iCs/>
          <w:color w:val="000000"/>
          <w:sz w:val="23"/>
          <w:szCs w:val="23"/>
          <w:lang w:val="pt-BR"/>
        </w:rPr>
        <w:t>Observational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Level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Arousal</w:t>
      </w:r>
      <w:r w:rsidRPr="007D6505">
        <w:rPr>
          <w:rFonts w:ascii="Calibri" w:hAnsi="Calibri" w:cs="Calibri"/>
          <w:color w:val="000000"/>
          <w:sz w:val="23"/>
          <w:szCs w:val="23"/>
          <w:lang w:val="pt-BR"/>
        </w:rPr>
        <w:t>.</w:t>
      </w:r>
      <w:r w:rsidRPr="007D6505">
        <w:rPr>
          <w:rFonts w:ascii="Calibri" w:hAnsi="Calibri" w:cs="Calibri"/>
          <w:color w:val="000000"/>
          <w:sz w:val="16"/>
          <w:szCs w:val="16"/>
          <w:lang w:val="pt-BR"/>
        </w:rPr>
        <w:t>174</w:t>
      </w:r>
    </w:p>
    <w:p w14:paraId="3F046C34" w14:textId="27B7D3FE" w:rsidR="007D6505" w:rsidRPr="007D6505" w:rsidRDefault="007D6505" w:rsidP="007D6505">
      <w:pPr>
        <w:jc w:val="both"/>
        <w:rPr>
          <w:rFonts w:ascii="Calibri" w:hAnsi="Calibri" w:cs="Calibri"/>
          <w:color w:val="000000"/>
          <w:sz w:val="16"/>
          <w:szCs w:val="16"/>
          <w:lang w:val="pt-BR"/>
        </w:rPr>
      </w:pPr>
    </w:p>
    <w:p w14:paraId="524C8D97" w14:textId="5DE0BD49" w:rsidR="007D6505" w:rsidRDefault="007D6505" w:rsidP="007D6505">
      <w:pPr>
        <w:jc w:val="both"/>
        <w:rPr>
          <w:rFonts w:ascii="Calibri" w:hAnsi="Calibri" w:cs="Calibri"/>
          <w:color w:val="000000"/>
          <w:sz w:val="16"/>
          <w:szCs w:val="16"/>
          <w:lang w:val="pt-BR"/>
        </w:rPr>
      </w:pPr>
    </w:p>
    <w:p w14:paraId="3E3A61A1" w14:textId="77777777" w:rsidR="007D6505" w:rsidRDefault="007D6505" w:rsidP="007D6505">
      <w:pPr>
        <w:jc w:val="both"/>
        <w:rPr>
          <w:b/>
          <w:bCs/>
          <w:sz w:val="32"/>
          <w:szCs w:val="32"/>
          <w:lang w:val="pt-BR"/>
        </w:rPr>
      </w:pPr>
    </w:p>
    <w:p w14:paraId="48AD07F9" w14:textId="77777777" w:rsidR="007D6505" w:rsidRDefault="007D6505" w:rsidP="007D6505">
      <w:pPr>
        <w:jc w:val="both"/>
        <w:rPr>
          <w:b/>
          <w:bCs/>
          <w:sz w:val="32"/>
          <w:szCs w:val="32"/>
          <w:lang w:val="pt-BR"/>
        </w:rPr>
      </w:pPr>
    </w:p>
    <w:p w14:paraId="11CA74C9" w14:textId="305A127B" w:rsidR="007D6505" w:rsidRDefault="007D6505" w:rsidP="007D6505">
      <w:pPr>
        <w:jc w:val="both"/>
        <w:rPr>
          <w:lang w:val="pt-BR"/>
        </w:rPr>
      </w:pPr>
      <w:r w:rsidRPr="007D6505">
        <w:rPr>
          <w:lang w:val="pt-BR"/>
        </w:rPr>
        <w:t xml:space="preserve">A prevenção é a melhor forma de evitar a ocorrência de delirium. Este trata-se de uma das 6 condições </w:t>
      </w:r>
      <w:proofErr w:type="spellStart"/>
      <w:r w:rsidRPr="007D6505">
        <w:rPr>
          <w:lang w:val="pt-BR"/>
        </w:rPr>
        <w:t>preveníveis</w:t>
      </w:r>
      <w:proofErr w:type="spellEnd"/>
      <w:r w:rsidRPr="007D6505">
        <w:rPr>
          <w:lang w:val="pt-BR"/>
        </w:rPr>
        <w:t xml:space="preserve"> no doente idoso internado</w:t>
      </w:r>
      <w:r w:rsidR="004D67E6">
        <w:rPr>
          <w:lang w:val="pt-BR"/>
        </w:rPr>
        <w:t xml:space="preserve"> </w:t>
      </w:r>
      <w:r w:rsidRPr="007D6505">
        <w:rPr>
          <w:lang w:val="pt-BR"/>
        </w:rPr>
        <w:t>9, em que até 1/3 dos casos podem ser evitados.175, 176</w:t>
      </w:r>
    </w:p>
    <w:p w14:paraId="3001682F" w14:textId="4106A7F8" w:rsidR="007D6505" w:rsidRDefault="007D6505" w:rsidP="007D6505">
      <w:pPr>
        <w:jc w:val="both"/>
        <w:rPr>
          <w:lang w:val="pt-BR"/>
        </w:rPr>
      </w:pPr>
    </w:p>
    <w:p w14:paraId="3766A737" w14:textId="7829C5D0" w:rsidR="007D6505" w:rsidRDefault="007D6505" w:rsidP="007D6505">
      <w:pPr>
        <w:jc w:val="both"/>
        <w:rPr>
          <w:lang w:val="pt-BR"/>
        </w:rPr>
      </w:pPr>
    </w:p>
    <w:p w14:paraId="7596BEC9" w14:textId="72C5259F" w:rsidR="007D6505" w:rsidRPr="003A0F42" w:rsidRDefault="007D6505" w:rsidP="007D6505">
      <w:pPr>
        <w:jc w:val="both"/>
        <w:rPr>
          <w:sz w:val="16"/>
          <w:szCs w:val="16"/>
          <w:lang w:val="pt-BR"/>
        </w:rPr>
      </w:pPr>
      <w:r w:rsidRPr="007D6505">
        <w:rPr>
          <w:sz w:val="23"/>
          <w:szCs w:val="23"/>
          <w:lang w:val="pt-BR"/>
        </w:rPr>
        <w:t xml:space="preserve">O desenvolvimento do </w:t>
      </w:r>
      <w:r w:rsidRPr="007D6505">
        <w:rPr>
          <w:i/>
          <w:iCs/>
          <w:sz w:val="23"/>
          <w:szCs w:val="23"/>
          <w:lang w:val="pt-BR"/>
        </w:rPr>
        <w:t xml:space="preserve">delirium </w:t>
      </w:r>
      <w:r w:rsidRPr="007D6505">
        <w:rPr>
          <w:sz w:val="23"/>
          <w:szCs w:val="23"/>
          <w:lang w:val="pt-BR"/>
        </w:rPr>
        <w:t xml:space="preserve">nos doentes em fim de vida é frequente e corresponde a um sinal de mau prognóstico, pelo que deve ser gerido de forma sensata, diferenciada e garantindo o alívio do sofrimento do doente e familiares. </w:t>
      </w:r>
      <w:r w:rsidRPr="003A0F42">
        <w:rPr>
          <w:sz w:val="16"/>
          <w:szCs w:val="16"/>
          <w:lang w:val="pt-BR"/>
        </w:rPr>
        <w:t>56, 107, 145, 208</w:t>
      </w:r>
    </w:p>
    <w:p w14:paraId="10413263" w14:textId="3036A98D" w:rsidR="007D6505" w:rsidRPr="003A0F42" w:rsidRDefault="007D6505" w:rsidP="007D6505">
      <w:pPr>
        <w:jc w:val="both"/>
        <w:rPr>
          <w:sz w:val="16"/>
          <w:szCs w:val="16"/>
          <w:lang w:val="pt-BR"/>
        </w:rPr>
      </w:pPr>
    </w:p>
    <w:p w14:paraId="3C1358CB" w14:textId="4D424407" w:rsidR="007D6505" w:rsidRPr="003A0F42" w:rsidRDefault="007D6505" w:rsidP="007D6505">
      <w:pPr>
        <w:jc w:val="both"/>
        <w:rPr>
          <w:sz w:val="16"/>
          <w:szCs w:val="16"/>
          <w:lang w:val="pt-BR"/>
        </w:rPr>
      </w:pPr>
    </w:p>
    <w:p w14:paraId="1E28CA59" w14:textId="77777777" w:rsidR="007D6505" w:rsidRPr="007D6505" w:rsidRDefault="007D6505" w:rsidP="007D6505">
      <w:pPr>
        <w:pStyle w:val="Default"/>
        <w:rPr>
          <w:sz w:val="16"/>
          <w:szCs w:val="16"/>
          <w:lang w:val="pt-BR"/>
        </w:rPr>
      </w:pPr>
      <w:r w:rsidRPr="007D6505">
        <w:rPr>
          <w:sz w:val="23"/>
          <w:szCs w:val="23"/>
          <w:lang w:val="pt-BR"/>
        </w:rPr>
        <w:t>Inicialmente considerada uma patologia completamente reversível e transitória</w:t>
      </w:r>
      <w:r w:rsidRPr="007D6505">
        <w:rPr>
          <w:sz w:val="16"/>
          <w:szCs w:val="16"/>
          <w:lang w:val="pt-BR"/>
        </w:rPr>
        <w:t>26</w:t>
      </w:r>
      <w:r w:rsidRPr="007D6505">
        <w:rPr>
          <w:sz w:val="23"/>
          <w:szCs w:val="23"/>
          <w:lang w:val="pt-BR"/>
        </w:rPr>
        <w:t>, sendo esta uma das características fundamentais para a sua distinção da demência, estudos mais</w:t>
      </w:r>
      <w:r>
        <w:rPr>
          <w:sz w:val="23"/>
          <w:szCs w:val="23"/>
          <w:lang w:val="pt-BR"/>
        </w:rPr>
        <w:t xml:space="preserve"> </w:t>
      </w:r>
      <w:r w:rsidRPr="007D6505">
        <w:rPr>
          <w:sz w:val="23"/>
          <w:szCs w:val="23"/>
          <w:lang w:val="pt-BR"/>
        </w:rPr>
        <w:t xml:space="preserve">recentemente têm revelado que o </w:t>
      </w:r>
      <w:r w:rsidRPr="007D6505">
        <w:rPr>
          <w:i/>
          <w:iCs/>
          <w:sz w:val="23"/>
          <w:szCs w:val="23"/>
          <w:lang w:val="pt-BR"/>
        </w:rPr>
        <w:t xml:space="preserve">delirium </w:t>
      </w:r>
      <w:r w:rsidRPr="007D6505">
        <w:rPr>
          <w:sz w:val="23"/>
          <w:szCs w:val="23"/>
          <w:lang w:val="pt-BR"/>
        </w:rPr>
        <w:t>pode ser mais prolongado ou mesmo permanente</w:t>
      </w:r>
      <w:r w:rsidRPr="007D6505">
        <w:rPr>
          <w:sz w:val="16"/>
          <w:szCs w:val="16"/>
          <w:lang w:val="pt-BR"/>
        </w:rPr>
        <w:t>44, 215-216</w:t>
      </w:r>
      <w:r w:rsidRPr="007D6505">
        <w:rPr>
          <w:sz w:val="23"/>
          <w:szCs w:val="23"/>
          <w:lang w:val="pt-BR"/>
        </w:rPr>
        <w:t>, com importantes consequências a médio e longo prazo.</w:t>
      </w:r>
      <w:r w:rsidRPr="007D6505">
        <w:rPr>
          <w:sz w:val="16"/>
          <w:szCs w:val="16"/>
          <w:lang w:val="pt-BR"/>
        </w:rPr>
        <w:t xml:space="preserve">44, 56, 57, 99 </w:t>
      </w:r>
    </w:p>
    <w:p w14:paraId="0238AA0C" w14:textId="2C9045FC" w:rsid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Estudos identificaram que 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persiste à data da alta, aos 3 e 6 meses depois, sendo de aproximadamente 45%, 26% e 21%, respectivamente.</w:t>
      </w:r>
      <w:r w:rsidRPr="007D6505">
        <w:rPr>
          <w:rFonts w:ascii="Calibri" w:hAnsi="Calibri" w:cs="Calibri"/>
          <w:color w:val="000000"/>
          <w:sz w:val="16"/>
          <w:szCs w:val="16"/>
          <w:lang w:val="pt-BR"/>
        </w:rPr>
        <w:t>44, 215</w:t>
      </w:r>
    </w:p>
    <w:p w14:paraId="35D9A924" w14:textId="7A3AA6B0" w:rsidR="004D67E6" w:rsidRDefault="004D67E6" w:rsidP="007D6505">
      <w:pPr>
        <w:jc w:val="both"/>
        <w:rPr>
          <w:rFonts w:ascii="Calibri" w:hAnsi="Calibri" w:cs="Calibri"/>
          <w:color w:val="000000"/>
          <w:sz w:val="16"/>
          <w:szCs w:val="16"/>
          <w:lang w:val="pt-BR"/>
        </w:rPr>
      </w:pPr>
    </w:p>
    <w:p w14:paraId="37199B42" w14:textId="6C660D6A" w:rsidR="004D67E6" w:rsidRDefault="004D67E6" w:rsidP="007D6505">
      <w:pPr>
        <w:jc w:val="both"/>
        <w:rPr>
          <w:rFonts w:ascii="Calibri" w:hAnsi="Calibri" w:cs="Calibri"/>
          <w:color w:val="000000"/>
          <w:sz w:val="16"/>
          <w:szCs w:val="16"/>
          <w:lang w:val="pt-BR"/>
        </w:rPr>
      </w:pPr>
    </w:p>
    <w:p w14:paraId="5B006B0F" w14:textId="77777777" w:rsidR="004D67E6" w:rsidRPr="004D67E6" w:rsidRDefault="004D67E6" w:rsidP="004D67E6">
      <w:pPr>
        <w:autoSpaceDE w:val="0"/>
        <w:autoSpaceDN w:val="0"/>
        <w:adjustRightInd w:val="0"/>
        <w:rPr>
          <w:rFonts w:ascii="Calibri" w:hAnsi="Calibri" w:cs="Calibri"/>
          <w:color w:val="000000"/>
          <w:sz w:val="23"/>
          <w:szCs w:val="23"/>
          <w:lang w:val="pt-BR"/>
        </w:rPr>
      </w:pPr>
      <w:r w:rsidRPr="004D67E6">
        <w:rPr>
          <w:rFonts w:ascii="Calibri" w:hAnsi="Calibri" w:cs="Calibri"/>
          <w:b/>
          <w:bCs/>
          <w:color w:val="000000"/>
          <w:sz w:val="23"/>
          <w:szCs w:val="23"/>
          <w:lang w:val="pt-BR"/>
        </w:rPr>
        <w:t xml:space="preserve">5.1 Paliativos </w:t>
      </w:r>
    </w:p>
    <w:p w14:paraId="221D7E91" w14:textId="473CC1AB" w:rsidR="004D67E6" w:rsidRDefault="004D67E6" w:rsidP="004D67E6">
      <w:pPr>
        <w:jc w:val="both"/>
        <w:rPr>
          <w:rFonts w:ascii="Calibri" w:hAnsi="Calibri" w:cs="Calibri"/>
          <w:color w:val="000000"/>
          <w:sz w:val="16"/>
          <w:szCs w:val="16"/>
          <w:lang w:val="pt-BR"/>
        </w:rPr>
      </w:pPr>
      <w:r w:rsidRPr="004D67E6">
        <w:rPr>
          <w:rFonts w:ascii="Calibri" w:hAnsi="Calibri" w:cs="Calibri"/>
          <w:color w:val="000000"/>
          <w:sz w:val="23"/>
          <w:szCs w:val="23"/>
          <w:lang w:val="pt-BR"/>
        </w:rPr>
        <w:t xml:space="preserve">Este subgrupo de doentes é particularmente susceptível ao </w:t>
      </w:r>
      <w:r w:rsidRPr="004D67E6">
        <w:rPr>
          <w:rFonts w:ascii="Calibri" w:hAnsi="Calibri" w:cs="Calibri"/>
          <w:i/>
          <w:iCs/>
          <w:color w:val="000000"/>
          <w:sz w:val="23"/>
          <w:szCs w:val="23"/>
          <w:lang w:val="pt-BR"/>
        </w:rPr>
        <w:t xml:space="preserve">delirium </w:t>
      </w:r>
      <w:r w:rsidRPr="004D67E6">
        <w:rPr>
          <w:rFonts w:ascii="Calibri" w:hAnsi="Calibri" w:cs="Calibri"/>
          <w:color w:val="000000"/>
          <w:sz w:val="23"/>
          <w:szCs w:val="23"/>
          <w:lang w:val="pt-BR"/>
        </w:rPr>
        <w:t>pela sua condição subjacente.</w:t>
      </w:r>
      <w:r w:rsidRPr="004D67E6">
        <w:rPr>
          <w:rFonts w:ascii="Calibri" w:hAnsi="Calibri" w:cs="Calibri"/>
          <w:color w:val="000000"/>
          <w:sz w:val="16"/>
          <w:szCs w:val="16"/>
          <w:lang w:val="pt-BR"/>
        </w:rPr>
        <w:t xml:space="preserve">7, 14, 51, 144-145, 154 </w:t>
      </w:r>
      <w:r w:rsidRPr="004D67E6">
        <w:rPr>
          <w:rFonts w:ascii="Calibri" w:hAnsi="Calibri" w:cs="Calibri"/>
          <w:color w:val="000000"/>
          <w:sz w:val="23"/>
          <w:szCs w:val="23"/>
          <w:lang w:val="pt-BR"/>
        </w:rPr>
        <w:t>No entanto, colocam maiores desafios na identificação desta síndrome pois existe uma maior dificuldade em avaliar os sintomas, com predomínio de quadros hipoativos e efeito sedativo dos fármacos usados na gestão dos sintomas, bem como pelo diagnóstico diferencial de outras etiologias como a depressão.</w:t>
      </w:r>
      <w:r w:rsidRPr="004D67E6">
        <w:rPr>
          <w:rFonts w:ascii="Calibri" w:hAnsi="Calibri" w:cs="Calibri"/>
          <w:color w:val="000000"/>
          <w:sz w:val="16"/>
          <w:szCs w:val="16"/>
          <w:lang w:val="pt-BR"/>
        </w:rPr>
        <w:t>144, 154</w:t>
      </w:r>
    </w:p>
    <w:p w14:paraId="070DA6C0" w14:textId="31C2DA8F" w:rsidR="004D67E6" w:rsidRDefault="004D67E6" w:rsidP="004D67E6">
      <w:pPr>
        <w:jc w:val="both"/>
        <w:rPr>
          <w:rFonts w:ascii="Calibri" w:hAnsi="Calibri" w:cs="Calibri"/>
          <w:color w:val="000000"/>
          <w:sz w:val="16"/>
          <w:szCs w:val="16"/>
          <w:lang w:val="pt-BR"/>
        </w:rPr>
      </w:pPr>
    </w:p>
    <w:p w14:paraId="1B476C61" w14:textId="1E158335" w:rsidR="004D67E6" w:rsidRDefault="004D67E6" w:rsidP="004D67E6">
      <w:pPr>
        <w:jc w:val="both"/>
        <w:rPr>
          <w:rFonts w:ascii="Calibri" w:hAnsi="Calibri" w:cs="Calibri"/>
          <w:color w:val="000000"/>
          <w:sz w:val="16"/>
          <w:szCs w:val="16"/>
          <w:lang w:val="pt-BR"/>
        </w:rPr>
      </w:pPr>
    </w:p>
    <w:p w14:paraId="3A57440C" w14:textId="40DA5840" w:rsidR="004D67E6" w:rsidRDefault="004D67E6" w:rsidP="004D67E6">
      <w:pPr>
        <w:jc w:val="both"/>
        <w:rPr>
          <w:rFonts w:ascii="Calibri" w:hAnsi="Calibri" w:cs="Calibri"/>
          <w:color w:val="000000"/>
          <w:sz w:val="16"/>
          <w:szCs w:val="16"/>
          <w:lang w:val="pt-BR"/>
        </w:rPr>
      </w:pPr>
    </w:p>
    <w:p w14:paraId="13786B91" w14:textId="5CB3EFA2" w:rsidR="004D67E6" w:rsidRDefault="004D67E6" w:rsidP="004D67E6">
      <w:pPr>
        <w:jc w:val="both"/>
        <w:rPr>
          <w:sz w:val="23"/>
          <w:szCs w:val="23"/>
          <w:lang w:val="pt-BR"/>
        </w:rPr>
      </w:pPr>
      <w:r w:rsidRPr="004D67E6">
        <w:rPr>
          <w:sz w:val="23"/>
          <w:szCs w:val="23"/>
          <w:lang w:val="pt-BR"/>
        </w:rPr>
        <w:t xml:space="preserve">Por ser um estudo </w:t>
      </w:r>
      <w:proofErr w:type="spellStart"/>
      <w:r w:rsidRPr="004D67E6">
        <w:rPr>
          <w:sz w:val="23"/>
          <w:szCs w:val="23"/>
          <w:lang w:val="pt-BR"/>
        </w:rPr>
        <w:t>unicêntrico</w:t>
      </w:r>
      <w:proofErr w:type="spellEnd"/>
      <w:r w:rsidRPr="004D67E6">
        <w:rPr>
          <w:sz w:val="23"/>
          <w:szCs w:val="23"/>
          <w:lang w:val="pt-BR"/>
        </w:rPr>
        <w:t xml:space="preserve">, não permite a generalização dos resultados obtidos, mas os dados deste estudo são importantes para a valorização e reconhecimento do </w:t>
      </w:r>
      <w:r w:rsidRPr="004D67E6">
        <w:rPr>
          <w:i/>
          <w:iCs/>
          <w:sz w:val="23"/>
          <w:szCs w:val="23"/>
          <w:lang w:val="pt-BR"/>
        </w:rPr>
        <w:t xml:space="preserve">delirium </w:t>
      </w:r>
      <w:r w:rsidRPr="004D67E6">
        <w:rPr>
          <w:sz w:val="23"/>
          <w:szCs w:val="23"/>
          <w:lang w:val="pt-BR"/>
        </w:rPr>
        <w:t xml:space="preserve">e do seu impacto neste tipo de enfermarias, e espero que possam contribuir para melhorar a formação dos profissionais e </w:t>
      </w:r>
      <w:r w:rsidR="00231D59" w:rsidRPr="004D67E6">
        <w:rPr>
          <w:sz w:val="23"/>
          <w:szCs w:val="23"/>
          <w:lang w:val="pt-BR"/>
        </w:rPr>
        <w:t>otimizar</w:t>
      </w:r>
      <w:r w:rsidRPr="004D67E6">
        <w:rPr>
          <w:sz w:val="23"/>
          <w:szCs w:val="23"/>
          <w:lang w:val="pt-BR"/>
        </w:rPr>
        <w:t xml:space="preserve"> os cuidados aos doentes.</w:t>
      </w:r>
    </w:p>
    <w:p w14:paraId="29061EA7" w14:textId="6AD2C335" w:rsidR="004D67E6" w:rsidRDefault="004D67E6" w:rsidP="004D67E6">
      <w:pPr>
        <w:jc w:val="both"/>
        <w:rPr>
          <w:sz w:val="23"/>
          <w:szCs w:val="23"/>
          <w:lang w:val="pt-BR"/>
        </w:rPr>
      </w:pPr>
    </w:p>
    <w:p w14:paraId="3297C097" w14:textId="02C42FE9" w:rsidR="004D67E6" w:rsidRDefault="004D67E6" w:rsidP="004D67E6">
      <w:pPr>
        <w:jc w:val="both"/>
        <w:rPr>
          <w:sz w:val="23"/>
          <w:szCs w:val="23"/>
          <w:lang w:val="pt-BR"/>
        </w:rPr>
      </w:pPr>
    </w:p>
    <w:p w14:paraId="3B6EA2F6" w14:textId="024D4043" w:rsidR="004D67E6" w:rsidRDefault="004D67E6" w:rsidP="004D67E6">
      <w:pPr>
        <w:jc w:val="both"/>
        <w:rPr>
          <w:sz w:val="23"/>
          <w:szCs w:val="23"/>
          <w:lang w:val="pt-BR"/>
        </w:rPr>
      </w:pPr>
      <w:r>
        <w:rPr>
          <w:sz w:val="23"/>
          <w:szCs w:val="23"/>
          <w:lang w:val="pt-BR"/>
        </w:rPr>
        <w:t xml:space="preserve">Conclusões: </w:t>
      </w:r>
    </w:p>
    <w:p w14:paraId="68A6EFF4" w14:textId="67504486" w:rsidR="004D67E6" w:rsidRDefault="004D67E6" w:rsidP="004D67E6">
      <w:pPr>
        <w:jc w:val="both"/>
        <w:rPr>
          <w:sz w:val="23"/>
          <w:szCs w:val="23"/>
          <w:lang w:val="pt-BR"/>
        </w:rPr>
      </w:pPr>
    </w:p>
    <w:p w14:paraId="0D61B435" w14:textId="7509B3D8" w:rsidR="004D67E6" w:rsidRDefault="004D67E6" w:rsidP="004D67E6">
      <w:pPr>
        <w:jc w:val="both"/>
        <w:rPr>
          <w:lang w:val="pt-BR"/>
        </w:rPr>
      </w:pPr>
      <w:r w:rsidRPr="004D67E6">
        <w:rPr>
          <w:lang w:val="pt-BR"/>
        </w:rPr>
        <w:t>Por fim, destaca-se a elevada ocorrência de delirium na população paliativa e nos doentes em fim de vida, alertando para uma maior necessidade de formação dos profissionais nesta temática para o seu melhor reconhecimento e prevenção nestas populações.</w:t>
      </w:r>
    </w:p>
    <w:p w14:paraId="1045533E" w14:textId="4E97290B" w:rsidR="00F3577F" w:rsidRDefault="00F3577F" w:rsidP="004D67E6">
      <w:pPr>
        <w:jc w:val="both"/>
        <w:rPr>
          <w:lang w:val="pt-BR"/>
        </w:rPr>
      </w:pPr>
    </w:p>
    <w:p w14:paraId="180E7BB1" w14:textId="00DE9BC2" w:rsidR="00F3577F" w:rsidRDefault="00F3577F" w:rsidP="004D67E6">
      <w:pPr>
        <w:jc w:val="both"/>
        <w:rPr>
          <w:sz w:val="23"/>
          <w:szCs w:val="23"/>
          <w:lang w:val="pt-BR"/>
        </w:rPr>
      </w:pPr>
      <w:r w:rsidRPr="00F3577F">
        <w:rPr>
          <w:sz w:val="23"/>
          <w:szCs w:val="23"/>
          <w:lang w:val="pt-BR"/>
        </w:rPr>
        <w:t xml:space="preserve">É importante a sua sensibilização e o desenvolvimento de condições para a sua identificação e gestão, nomeadamente, através de formação teórica, promoção de ambientes de enfermaria adequados, utilização de escalas de identificação, ajuste do </w:t>
      </w:r>
      <w:proofErr w:type="spellStart"/>
      <w:r w:rsidRPr="00F3577F">
        <w:rPr>
          <w:sz w:val="23"/>
          <w:szCs w:val="23"/>
          <w:lang w:val="pt-BR"/>
        </w:rPr>
        <w:t>rácio</w:t>
      </w:r>
      <w:proofErr w:type="spellEnd"/>
      <w:r w:rsidRPr="00F3577F">
        <w:rPr>
          <w:sz w:val="23"/>
          <w:szCs w:val="23"/>
          <w:lang w:val="pt-BR"/>
        </w:rPr>
        <w:t xml:space="preserve"> profissional de saúde:</w:t>
      </w:r>
      <w:r w:rsidR="003A0F42">
        <w:rPr>
          <w:sz w:val="23"/>
          <w:szCs w:val="23"/>
          <w:lang w:val="pt-BR"/>
        </w:rPr>
        <w:t xml:space="preserve"> </w:t>
      </w:r>
      <w:r w:rsidRPr="00F3577F">
        <w:rPr>
          <w:sz w:val="23"/>
          <w:szCs w:val="23"/>
          <w:lang w:val="pt-BR"/>
        </w:rPr>
        <w:t xml:space="preserve">doente, e implementação de protocolos de atuação médica e de enfermagem que promovam a redução dos casos de </w:t>
      </w:r>
      <w:r w:rsidRPr="00F3577F">
        <w:rPr>
          <w:i/>
          <w:iCs/>
          <w:sz w:val="23"/>
          <w:szCs w:val="23"/>
          <w:lang w:val="pt-BR"/>
        </w:rPr>
        <w:t xml:space="preserve">delirium </w:t>
      </w:r>
      <w:r w:rsidRPr="00F3577F">
        <w:rPr>
          <w:sz w:val="23"/>
          <w:szCs w:val="23"/>
          <w:lang w:val="pt-BR"/>
        </w:rPr>
        <w:t>e, consequentemente, melhorarem o prognóstico e cuidados prestados aos doentes no internamento.</w:t>
      </w:r>
    </w:p>
    <w:p w14:paraId="011697BD" w14:textId="5AC7D37F" w:rsidR="00746011" w:rsidRDefault="00746011" w:rsidP="004D67E6">
      <w:pPr>
        <w:jc w:val="both"/>
        <w:rPr>
          <w:sz w:val="23"/>
          <w:szCs w:val="23"/>
          <w:lang w:val="pt-BR"/>
        </w:rPr>
      </w:pPr>
    </w:p>
    <w:p w14:paraId="3F09A4ED" w14:textId="7008EBB7" w:rsidR="00746011" w:rsidRDefault="00746011" w:rsidP="004D67E6">
      <w:pPr>
        <w:jc w:val="both"/>
        <w:rPr>
          <w:sz w:val="23"/>
          <w:szCs w:val="23"/>
          <w:lang w:val="pt-BR"/>
        </w:rPr>
      </w:pPr>
    </w:p>
    <w:p w14:paraId="2147C098" w14:textId="58B45D76" w:rsidR="00746011" w:rsidRDefault="00746011" w:rsidP="004D67E6">
      <w:pPr>
        <w:jc w:val="both"/>
        <w:rPr>
          <w:sz w:val="23"/>
          <w:szCs w:val="23"/>
          <w:lang w:val="pt-BR"/>
        </w:rPr>
      </w:pPr>
    </w:p>
    <w:p w14:paraId="0C5F4E1B" w14:textId="77777777" w:rsidR="00746011" w:rsidRPr="003A0F42" w:rsidRDefault="00746011" w:rsidP="00746011">
      <w:pPr>
        <w:pStyle w:val="Default"/>
        <w:rPr>
          <w:rFonts w:ascii="Arial" w:hAnsi="Arial" w:cs="Arial"/>
          <w:lang w:val="pt-BR"/>
        </w:rPr>
      </w:pPr>
      <w:r>
        <w:rPr>
          <w:sz w:val="23"/>
          <w:szCs w:val="23"/>
          <w:lang w:val="pt-BR"/>
        </w:rPr>
        <w:t xml:space="preserve">37636. </w:t>
      </w:r>
    </w:p>
    <w:p w14:paraId="1A725455" w14:textId="15E25960" w:rsidR="00746011" w:rsidRDefault="00746011" w:rsidP="00746011">
      <w:pPr>
        <w:jc w:val="both"/>
        <w:rPr>
          <w:rFonts w:ascii="Arial" w:hAnsi="Arial" w:cs="Arial"/>
          <w:b/>
          <w:bCs/>
          <w:color w:val="000000"/>
          <w:sz w:val="28"/>
          <w:szCs w:val="28"/>
          <w:lang w:val="pt-BR"/>
        </w:rPr>
      </w:pPr>
      <w:r w:rsidRPr="00746011">
        <w:rPr>
          <w:rFonts w:ascii="Arial" w:hAnsi="Arial" w:cs="Arial"/>
          <w:color w:val="000000"/>
          <w:lang w:val="pt-BR"/>
        </w:rPr>
        <w:t xml:space="preserve"> </w:t>
      </w:r>
      <w:r w:rsidRPr="00746011">
        <w:rPr>
          <w:rFonts w:ascii="Arial" w:hAnsi="Arial" w:cs="Arial"/>
          <w:b/>
          <w:bCs/>
          <w:i/>
          <w:iCs/>
          <w:color w:val="000000"/>
          <w:sz w:val="28"/>
          <w:szCs w:val="28"/>
          <w:lang w:val="pt-BR"/>
        </w:rPr>
        <w:t xml:space="preserve">Delirium </w:t>
      </w:r>
      <w:r w:rsidRPr="00746011">
        <w:rPr>
          <w:rFonts w:ascii="Arial" w:hAnsi="Arial" w:cs="Arial"/>
          <w:b/>
          <w:bCs/>
          <w:color w:val="000000"/>
          <w:sz w:val="28"/>
          <w:szCs w:val="28"/>
          <w:lang w:val="pt-BR"/>
        </w:rPr>
        <w:t>no Doente Internado em Cuidados Intensivos</w:t>
      </w:r>
    </w:p>
    <w:p w14:paraId="278B7D56" w14:textId="2D540E55" w:rsidR="00E02720" w:rsidRDefault="00E02720" w:rsidP="00746011">
      <w:pPr>
        <w:jc w:val="both"/>
        <w:rPr>
          <w:rFonts w:ascii="Arial" w:hAnsi="Arial" w:cs="Arial"/>
          <w:b/>
          <w:bCs/>
          <w:color w:val="000000"/>
          <w:sz w:val="28"/>
          <w:szCs w:val="28"/>
          <w:lang w:val="pt-BR"/>
        </w:rPr>
      </w:pPr>
    </w:p>
    <w:p w14:paraId="3FE07598" w14:textId="36F16B26" w:rsidR="00E02720" w:rsidRDefault="00E02720" w:rsidP="00746011">
      <w:pPr>
        <w:jc w:val="both"/>
        <w:rPr>
          <w:lang w:val="pt-BR"/>
        </w:rPr>
      </w:pPr>
      <w:r>
        <w:rPr>
          <w:rFonts w:ascii="Arial" w:hAnsi="Arial" w:cs="Arial"/>
          <w:b/>
          <w:bCs/>
          <w:color w:val="000000"/>
          <w:sz w:val="28"/>
          <w:szCs w:val="28"/>
          <w:lang w:val="pt-BR"/>
        </w:rPr>
        <w:t xml:space="preserve">6- </w:t>
      </w:r>
      <w:r>
        <w:rPr>
          <w:lang w:val="pt-BR"/>
        </w:rPr>
        <w:fldChar w:fldCharType="begin" w:fldLock="1"/>
      </w:r>
      <w:r>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Pr>
          <w:lang w:val="pt-BR"/>
        </w:rPr>
        <w:fldChar w:fldCharType="separate"/>
      </w:r>
      <w:r w:rsidRPr="005C1BAE">
        <w:rPr>
          <w:noProof/>
          <w:lang w:val="pt-BR"/>
        </w:rPr>
        <w:t>(Barr &amp; Pandharipande, 2013)</w:t>
      </w:r>
      <w:r>
        <w:rPr>
          <w:lang w:val="pt-BR"/>
        </w:rPr>
        <w:fldChar w:fldCharType="end"/>
      </w:r>
    </w:p>
    <w:p w14:paraId="6889565F" w14:textId="5AAE96D1" w:rsidR="00E02720" w:rsidRDefault="00E02720" w:rsidP="00746011">
      <w:pPr>
        <w:jc w:val="both"/>
        <w:rPr>
          <w:lang w:val="pt-BR"/>
        </w:rPr>
      </w:pPr>
      <w:r>
        <w:rPr>
          <w:lang w:val="pt-BR"/>
        </w:rPr>
        <w:t xml:space="preserve">2- </w:t>
      </w:r>
      <w:r>
        <w:rPr>
          <w:lang w:val="pt-BR"/>
        </w:rPr>
        <w:fldChar w:fldCharType="begin" w:fldLock="1"/>
      </w:r>
      <w:r>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Pr>
          <w:lang w:val="pt-BR"/>
        </w:rPr>
        <w:fldChar w:fldCharType="separate"/>
      </w:r>
      <w:r w:rsidRPr="00D20C22">
        <w:rPr>
          <w:noProof/>
          <w:lang w:val="pt-BR"/>
        </w:rPr>
        <w:t>(Serafim et al., 2015)</w:t>
      </w:r>
      <w:r>
        <w:rPr>
          <w:lang w:val="pt-BR"/>
        </w:rPr>
        <w:fldChar w:fldCharType="end"/>
      </w:r>
    </w:p>
    <w:p w14:paraId="76DCBA8C" w14:textId="338CADB9" w:rsidR="00E02720" w:rsidRPr="00746011" w:rsidRDefault="00E02720" w:rsidP="00746011">
      <w:pPr>
        <w:jc w:val="both"/>
        <w:rPr>
          <w:rFonts w:ascii="Arial" w:hAnsi="Arial" w:cs="Arial"/>
          <w:b/>
          <w:bCs/>
          <w:color w:val="000000"/>
          <w:sz w:val="28"/>
          <w:szCs w:val="28"/>
          <w:lang w:val="pt-BR"/>
        </w:rPr>
      </w:pPr>
      <w:r>
        <w:rPr>
          <w:lang w:val="pt-BR"/>
        </w:rPr>
        <w:t xml:space="preserve">3- </w:t>
      </w:r>
      <w:r>
        <w:rPr>
          <w:lang w:val="pt-BR"/>
        </w:rPr>
        <w:fldChar w:fldCharType="begin" w:fldLock="1"/>
      </w:r>
      <w:r>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3F85E4AA" w14:textId="0EA22AD2" w:rsidR="00746011" w:rsidRPr="00746011" w:rsidRDefault="00746011" w:rsidP="00746011">
      <w:pPr>
        <w:jc w:val="both"/>
        <w:rPr>
          <w:rFonts w:ascii="Arial" w:hAnsi="Arial" w:cs="Arial"/>
          <w:b/>
          <w:bCs/>
          <w:color w:val="000000"/>
          <w:sz w:val="28"/>
          <w:szCs w:val="28"/>
          <w:lang w:val="pt-BR"/>
        </w:rPr>
      </w:pPr>
    </w:p>
    <w:p w14:paraId="7E5184B0" w14:textId="057FE295" w:rsidR="00746011" w:rsidRDefault="00746011" w:rsidP="00746011">
      <w:pPr>
        <w:jc w:val="both"/>
        <w:rPr>
          <w:lang w:val="pt-BR"/>
        </w:rPr>
      </w:pPr>
      <w:r w:rsidRPr="00746011">
        <w:rPr>
          <w:lang w:val="pt-BR"/>
        </w:rPr>
        <w:t>é consensual que a presença e duração de delirium estão relacionadas com aumento do tempo de internamento na UCI e no hospital, deterioração do estado físico e mental, maior mortalidade e aumentos dos custos associados aos cuidados de saúde.</w:t>
      </w:r>
      <w:r w:rsidR="00D20C22">
        <w:rPr>
          <w:lang w:val="pt-BR"/>
        </w:rPr>
        <w:fldChar w:fldCharType="begin" w:fldLock="1"/>
      </w:r>
      <w:r w:rsidR="00D20C22">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sidR="00D20C22">
        <w:rPr>
          <w:lang w:val="pt-BR"/>
        </w:rPr>
        <w:fldChar w:fldCharType="separate"/>
      </w:r>
      <w:r w:rsidR="00D20C22" w:rsidRPr="00D20C22">
        <w:rPr>
          <w:noProof/>
          <w:lang w:val="pt-BR"/>
        </w:rPr>
        <w:t>(Serafim et al., 2015)</w:t>
      </w:r>
      <w:r w:rsidR="00D20C22">
        <w:rPr>
          <w:lang w:val="pt-BR"/>
        </w:rPr>
        <w:fldChar w:fldCharType="end"/>
      </w:r>
    </w:p>
    <w:p w14:paraId="16242CC6" w14:textId="04D655B7" w:rsidR="00D20C22" w:rsidRDefault="00D20C22" w:rsidP="00746011">
      <w:pPr>
        <w:jc w:val="both"/>
        <w:rPr>
          <w:lang w:val="pt-BR"/>
        </w:rPr>
      </w:pPr>
    </w:p>
    <w:p w14:paraId="2DA30049" w14:textId="2D6558D5" w:rsidR="00D20C22" w:rsidRDefault="00D20C22" w:rsidP="00746011">
      <w:pPr>
        <w:jc w:val="both"/>
        <w:rPr>
          <w:lang w:val="pt-BR"/>
        </w:rPr>
      </w:pPr>
      <w:r w:rsidRPr="00D20C22">
        <w:rPr>
          <w:lang w:val="pt-BR"/>
        </w:rPr>
        <w:t xml:space="preserve">Devido à sua variabilidade de apresentação clínica, o delirium é frequentemente </w:t>
      </w:r>
      <w:proofErr w:type="spellStart"/>
      <w:r w:rsidRPr="00D20C22">
        <w:rPr>
          <w:lang w:val="pt-BR"/>
        </w:rPr>
        <w:t>subdiagnosticado</w:t>
      </w:r>
      <w:proofErr w:type="spellEnd"/>
      <w:r w:rsidRPr="00D20C22">
        <w:rPr>
          <w:lang w:val="pt-BR"/>
        </w:rPr>
        <w:t>, principalmente quando o contexto clínico do doente é complexo. Ademais, as suas consequências para o doente são francamente negativas, condicionando muitas vezes o seu tratamento e recuperação, pelo que a prevenção e tratamento do delirium são preponderantes para a melhoria da qualidade dos cuidados de saúde ao nível das UCI.</w:t>
      </w:r>
      <w:r>
        <w:rPr>
          <w:lang w:val="pt-BR"/>
        </w:rPr>
        <w:t xml:space="preserve"> </w:t>
      </w:r>
      <w:r w:rsidR="00365F84">
        <w:rPr>
          <w:lang w:val="pt-BR"/>
        </w:rPr>
        <w:fldChar w:fldCharType="begin" w:fldLock="1"/>
      </w:r>
      <w:r w:rsidR="00365F84">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sidR="00365F84">
        <w:rPr>
          <w:lang w:val="pt-BR"/>
        </w:rPr>
        <w:fldChar w:fldCharType="separate"/>
      </w:r>
      <w:r w:rsidR="00365F84" w:rsidRPr="00365F84">
        <w:rPr>
          <w:noProof/>
          <w:lang w:val="pt-BR"/>
        </w:rPr>
        <w:t>(Boustani et al., 2014)</w:t>
      </w:r>
      <w:r w:rsidR="00365F84">
        <w:rPr>
          <w:lang w:val="pt-BR"/>
        </w:rPr>
        <w:fldChar w:fldCharType="end"/>
      </w:r>
    </w:p>
    <w:p w14:paraId="6D96A1C0" w14:textId="46C82E46" w:rsidR="00365F84" w:rsidRDefault="00365F84" w:rsidP="00746011">
      <w:pPr>
        <w:jc w:val="both"/>
        <w:rPr>
          <w:lang w:val="pt-BR"/>
        </w:rPr>
      </w:pPr>
    </w:p>
    <w:p w14:paraId="08A40016" w14:textId="16A3F881" w:rsidR="00365F84" w:rsidRDefault="00365F84" w:rsidP="00746011">
      <w:pPr>
        <w:jc w:val="both"/>
        <w:rPr>
          <w:lang w:val="pt-BR"/>
        </w:rPr>
      </w:pPr>
    </w:p>
    <w:p w14:paraId="3ECBBD82" w14:textId="02B7F013" w:rsidR="00365F84" w:rsidRDefault="00365F84" w:rsidP="00746011">
      <w:pPr>
        <w:jc w:val="both"/>
        <w:rPr>
          <w:lang w:val="pt-BR"/>
        </w:rPr>
      </w:pPr>
      <w:r w:rsidRPr="00365F84">
        <w:rPr>
          <w:lang w:val="pt-BR"/>
        </w:rPr>
        <w:t xml:space="preserve">O termo “delirium”, enquanto diagnóstico, foi adoptado pela primeira vez em 1980 pela American </w:t>
      </w:r>
      <w:proofErr w:type="spellStart"/>
      <w:r w:rsidRPr="00365F84">
        <w:rPr>
          <w:lang w:val="pt-BR"/>
        </w:rPr>
        <w:t>Psychiatric</w:t>
      </w:r>
      <w:proofErr w:type="spellEnd"/>
      <w:r w:rsidRPr="00365F84">
        <w:rPr>
          <w:lang w:val="pt-BR"/>
        </w:rPr>
        <w:t xml:space="preserve"> </w:t>
      </w:r>
      <w:proofErr w:type="spellStart"/>
      <w:r w:rsidRPr="00365F84">
        <w:rPr>
          <w:lang w:val="pt-BR"/>
        </w:rPr>
        <w:t>Association</w:t>
      </w:r>
      <w:proofErr w:type="spellEnd"/>
      <w:r w:rsidRPr="00365F84">
        <w:rPr>
          <w:lang w:val="pt-BR"/>
        </w:rPr>
        <w:t xml:space="preserve"> na sua terceira edição do </w:t>
      </w:r>
      <w:proofErr w:type="spellStart"/>
      <w:r w:rsidRPr="00365F84">
        <w:rPr>
          <w:lang w:val="pt-BR"/>
        </w:rPr>
        <w:t>Diagnostic</w:t>
      </w:r>
      <w:proofErr w:type="spellEnd"/>
      <w:r w:rsidRPr="00365F84">
        <w:rPr>
          <w:lang w:val="pt-BR"/>
        </w:rPr>
        <w:t xml:space="preserve"> </w:t>
      </w:r>
      <w:proofErr w:type="spellStart"/>
      <w:r w:rsidRPr="00365F84">
        <w:rPr>
          <w:lang w:val="pt-BR"/>
        </w:rPr>
        <w:t>and</w:t>
      </w:r>
      <w:proofErr w:type="spellEnd"/>
      <w:r w:rsidRPr="00365F84">
        <w:rPr>
          <w:lang w:val="pt-BR"/>
        </w:rPr>
        <w:t xml:space="preserve"> </w:t>
      </w:r>
      <w:proofErr w:type="spellStart"/>
      <w:r w:rsidRPr="00365F84">
        <w:rPr>
          <w:lang w:val="pt-BR"/>
        </w:rPr>
        <w:t>Statistical</w:t>
      </w:r>
      <w:proofErr w:type="spellEnd"/>
      <w:r w:rsidRPr="00365F84">
        <w:rPr>
          <w:lang w:val="pt-BR"/>
        </w:rPr>
        <w:t xml:space="preserve"> Manual </w:t>
      </w:r>
      <w:proofErr w:type="spellStart"/>
      <w:r w:rsidRPr="00365F84">
        <w:rPr>
          <w:lang w:val="pt-BR"/>
        </w:rPr>
        <w:t>of</w:t>
      </w:r>
      <w:proofErr w:type="spellEnd"/>
      <w:r w:rsidRPr="00365F84">
        <w:rPr>
          <w:lang w:val="pt-BR"/>
        </w:rPr>
        <w:t xml:space="preserve"> Mental </w:t>
      </w:r>
      <w:proofErr w:type="spellStart"/>
      <w:r w:rsidRPr="00365F84">
        <w:rPr>
          <w:lang w:val="pt-BR"/>
        </w:rPr>
        <w:t>Disorders</w:t>
      </w:r>
      <w:proofErr w:type="spellEnd"/>
      <w:r w:rsidRPr="00365F84">
        <w:rPr>
          <w:lang w:val="pt-BR"/>
        </w:rPr>
        <w:t xml:space="preserve"> (DSM), o DSM-III, de forma a simplificar a vastidão de terminologia utilizada anteriormente para definir a disfunção cerebral generalizada no contexto de doença aguda ou intoxicação por diversas substâncias.</w:t>
      </w:r>
      <w:r>
        <w:rPr>
          <w:lang w:val="pt-BR"/>
        </w:rPr>
        <w:t xml:space="preserve"> </w:t>
      </w:r>
      <w:r>
        <w:rPr>
          <w:lang w:val="pt-BR"/>
        </w:rPr>
        <w:fldChar w:fldCharType="begin" w:fldLock="1"/>
      </w:r>
      <w:r w:rsidR="005C1BAE">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411F97E3" w14:textId="7412B1BC" w:rsidR="00365F84" w:rsidRDefault="00365F84" w:rsidP="00746011">
      <w:pPr>
        <w:jc w:val="both"/>
        <w:rPr>
          <w:lang w:val="pt-BR"/>
        </w:rPr>
      </w:pPr>
    </w:p>
    <w:p w14:paraId="0A6E90EB" w14:textId="24266B60" w:rsidR="00365F84" w:rsidRPr="00365F84" w:rsidRDefault="00365F84" w:rsidP="00365F84">
      <w:pPr>
        <w:jc w:val="both"/>
        <w:rPr>
          <w:lang w:val="pt-BR"/>
        </w:rPr>
      </w:pPr>
      <w:r w:rsidRPr="00365F84">
        <w:rPr>
          <w:lang w:val="pt-BR"/>
        </w:rPr>
        <w:lastRenderedPageBreak/>
        <w:t>Atualmente, e de acordo com a mais recente edição da DSM (DSM-5), o delirium é definido pela presença de cinco características fundamentais:(5)</w:t>
      </w:r>
    </w:p>
    <w:p w14:paraId="4EBA4C14" w14:textId="40EAE049" w:rsidR="00365F84" w:rsidRPr="00365F84" w:rsidRDefault="00365F84" w:rsidP="00365F84">
      <w:pPr>
        <w:jc w:val="both"/>
        <w:rPr>
          <w:lang w:val="pt-BR"/>
        </w:rPr>
      </w:pPr>
      <w:r>
        <w:rPr>
          <w:lang w:val="pt-BR"/>
        </w:rPr>
        <w:t xml:space="preserve">- </w:t>
      </w:r>
      <w:r w:rsidRPr="00365F84">
        <w:rPr>
          <w:lang w:val="pt-BR"/>
        </w:rPr>
        <w:t xml:space="preserve"> Perturbação da atenção (capacidade reduzida de dirigir, focar, manter e desviar a atenção) e consciência;</w:t>
      </w:r>
    </w:p>
    <w:p w14:paraId="5C058AC2" w14:textId="17354A40" w:rsidR="00365F84" w:rsidRPr="00365F84" w:rsidRDefault="00365F84" w:rsidP="00365F84">
      <w:pPr>
        <w:jc w:val="both"/>
        <w:rPr>
          <w:lang w:val="pt-BR"/>
        </w:rPr>
      </w:pPr>
      <w:r>
        <w:rPr>
          <w:lang w:val="pt-BR"/>
        </w:rPr>
        <w:t xml:space="preserve">- </w:t>
      </w:r>
      <w:r w:rsidRPr="00365F84">
        <w:rPr>
          <w:lang w:val="pt-BR"/>
        </w:rPr>
        <w:t xml:space="preserve"> Esta perturbação desenvolve-se durante um curto período de tempo (horas a dias), representando uma mudança relativamente ao estado de base e tendendo a apresentar flutuações ao longo do dia;</w:t>
      </w:r>
    </w:p>
    <w:p w14:paraId="5BA9191B" w14:textId="5390041E" w:rsidR="00365F84" w:rsidRPr="00365F84" w:rsidRDefault="00365F84" w:rsidP="00365F84">
      <w:pPr>
        <w:jc w:val="both"/>
        <w:rPr>
          <w:lang w:val="pt-BR"/>
        </w:rPr>
      </w:pPr>
      <w:r>
        <w:rPr>
          <w:lang w:val="pt-BR"/>
        </w:rPr>
        <w:t xml:space="preserve">- </w:t>
      </w:r>
      <w:r w:rsidRPr="00365F84">
        <w:rPr>
          <w:lang w:val="pt-BR"/>
        </w:rPr>
        <w:t>Adicionalmente ocorre também perturbação da cognição (défices de memória, orientação, linguagem, capacidade visual e percepção);</w:t>
      </w:r>
    </w:p>
    <w:p w14:paraId="0134F87B" w14:textId="0539C1AF" w:rsidR="00365F84" w:rsidRPr="00365F84" w:rsidRDefault="00C6690A" w:rsidP="00365F84">
      <w:pPr>
        <w:jc w:val="both"/>
        <w:rPr>
          <w:lang w:val="pt-BR"/>
        </w:rPr>
      </w:pPr>
      <w:r>
        <w:rPr>
          <w:lang w:val="pt-BR"/>
        </w:rPr>
        <w:t xml:space="preserve">- </w:t>
      </w:r>
      <w:r w:rsidR="00365F84" w:rsidRPr="00365F84">
        <w:rPr>
          <w:lang w:val="pt-BR"/>
        </w:rPr>
        <w:t xml:space="preserve">Estas perturbações não são justificadas de melhor forma por outra condição </w:t>
      </w:r>
      <w:proofErr w:type="spellStart"/>
      <w:r w:rsidR="00365F84" w:rsidRPr="00365F84">
        <w:rPr>
          <w:lang w:val="pt-BR"/>
        </w:rPr>
        <w:t>neurocognitiva</w:t>
      </w:r>
      <w:proofErr w:type="spellEnd"/>
      <w:r w:rsidR="00365F84" w:rsidRPr="00365F84">
        <w:rPr>
          <w:lang w:val="pt-BR"/>
        </w:rPr>
        <w:t xml:space="preserve"> </w:t>
      </w:r>
      <w:proofErr w:type="spellStart"/>
      <w:r w:rsidR="00365F84" w:rsidRPr="00365F84">
        <w:rPr>
          <w:lang w:val="pt-BR"/>
        </w:rPr>
        <w:t>pre-existente</w:t>
      </w:r>
      <w:proofErr w:type="spellEnd"/>
      <w:r w:rsidR="00365F84" w:rsidRPr="00365F84">
        <w:rPr>
          <w:lang w:val="pt-BR"/>
        </w:rPr>
        <w:t>, em evolução ou já estabelecida, nem ocorrem num contexto de depressão severa da vigília, como o coma;</w:t>
      </w:r>
    </w:p>
    <w:p w14:paraId="682D27BA" w14:textId="2C324EEA" w:rsidR="00365F84" w:rsidRDefault="00365F84" w:rsidP="00365F84">
      <w:pPr>
        <w:jc w:val="both"/>
        <w:rPr>
          <w:lang w:val="pt-BR"/>
        </w:rPr>
      </w:pPr>
      <w:r w:rsidRPr="00365F84">
        <w:rPr>
          <w:lang w:val="pt-BR"/>
        </w:rPr>
        <w:t> Existe evidência na história clínica, exame físico ou achados laboratoriais de que as perturbações são causadas por determinada patologia, por intoxicação ou abstinência de substâncias, ou constituem efeito lateral de fármacos.</w:t>
      </w:r>
    </w:p>
    <w:p w14:paraId="210A433F" w14:textId="21C2925E" w:rsidR="00C6690A" w:rsidRDefault="00C6690A" w:rsidP="00365F84">
      <w:pPr>
        <w:jc w:val="both"/>
        <w:rPr>
          <w:lang w:val="pt-BR"/>
        </w:rPr>
      </w:pPr>
    </w:p>
    <w:p w14:paraId="4075E8C1" w14:textId="77777777" w:rsidR="00C6690A" w:rsidRPr="00365F84" w:rsidRDefault="00C6690A" w:rsidP="00365F84">
      <w:pPr>
        <w:jc w:val="both"/>
        <w:rPr>
          <w:lang w:val="pt-BR"/>
        </w:rPr>
      </w:pPr>
    </w:p>
    <w:p w14:paraId="2759E862" w14:textId="77777777" w:rsidR="00365F84" w:rsidRPr="00365F84" w:rsidRDefault="00365F84" w:rsidP="00365F84">
      <w:pPr>
        <w:jc w:val="both"/>
        <w:rPr>
          <w:lang w:val="pt-BR"/>
        </w:rPr>
      </w:pPr>
      <w:r w:rsidRPr="00365F84">
        <w:rPr>
          <w:lang w:val="pt-BR"/>
        </w:rPr>
        <w:t>Outras características que podem acompanhar o delirium são:</w:t>
      </w:r>
    </w:p>
    <w:p w14:paraId="3F34C66D" w14:textId="5B312B06" w:rsidR="00365F84" w:rsidRPr="00365F84" w:rsidRDefault="00C6690A" w:rsidP="00365F84">
      <w:pPr>
        <w:jc w:val="both"/>
        <w:rPr>
          <w:lang w:val="pt-BR"/>
        </w:rPr>
      </w:pPr>
      <w:r>
        <w:rPr>
          <w:lang w:val="pt-BR"/>
        </w:rPr>
        <w:t xml:space="preserve">- </w:t>
      </w:r>
      <w:r w:rsidR="00365F84" w:rsidRPr="00365F84">
        <w:rPr>
          <w:lang w:val="pt-BR"/>
        </w:rPr>
        <w:t xml:space="preserve"> Distúrbios do comportamento psicomotor, como a </w:t>
      </w:r>
      <w:proofErr w:type="spellStart"/>
      <w:r w:rsidR="00365F84" w:rsidRPr="00365F84">
        <w:rPr>
          <w:lang w:val="pt-BR"/>
        </w:rPr>
        <w:t>hipoatividade</w:t>
      </w:r>
      <w:proofErr w:type="spellEnd"/>
      <w:r w:rsidR="00365F84" w:rsidRPr="00365F84">
        <w:rPr>
          <w:lang w:val="pt-BR"/>
        </w:rPr>
        <w:t>, hiperatividade com aumento da atividade simpática e diminuição da duração, bem como alteração dos padrões do sono.</w:t>
      </w:r>
    </w:p>
    <w:p w14:paraId="66AD20BB" w14:textId="26745A82" w:rsidR="00365F84" w:rsidRPr="00365F84" w:rsidRDefault="00C6690A" w:rsidP="00365F84">
      <w:pPr>
        <w:jc w:val="both"/>
        <w:rPr>
          <w:lang w:val="pt-BR"/>
        </w:rPr>
      </w:pPr>
      <w:r>
        <w:rPr>
          <w:lang w:val="pt-BR"/>
        </w:rPr>
        <w:t xml:space="preserve">- </w:t>
      </w:r>
      <w:r w:rsidR="00365F84" w:rsidRPr="00365F84">
        <w:rPr>
          <w:lang w:val="pt-BR"/>
        </w:rPr>
        <w:t xml:space="preserve"> Várias perturbações emocionais, como medo, depressão, euforia ou perplexidade.</w:t>
      </w:r>
    </w:p>
    <w:p w14:paraId="1ACD9DAC" w14:textId="77777777" w:rsidR="00365F84" w:rsidRPr="00365F84" w:rsidRDefault="00365F84" w:rsidP="00365F84">
      <w:pPr>
        <w:jc w:val="both"/>
        <w:rPr>
          <w:lang w:val="pt-BR"/>
        </w:rPr>
      </w:pPr>
      <w:r w:rsidRPr="00365F84">
        <w:rPr>
          <w:lang w:val="pt-BR"/>
        </w:rPr>
        <w:t>De acordo com os sintomas acompanhantes do doente, o delirium pode ser dividido em três subtipos distintos:(1)(6)</w:t>
      </w:r>
    </w:p>
    <w:p w14:paraId="5D268D00" w14:textId="084C7700" w:rsidR="00365F84" w:rsidRPr="00365F84" w:rsidRDefault="00C6690A" w:rsidP="00365F84">
      <w:pPr>
        <w:jc w:val="both"/>
        <w:rPr>
          <w:lang w:val="pt-BR"/>
        </w:rPr>
      </w:pPr>
      <w:r>
        <w:rPr>
          <w:lang w:val="pt-BR"/>
        </w:rPr>
        <w:t xml:space="preserve">- </w:t>
      </w:r>
      <w:r w:rsidR="00365F84" w:rsidRPr="00365F84">
        <w:rPr>
          <w:lang w:val="pt-BR"/>
        </w:rPr>
        <w:t xml:space="preserve"> Hiperativo: agitação, inquietação, </w:t>
      </w:r>
      <w:proofErr w:type="spellStart"/>
      <w:r w:rsidR="00365F84" w:rsidRPr="00365F84">
        <w:rPr>
          <w:lang w:val="pt-BR"/>
        </w:rPr>
        <w:t>paranóia</w:t>
      </w:r>
      <w:proofErr w:type="spellEnd"/>
      <w:r w:rsidR="00365F84" w:rsidRPr="00365F84">
        <w:rPr>
          <w:lang w:val="pt-BR"/>
        </w:rPr>
        <w:t>;</w:t>
      </w:r>
    </w:p>
    <w:p w14:paraId="0C396413" w14:textId="787DEB1A" w:rsidR="00365F84" w:rsidRDefault="00C6690A" w:rsidP="00365F84">
      <w:pPr>
        <w:jc w:val="both"/>
        <w:rPr>
          <w:lang w:val="pt-BR"/>
        </w:rPr>
      </w:pPr>
      <w:r>
        <w:rPr>
          <w:lang w:val="pt-BR"/>
        </w:rPr>
        <w:t xml:space="preserve">- </w:t>
      </w:r>
      <w:r w:rsidR="00365F84" w:rsidRPr="00365F84">
        <w:rPr>
          <w:lang w:val="pt-BR"/>
        </w:rPr>
        <w:t xml:space="preserve"> Hipoativo: introversão, </w:t>
      </w:r>
      <w:proofErr w:type="spellStart"/>
      <w:r w:rsidR="00365F84" w:rsidRPr="00365F84">
        <w:rPr>
          <w:lang w:val="pt-BR"/>
        </w:rPr>
        <w:t>inatenção</w:t>
      </w:r>
      <w:proofErr w:type="spellEnd"/>
      <w:r w:rsidR="00365F84" w:rsidRPr="00365F84">
        <w:rPr>
          <w:lang w:val="pt-BR"/>
        </w:rPr>
        <w:t>;</w:t>
      </w:r>
    </w:p>
    <w:p w14:paraId="02373014" w14:textId="3AEC8F59" w:rsidR="00C6690A" w:rsidRDefault="00C6690A" w:rsidP="00C6690A">
      <w:pPr>
        <w:jc w:val="both"/>
        <w:rPr>
          <w:lang w:val="pt-BR"/>
        </w:rPr>
      </w:pPr>
      <w:r>
        <w:rPr>
          <w:lang w:val="pt-BR"/>
        </w:rPr>
        <w:t xml:space="preserve">- </w:t>
      </w:r>
      <w:r w:rsidRPr="00C6690A">
        <w:rPr>
          <w:lang w:val="pt-BR"/>
        </w:rPr>
        <w:t>Misto: alternância entre os dois estados anteriores.</w:t>
      </w:r>
    </w:p>
    <w:p w14:paraId="20442EB6" w14:textId="77777777" w:rsidR="00C6690A" w:rsidRPr="00C6690A" w:rsidRDefault="00C6690A" w:rsidP="00C6690A">
      <w:pPr>
        <w:jc w:val="both"/>
        <w:rPr>
          <w:lang w:val="pt-BR"/>
        </w:rPr>
      </w:pPr>
    </w:p>
    <w:p w14:paraId="6D857AAA" w14:textId="566A3FA8" w:rsidR="00C6690A" w:rsidRDefault="00C6690A" w:rsidP="00C6690A">
      <w:pPr>
        <w:jc w:val="both"/>
        <w:rPr>
          <w:lang w:val="pt-BR"/>
        </w:rPr>
      </w:pPr>
      <w:r w:rsidRPr="00C6690A">
        <w:rPr>
          <w:lang w:val="pt-BR"/>
        </w:rPr>
        <w:t xml:space="preserve">O delirium hiperativo está mais frequentemente associado a fenómenos de alucinação, enquanto o hipoativo se associa </w:t>
      </w:r>
      <w:proofErr w:type="spellStart"/>
      <w:r w:rsidRPr="00C6690A">
        <w:rPr>
          <w:lang w:val="pt-BR"/>
        </w:rPr>
        <w:t>comummente</w:t>
      </w:r>
      <w:proofErr w:type="spellEnd"/>
      <w:r w:rsidRPr="00C6690A">
        <w:rPr>
          <w:lang w:val="pt-BR"/>
        </w:rPr>
        <w:t xml:space="preserve"> a confusão e sedação, sendo frequentemente não detectado.</w:t>
      </w:r>
      <w:r w:rsidR="005C1BAE">
        <w:rPr>
          <w:lang w:val="pt-BR"/>
        </w:rPr>
        <w:fldChar w:fldCharType="begin" w:fldLock="1"/>
      </w:r>
      <w:r w:rsidR="005C1BAE">
        <w:rPr>
          <w:lang w:val="pt-BR"/>
        </w:rPr>
        <w:instrText>ADDIN CSL_CITATION {"citationItems":[{"id":"ITEM-1","itemData":{"DOI":"10.1097/CCM.0b013e3182a16ff0","ISSN":"00903493","PMID":"23989099","abstract":"Objective: In 2013, the American College of Critical Care Medicine published a revised version of the pain, agitation, and delirium guidelines. The guidelines included an ICU pain, agitation, and delirium care bundle designed to facilitate implementation of the pain, agitation, and delirium guidelines. Design: Review article. Setting: Multispecialty critical care units. Patients: Adult ICU patients. Interventions: This article describes: 1) the ICU pain, agitation, and delirium care bundle in more detail, linking pain, sedation/agitation, and delirium management in an integrated and interdisciplinary fashion; 2) pain, agitation, and delirium implementation strategies; and 3) the potential synergistic benefits of linking pain, agitation, and delirium management strategies to other evidence-based ICU practices, including spontaneous breathing trials, ICU early mobility programs, and ICU sleep hygiene programs, in order to improve ICU patient outcomes and to reduce costs of care. Results: Linking the ICU pain, agitation, and delirium management strategies with spontaneous awakening trials, spontaneous breathing trials, and early mobility and sleep hygiene programs is associated with significant improvements in ICU patient outcomes and reductions in their costs of care. Conclusions: The 2013 ICU pain, agitation, and delirium guidelines provide critical care providers with an evidence-based, integrated, and interdisciplinary approach to managing pain, agitation/sedation, and delirium. The ICU pain, agitation, and delirium care bundle provides a framework for facilitating implementation of the pain, agitation, and delirium guidelines. Widespread implementation of the ICU pain, agitation, and delirium care bundle is likely to result in large-scale improvements in ICU patient outcomes and significant reductions in costs. © 2013 by the Society of Critical Care Medicine and Lippincott Williams &amp; Wilkins.","author":[{"dropping-particle":"","family":"Barr","given":"Juliana","non-dropping-particle":"","parse-names":false,"suffix":""},{"dropping-particle":"","family":"Pandharipande","given":"Pratik P.","non-dropping-particle":"","parse-names":false,"suffix":""}],"container-title":"Critical Care Medicine","id":"ITEM-1","issue":"9 SUPPL.1","issued":{"date-parts":[["2013"]]},"page":"99-115","title":"The pain, agitation, and delirium care bundle: Synergistic benefits of implementing the 2013 pain, agitation, and delirium guidelines in an integrated and interdisciplinary fashion","type":"article-journal","volume":"41"},"uris":["http://www.mendeley.com/documents/?uuid=2c5360cd-30b8-46e0-8159-bb9bd096f055"]}],"mendeley":{"formattedCitation":"(Barr &amp; Pandharipande, 2013)","plainTextFormattedCitation":"(Barr &amp; Pandharipande, 2013)"},"properties":{"noteIndex":0},"schema":"https://github.com/citation-style-language/schema/raw/master/csl-citation.json"}</w:instrText>
      </w:r>
      <w:r w:rsidR="005C1BAE">
        <w:rPr>
          <w:lang w:val="pt-BR"/>
        </w:rPr>
        <w:fldChar w:fldCharType="separate"/>
      </w:r>
      <w:r w:rsidR="005C1BAE" w:rsidRPr="005C1BAE">
        <w:rPr>
          <w:noProof/>
          <w:lang w:val="pt-BR"/>
        </w:rPr>
        <w:t>(Barr &amp; Pandharipande, 2013)</w:t>
      </w:r>
      <w:r w:rsidR="005C1BAE">
        <w:rPr>
          <w:lang w:val="pt-BR"/>
        </w:rPr>
        <w:fldChar w:fldCharType="end"/>
      </w:r>
    </w:p>
    <w:p w14:paraId="76518B32" w14:textId="3155FE1E" w:rsidR="00E02720" w:rsidRDefault="00E02720" w:rsidP="00C6690A">
      <w:pPr>
        <w:jc w:val="both"/>
        <w:rPr>
          <w:lang w:val="pt-BR"/>
        </w:rPr>
      </w:pPr>
    </w:p>
    <w:p w14:paraId="4B028F9A" w14:textId="3C4BE475" w:rsidR="00E02720" w:rsidRDefault="00E02720" w:rsidP="00C6690A">
      <w:pPr>
        <w:jc w:val="both"/>
        <w:rPr>
          <w:lang w:val="pt-BR"/>
        </w:rPr>
      </w:pPr>
    </w:p>
    <w:p w14:paraId="1613D3D8" w14:textId="77777777"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sz w:val="44"/>
          <w:szCs w:val="44"/>
          <w:lang w:val="pt-BR"/>
        </w:rPr>
        <w:t xml:space="preserve">Abordagem do </w:t>
      </w:r>
      <w:r w:rsidRPr="003A0F42">
        <w:rPr>
          <w:rFonts w:ascii="Times New Roman" w:hAnsi="Times New Roman" w:cs="Times New Roman"/>
          <w:sz w:val="45"/>
          <w:szCs w:val="45"/>
          <w:lang w:val="pt-BR"/>
        </w:rPr>
        <w:t xml:space="preserve">Delirium </w:t>
      </w:r>
      <w:r w:rsidRPr="003A0F42">
        <w:rPr>
          <w:rFonts w:ascii="Times New Roman" w:hAnsi="Times New Roman" w:cs="Times New Roman"/>
          <w:sz w:val="44"/>
          <w:szCs w:val="44"/>
          <w:lang w:val="pt-BR"/>
        </w:rPr>
        <w:t xml:space="preserve">no doente crítico- </w:t>
      </w:r>
      <w:r w:rsidRPr="003A0F42">
        <w:rPr>
          <w:rFonts w:ascii="Times New Roman" w:hAnsi="Times New Roman" w:cs="Times New Roman"/>
          <w:lang w:val="pt-BR"/>
        </w:rPr>
        <w:t>Alexandra</w:t>
      </w:r>
    </w:p>
    <w:p w14:paraId="46882A5B" w14:textId="10FAC741" w:rsidR="00E02720" w:rsidRPr="003A0F42" w:rsidRDefault="00E02720" w:rsidP="00E02720">
      <w:pPr>
        <w:autoSpaceDE w:val="0"/>
        <w:autoSpaceDN w:val="0"/>
        <w:adjustRightInd w:val="0"/>
        <w:rPr>
          <w:rFonts w:ascii="Times New Roman" w:hAnsi="Times New Roman" w:cs="Times New Roman"/>
          <w:lang w:val="pt-BR"/>
        </w:rPr>
      </w:pPr>
      <w:r w:rsidRPr="003A0F42">
        <w:rPr>
          <w:rFonts w:ascii="Times New Roman" w:hAnsi="Times New Roman" w:cs="Times New Roman"/>
          <w:lang w:val="pt-BR"/>
        </w:rPr>
        <w:t>Faustino</w:t>
      </w:r>
    </w:p>
    <w:p w14:paraId="7FBAB185" w14:textId="38394243" w:rsidR="00E02720" w:rsidRPr="003A0F42" w:rsidRDefault="00E02720" w:rsidP="00E02720">
      <w:pPr>
        <w:autoSpaceDE w:val="0"/>
        <w:autoSpaceDN w:val="0"/>
        <w:adjustRightInd w:val="0"/>
        <w:rPr>
          <w:rFonts w:ascii="Times New Roman" w:hAnsi="Times New Roman" w:cs="Times New Roman"/>
          <w:lang w:val="pt-BR"/>
        </w:rPr>
      </w:pPr>
    </w:p>
    <w:p w14:paraId="52E56642" w14:textId="77777777" w:rsidR="000A10C0" w:rsidRPr="00C6690A" w:rsidRDefault="000A10C0" w:rsidP="000A10C0">
      <w:pPr>
        <w:jc w:val="both"/>
        <w:rPr>
          <w:lang w:val="pt-BR"/>
        </w:rPr>
      </w:pPr>
    </w:p>
    <w:p w14:paraId="7FE46B10" w14:textId="59150D24"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consiste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disfun</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cerebral</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aguda</w:t>
      </w:r>
      <w:r>
        <w:rPr>
          <w:rFonts w:ascii="Times New Roman" w:hAnsi="Times New Roman" w:cs="Times New Roman"/>
          <w:sz w:val="22"/>
          <w:szCs w:val="22"/>
          <w:lang w:val="pt-BR"/>
        </w:rPr>
        <w:t xml:space="preserve"> q</w:t>
      </w:r>
      <w:r w:rsidRPr="000A10C0">
        <w:rPr>
          <w:rFonts w:ascii="Times New Roman" w:hAnsi="Times New Roman" w:cs="Times New Roman"/>
          <w:sz w:val="22"/>
          <w:szCs w:val="22"/>
          <w:lang w:val="pt-BR"/>
        </w:rPr>
        <w:t>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encontra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associada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aumento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mortalidade</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dura</w:t>
      </w:r>
      <w:r>
        <w:rPr>
          <w:rFonts w:ascii="Times New Roman" w:hAnsi="Times New Roman" w:cs="Times New Roman"/>
          <w:sz w:val="22"/>
          <w:szCs w:val="22"/>
          <w:lang w:val="pt-BR"/>
        </w:rPr>
        <w:t xml:space="preserve">ção </w:t>
      </w:r>
      <w:r w:rsidRPr="000A10C0">
        <w:rPr>
          <w:rFonts w:ascii="Times New Roman" w:hAnsi="Times New Roman" w:cs="Times New Roman"/>
          <w:sz w:val="22"/>
          <w:szCs w:val="22"/>
          <w:lang w:val="pt-BR"/>
        </w:rPr>
        <w:t>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internamento</w:t>
      </w:r>
      <w:r w:rsidRPr="000A10C0">
        <w:rPr>
          <w:rFonts w:ascii="Times New Roman" w:hAnsi="Times New Roman" w:cs="Times New Roman"/>
          <w:sz w:val="14"/>
          <w:szCs w:val="14"/>
          <w:lang w:val="pt-BR"/>
        </w:rPr>
        <w:t>2</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custos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hospitalares</w:t>
      </w:r>
      <w:r w:rsidRPr="000A10C0">
        <w:rPr>
          <w:rFonts w:ascii="Times New Roman" w:hAnsi="Times New Roman" w:cs="Times New Roman"/>
          <w:sz w:val="14"/>
          <w:szCs w:val="14"/>
          <w:lang w:val="pt-BR"/>
        </w:rPr>
        <w:t>3</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comprometimento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cognitivo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p>
    <w:p w14:paraId="043E34AD" w14:textId="7644FF3D" w:rsid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22"/>
          <w:szCs w:val="22"/>
          <w:lang w:val="pt-BR"/>
        </w:rPr>
        <w:t>Longo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prazo</w:t>
      </w:r>
      <w:r w:rsidRPr="000A10C0">
        <w:rPr>
          <w:rFonts w:ascii="Times New Roman" w:hAnsi="Times New Roman" w:cs="Times New Roman"/>
          <w:sz w:val="14"/>
          <w:szCs w:val="14"/>
          <w:lang w:val="pt-BR"/>
        </w:rPr>
        <w:t>4</w:t>
      </w:r>
      <w:r w:rsidRPr="000A10C0">
        <w:rPr>
          <w:rFonts w:ascii="Times New Roman" w:hAnsi="Times New Roman" w:cs="Times New Roman"/>
          <w:sz w:val="22"/>
          <w:szCs w:val="22"/>
          <w:lang w:val="pt-BR"/>
        </w:rPr>
        <w:t>.</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Existe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uma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elevada prevalência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delirium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nos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internados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UCI,</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podendo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atingir</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30-.‐80%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segundos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alguns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estudos</w:t>
      </w:r>
      <w:r w:rsidRPr="000A10C0">
        <w:rPr>
          <w:rFonts w:ascii="Times New Roman" w:hAnsi="Times New Roman" w:cs="Times New Roman"/>
          <w:sz w:val="14"/>
          <w:szCs w:val="14"/>
          <w:lang w:val="pt-BR"/>
        </w:rPr>
        <w:t>5,6,7</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tendo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sido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identificado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em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mais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80%</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doentes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que</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foram</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submetidos</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ventila</w:t>
      </w:r>
      <w:r>
        <w:rPr>
          <w:rFonts w:ascii="Times New Roman" w:hAnsi="Times New Roman" w:cs="Times New Roman"/>
          <w:sz w:val="22"/>
          <w:szCs w:val="22"/>
          <w:lang w:val="pt-BR"/>
        </w:rPr>
        <w:t>çã</w:t>
      </w:r>
      <w:r w:rsidRPr="000A10C0">
        <w:rPr>
          <w:rFonts w:ascii="Times New Roman" w:hAnsi="Times New Roman" w:cs="Times New Roman"/>
          <w:sz w:val="22"/>
          <w:szCs w:val="22"/>
          <w:lang w:val="pt-BR"/>
        </w:rPr>
        <w:t>o</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m</w:t>
      </w:r>
      <w:r>
        <w:rPr>
          <w:rFonts w:ascii="Times New Roman" w:hAnsi="Times New Roman" w:cs="Times New Roman"/>
          <w:sz w:val="22"/>
          <w:szCs w:val="22"/>
          <w:lang w:val="pt-BR"/>
        </w:rPr>
        <w:t>ecâ</w:t>
      </w:r>
      <w:r w:rsidRPr="000A10C0">
        <w:rPr>
          <w:rFonts w:ascii="Times New Roman" w:hAnsi="Times New Roman" w:cs="Times New Roman"/>
          <w:sz w:val="22"/>
          <w:szCs w:val="22"/>
          <w:lang w:val="pt-BR"/>
        </w:rPr>
        <w:t>nica</w:t>
      </w:r>
      <w:r>
        <w:rPr>
          <w:rFonts w:ascii="Times New Roman" w:hAnsi="Times New Roman" w:cs="Times New Roman"/>
          <w:sz w:val="22"/>
          <w:szCs w:val="22"/>
          <w:lang w:val="pt-BR"/>
        </w:rPr>
        <w:t xml:space="preserve"> </w:t>
      </w:r>
      <w:r w:rsidRPr="000A10C0">
        <w:rPr>
          <w:rFonts w:ascii="Times New Roman" w:hAnsi="Times New Roman" w:cs="Times New Roman"/>
          <w:sz w:val="22"/>
          <w:szCs w:val="22"/>
          <w:lang w:val="pt-BR"/>
        </w:rPr>
        <w:t>invasiva</w:t>
      </w:r>
      <w:r w:rsidRPr="000A10C0">
        <w:rPr>
          <w:rFonts w:ascii="Times New Roman" w:hAnsi="Times New Roman" w:cs="Times New Roman"/>
          <w:sz w:val="14"/>
          <w:szCs w:val="14"/>
          <w:lang w:val="pt-BR"/>
        </w:rPr>
        <w:t>1</w:t>
      </w:r>
      <w:r w:rsidRPr="000A10C0">
        <w:rPr>
          <w:rFonts w:ascii="Times New Roman" w:hAnsi="Times New Roman" w:cs="Times New Roman"/>
          <w:sz w:val="22"/>
          <w:szCs w:val="22"/>
          <w:lang w:val="pt-BR"/>
        </w:rPr>
        <w:t>.</w:t>
      </w:r>
    </w:p>
    <w:p w14:paraId="5000CCAF" w14:textId="49B9236D" w:rsidR="000A10C0" w:rsidRDefault="000A10C0" w:rsidP="000A10C0">
      <w:pPr>
        <w:autoSpaceDE w:val="0"/>
        <w:autoSpaceDN w:val="0"/>
        <w:adjustRightInd w:val="0"/>
        <w:rPr>
          <w:rFonts w:ascii="Times New Roman" w:hAnsi="Times New Roman" w:cs="Times New Roman"/>
          <w:sz w:val="22"/>
          <w:szCs w:val="22"/>
          <w:lang w:val="pt-BR"/>
        </w:rPr>
      </w:pPr>
    </w:p>
    <w:p w14:paraId="5E90DBDF" w14:textId="764FDA97" w:rsidR="000A10C0" w:rsidRDefault="000A10C0" w:rsidP="000A10C0">
      <w:pPr>
        <w:autoSpaceDE w:val="0"/>
        <w:autoSpaceDN w:val="0"/>
        <w:adjustRightInd w:val="0"/>
        <w:rPr>
          <w:rFonts w:ascii="Times New Roman" w:hAnsi="Times New Roman" w:cs="Times New Roman"/>
          <w:sz w:val="22"/>
          <w:szCs w:val="22"/>
          <w:lang w:val="pt-BR"/>
        </w:rPr>
      </w:pPr>
    </w:p>
    <w:p w14:paraId="7081D83A" w14:textId="4518FABB" w:rsidR="000A10C0" w:rsidRDefault="000A10C0" w:rsidP="000A10C0">
      <w:pPr>
        <w:autoSpaceDE w:val="0"/>
        <w:autoSpaceDN w:val="0"/>
        <w:adjustRightInd w:val="0"/>
        <w:rPr>
          <w:rFonts w:ascii="Times New Roman" w:hAnsi="Times New Roman" w:cs="Times New Roman"/>
          <w:sz w:val="22"/>
          <w:szCs w:val="22"/>
          <w:lang w:val="pt-BR"/>
        </w:rPr>
      </w:pPr>
    </w:p>
    <w:p w14:paraId="6A57A495" w14:textId="77777777" w:rsidR="003A0F42" w:rsidRDefault="003A0F42" w:rsidP="000A10C0">
      <w:pPr>
        <w:autoSpaceDE w:val="0"/>
        <w:autoSpaceDN w:val="0"/>
        <w:adjustRightInd w:val="0"/>
        <w:rPr>
          <w:rFonts w:ascii="Times New Roman" w:hAnsi="Times New Roman" w:cs="Times New Roman"/>
          <w:sz w:val="22"/>
          <w:szCs w:val="22"/>
          <w:lang w:val="pt-BR"/>
        </w:rPr>
      </w:pPr>
    </w:p>
    <w:p w14:paraId="00C0E130" w14:textId="028B90C2" w:rsidR="000A10C0" w:rsidRDefault="000A10C0" w:rsidP="000A10C0">
      <w:pPr>
        <w:autoSpaceDE w:val="0"/>
        <w:autoSpaceDN w:val="0"/>
        <w:adjustRightInd w:val="0"/>
        <w:rPr>
          <w:rFonts w:ascii="Times New Roman" w:hAnsi="Times New Roman" w:cs="Times New Roman"/>
          <w:sz w:val="22"/>
          <w:szCs w:val="22"/>
          <w:lang w:val="pt-BR"/>
        </w:rPr>
      </w:pPr>
    </w:p>
    <w:p w14:paraId="3F3D1D4C" w14:textId="1070B75A" w:rsidR="000A10C0" w:rsidRPr="000A10C0" w:rsidRDefault="000A10C0" w:rsidP="000A10C0">
      <w:pPr>
        <w:autoSpaceDE w:val="0"/>
        <w:autoSpaceDN w:val="0"/>
        <w:adjustRightInd w:val="0"/>
        <w:rPr>
          <w:rFonts w:ascii="Times New Roman" w:hAnsi="Times New Roman" w:cs="Times New Roman"/>
          <w:sz w:val="22"/>
          <w:szCs w:val="22"/>
          <w:lang w:val="pt-BR"/>
        </w:rPr>
      </w:pPr>
      <w:r w:rsidRPr="000A10C0">
        <w:rPr>
          <w:rFonts w:ascii="Times New Roman" w:hAnsi="Times New Roman" w:cs="Times New Roman"/>
          <w:sz w:val="36"/>
          <w:szCs w:val="36"/>
          <w:lang w:val="pt-BR"/>
        </w:rPr>
        <w:lastRenderedPageBreak/>
        <w:t xml:space="preserve">DELIRIUM NO IDOSO - </w:t>
      </w:r>
      <w:r w:rsidRPr="000A10C0">
        <w:rPr>
          <w:rFonts w:ascii="Times New Roman" w:hAnsi="Times New Roman" w:cs="Times New Roman"/>
          <w:sz w:val="28"/>
          <w:szCs w:val="28"/>
          <w:lang w:val="pt-BR"/>
        </w:rPr>
        <w:t>CRISTINA MARTA PINTO DE SOUSA</w:t>
      </w:r>
    </w:p>
    <w:p w14:paraId="2B0EF2F0" w14:textId="778AA705" w:rsidR="000A10C0" w:rsidRDefault="000A10C0" w:rsidP="00140392">
      <w:pPr>
        <w:autoSpaceDE w:val="0"/>
        <w:autoSpaceDN w:val="0"/>
        <w:adjustRightInd w:val="0"/>
        <w:jc w:val="both"/>
        <w:rPr>
          <w:lang w:val="pt-BR"/>
        </w:rPr>
      </w:pPr>
    </w:p>
    <w:p w14:paraId="1D364FBF" w14:textId="479E1FA3" w:rsidR="000A10C0" w:rsidRDefault="000A10C0" w:rsidP="00140392">
      <w:pPr>
        <w:autoSpaceDE w:val="0"/>
        <w:autoSpaceDN w:val="0"/>
        <w:adjustRightInd w:val="0"/>
        <w:jc w:val="both"/>
        <w:rPr>
          <w:lang w:val="pt-BR"/>
        </w:rPr>
      </w:pPr>
    </w:p>
    <w:p w14:paraId="27AA4B86" w14:textId="54F12507" w:rsidR="00140392" w:rsidRPr="00140392" w:rsidRDefault="00140392" w:rsidP="00140392">
      <w:pPr>
        <w:autoSpaceDE w:val="0"/>
        <w:autoSpaceDN w:val="0"/>
        <w:adjustRightInd w:val="0"/>
        <w:ind w:firstLine="720"/>
        <w:jc w:val="both"/>
        <w:rPr>
          <w:lang w:val="pt-BR"/>
        </w:rPr>
      </w:pPr>
      <w:r w:rsidRPr="00140392">
        <w:rPr>
          <w:lang w:val="pt-BR"/>
        </w:rPr>
        <w:t>O delirium é uma síndrome neuropsiquiátrica aguda, caracterizada por um transtorno</w:t>
      </w:r>
      <w:r>
        <w:rPr>
          <w:lang w:val="pt-BR"/>
        </w:rPr>
        <w:t xml:space="preserve"> </w:t>
      </w:r>
      <w:r w:rsidRPr="00140392">
        <w:rPr>
          <w:lang w:val="pt-BR"/>
        </w:rPr>
        <w:t>agudo da atenção e cognição, de natureza multifatorial. É uma entidade muito prevalente,</w:t>
      </w:r>
      <w:r>
        <w:rPr>
          <w:lang w:val="pt-BR"/>
        </w:rPr>
        <w:t xml:space="preserve"> </w:t>
      </w:r>
      <w:r w:rsidRPr="00140392">
        <w:rPr>
          <w:lang w:val="pt-BR"/>
        </w:rPr>
        <w:t>sobretudo na população idosa.</w:t>
      </w:r>
    </w:p>
    <w:p w14:paraId="1DB6438A" w14:textId="0D7F3831" w:rsidR="00140392" w:rsidRPr="00140392" w:rsidRDefault="00140392" w:rsidP="00140392">
      <w:pPr>
        <w:autoSpaceDE w:val="0"/>
        <w:autoSpaceDN w:val="0"/>
        <w:adjustRightInd w:val="0"/>
        <w:ind w:firstLine="720"/>
        <w:jc w:val="both"/>
        <w:rPr>
          <w:lang w:val="pt-BR"/>
        </w:rPr>
      </w:pPr>
      <w:r w:rsidRPr="00140392">
        <w:rPr>
          <w:lang w:val="pt-BR"/>
        </w:rPr>
        <w:t>Apesar de grave e potencialmente fatal, um indicador de mau prognóstico, é</w:t>
      </w:r>
      <w:r>
        <w:rPr>
          <w:lang w:val="pt-BR"/>
        </w:rPr>
        <w:t xml:space="preserve"> </w:t>
      </w:r>
      <w:r w:rsidRPr="00140392">
        <w:rPr>
          <w:lang w:val="pt-BR"/>
        </w:rPr>
        <w:t xml:space="preserve">frequentemente </w:t>
      </w:r>
      <w:proofErr w:type="spellStart"/>
      <w:r w:rsidRPr="00140392">
        <w:rPr>
          <w:lang w:val="pt-BR"/>
        </w:rPr>
        <w:t>subdiagnosticado</w:t>
      </w:r>
      <w:proofErr w:type="spellEnd"/>
      <w:r w:rsidRPr="00140392">
        <w:rPr>
          <w:lang w:val="pt-BR"/>
        </w:rPr>
        <w:t xml:space="preserve"> e negligenciado, relacionando-se com maiores taxas de</w:t>
      </w:r>
      <w:r>
        <w:rPr>
          <w:lang w:val="pt-BR"/>
        </w:rPr>
        <w:t xml:space="preserve"> </w:t>
      </w:r>
      <w:proofErr w:type="spellStart"/>
      <w:r w:rsidRPr="00140392">
        <w:rPr>
          <w:lang w:val="pt-BR"/>
        </w:rPr>
        <w:t>morbi-mortalidade</w:t>
      </w:r>
      <w:proofErr w:type="spellEnd"/>
      <w:r w:rsidRPr="00140392">
        <w:rPr>
          <w:lang w:val="pt-BR"/>
        </w:rPr>
        <w:t>, aumento do tempo de internamento e índices de institucionalização.</w:t>
      </w:r>
    </w:p>
    <w:p w14:paraId="18309479" w14:textId="57BBD0B1" w:rsidR="000A10C0" w:rsidRDefault="00140392" w:rsidP="00140392">
      <w:pPr>
        <w:autoSpaceDE w:val="0"/>
        <w:autoSpaceDN w:val="0"/>
        <w:adjustRightInd w:val="0"/>
        <w:ind w:firstLine="720"/>
        <w:jc w:val="both"/>
        <w:rPr>
          <w:lang w:val="pt-BR"/>
        </w:rPr>
      </w:pPr>
      <w:r w:rsidRPr="00140392">
        <w:rPr>
          <w:lang w:val="pt-BR"/>
        </w:rPr>
        <w:t>Manifesta-se sob uma forma hiperativa, hipoativa ou mista, sendo a forma</w:t>
      </w:r>
      <w:r>
        <w:rPr>
          <w:lang w:val="pt-BR"/>
        </w:rPr>
        <w:t xml:space="preserve"> </w:t>
      </w:r>
      <w:r w:rsidRPr="00140392">
        <w:rPr>
          <w:lang w:val="pt-BR"/>
        </w:rPr>
        <w:t>hipoativa a mais frequente, mas a menos detectada. O diagnóstico é eminentemente clínico,</w:t>
      </w:r>
      <w:r>
        <w:rPr>
          <w:lang w:val="pt-BR"/>
        </w:rPr>
        <w:t xml:space="preserve"> </w:t>
      </w:r>
      <w:r w:rsidRPr="00140392">
        <w:rPr>
          <w:lang w:val="pt-BR"/>
        </w:rPr>
        <w:t>requerendo uma observação clínica perspicaz e uma avaliação cognitiva formal, seguida da</w:t>
      </w:r>
      <w:r>
        <w:rPr>
          <w:lang w:val="pt-BR"/>
        </w:rPr>
        <w:t xml:space="preserve"> </w:t>
      </w:r>
      <w:r w:rsidRPr="00140392">
        <w:rPr>
          <w:lang w:val="pt-BR"/>
        </w:rPr>
        <w:t>confirmação através de um instrumento diagnóstico.</w:t>
      </w:r>
    </w:p>
    <w:p w14:paraId="66C84EFC" w14:textId="2D8B06CB" w:rsidR="00140392" w:rsidRDefault="00140392" w:rsidP="00140392">
      <w:pPr>
        <w:autoSpaceDE w:val="0"/>
        <w:autoSpaceDN w:val="0"/>
        <w:adjustRightInd w:val="0"/>
        <w:ind w:firstLine="720"/>
        <w:jc w:val="both"/>
        <w:rPr>
          <w:lang w:val="pt-BR"/>
        </w:rPr>
      </w:pPr>
    </w:p>
    <w:p w14:paraId="13CD8D51" w14:textId="4FB30616" w:rsidR="00140392" w:rsidRDefault="00140392" w:rsidP="00140392">
      <w:pPr>
        <w:autoSpaceDE w:val="0"/>
        <w:autoSpaceDN w:val="0"/>
        <w:adjustRightInd w:val="0"/>
        <w:ind w:firstLine="720"/>
        <w:jc w:val="both"/>
        <w:rPr>
          <w:lang w:val="pt-BR"/>
        </w:rPr>
      </w:pPr>
    </w:p>
    <w:p w14:paraId="21FD5389" w14:textId="15C5970F" w:rsidR="00140392" w:rsidRDefault="00140392" w:rsidP="00140392">
      <w:pPr>
        <w:autoSpaceDE w:val="0"/>
        <w:autoSpaceDN w:val="0"/>
        <w:adjustRightInd w:val="0"/>
        <w:jc w:val="both"/>
        <w:rPr>
          <w:rFonts w:ascii="Times New Roman" w:hAnsi="Times New Roman" w:cs="Times New Roman"/>
          <w:lang w:val="pt-BR"/>
        </w:rPr>
      </w:pPr>
      <w:r w:rsidRPr="00140392">
        <w:rPr>
          <w:rFonts w:ascii="Times New Roman" w:hAnsi="Times New Roman" w:cs="Times New Roman"/>
          <w:lang w:val="pt-BR"/>
        </w:rPr>
        <w:t xml:space="preserve">O delirium é uma entidade clínica documentada na literatura médica há mais de 2000 anos, inicialmente descrita por Hipócrates. O termo médico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w:t>
      </w:r>
      <w:r w:rsidRPr="00140392">
        <w:rPr>
          <w:rFonts w:ascii="Times New Roman" w:hAnsi="Times New Roman" w:cs="Times New Roman"/>
          <w:lang w:val="pt-BR"/>
        </w:rPr>
        <w:t xml:space="preserve">, derivado do termo latino </w:t>
      </w:r>
      <w:proofErr w:type="spellStart"/>
      <w:r w:rsidRPr="00140392">
        <w:rPr>
          <w:rFonts w:ascii="Times New Roman" w:hAnsi="Times New Roman" w:cs="Times New Roman"/>
          <w:lang w:val="pt-BR"/>
        </w:rPr>
        <w:t>delirare</w:t>
      </w:r>
      <w:proofErr w:type="spellEnd"/>
      <w:r w:rsidRPr="00140392">
        <w:rPr>
          <w:rFonts w:ascii="Times New Roman" w:hAnsi="Times New Roman" w:cs="Times New Roman"/>
          <w:lang w:val="pt-BR"/>
        </w:rPr>
        <w:t>, foi primeiramente usado no primeiro século D.C. por Celso, sendo usado para</w:t>
      </w:r>
      <w:r>
        <w:rPr>
          <w:rFonts w:ascii="Times New Roman" w:hAnsi="Times New Roman" w:cs="Times New Roman"/>
          <w:lang w:val="pt-BR"/>
        </w:rPr>
        <w:t xml:space="preserve"> </w:t>
      </w:r>
      <w:r w:rsidRPr="00140392">
        <w:rPr>
          <w:rFonts w:ascii="Times New Roman" w:hAnsi="Times New Roman" w:cs="Times New Roman"/>
          <w:lang w:val="pt-BR"/>
        </w:rPr>
        <w:t>descrever distúrbios mentais associados a febre ou traumatismos cranianos.[1]</w:t>
      </w:r>
    </w:p>
    <w:p w14:paraId="5840E633" w14:textId="0CD2D95A"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No último século, tem sido usada terminologia muito variada, incluindo ''estado confusional agudo'', ''síndrome cerebral aguda'', ''insuficiência cerebral aguda'' ou</w:t>
      </w:r>
      <w:r>
        <w:rPr>
          <w:rFonts w:ascii="Times New Roman" w:hAnsi="Times New Roman" w:cs="Times New Roman"/>
          <w:lang w:val="pt-BR"/>
        </w:rPr>
        <w:t xml:space="preserve"> </w:t>
      </w:r>
      <w:r w:rsidRPr="00140392">
        <w:rPr>
          <w:rFonts w:ascii="ƒ^≈'E5˛" w:hAnsi="ƒ^≈'E5˛" w:cs="ƒ^≈'E5˛"/>
          <w:lang w:val="pt-BR"/>
        </w:rPr>
        <w:t>''encefalopatia”.</w:t>
      </w:r>
      <w:r w:rsidRPr="00140392">
        <w:rPr>
          <w:rFonts w:ascii="Times New Roman" w:hAnsi="Times New Roman" w:cs="Times New Roman"/>
          <w:lang w:val="pt-BR"/>
        </w:rPr>
        <w:t>[2]</w:t>
      </w:r>
    </w:p>
    <w:p w14:paraId="166E9E2D" w14:textId="768140C7" w:rsid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 xml:space="preserve">Atualmente, o termo </w:t>
      </w:r>
      <w:r w:rsidRPr="00140392">
        <w:rPr>
          <w:rFonts w:ascii="ƒ^≈'E5˛" w:hAnsi="ƒ^≈'E5˛" w:cs="ƒ^≈'E5˛"/>
          <w:lang w:val="pt-BR"/>
        </w:rPr>
        <w:t>“</w:t>
      </w:r>
      <w:r w:rsidRPr="00140392">
        <w:rPr>
          <w:rFonts w:ascii="Times New Roman" w:hAnsi="Times New Roman" w:cs="Times New Roman"/>
          <w:lang w:val="pt-BR"/>
        </w:rPr>
        <w:t>delirium</w:t>
      </w:r>
      <w:r w:rsidRPr="00140392">
        <w:rPr>
          <w:rFonts w:ascii="ƒ^≈'E5˛" w:hAnsi="ƒ^≈'E5˛" w:cs="ƒ^≈'E5˛"/>
          <w:lang w:val="pt-BR"/>
        </w:rPr>
        <w:t xml:space="preserve">” </w:t>
      </w:r>
      <w:r w:rsidRPr="00140392">
        <w:rPr>
          <w:rFonts w:ascii="Times New Roman" w:hAnsi="Times New Roman" w:cs="Times New Roman"/>
          <w:lang w:val="pt-BR"/>
        </w:rPr>
        <w:t xml:space="preserve">é preferido, e consiste numa </w:t>
      </w:r>
      <w:r w:rsidR="003A0F42" w:rsidRPr="00140392">
        <w:rPr>
          <w:rFonts w:ascii="Times New Roman" w:hAnsi="Times New Roman" w:cs="Times New Roman"/>
          <w:lang w:val="pt-BR"/>
        </w:rPr>
        <w:t>síndrome</w:t>
      </w:r>
      <w:r w:rsidRPr="00140392">
        <w:rPr>
          <w:rFonts w:ascii="Times New Roman" w:hAnsi="Times New Roman" w:cs="Times New Roman"/>
          <w:lang w:val="pt-BR"/>
        </w:rPr>
        <w:t xml:space="preserve"> neuropsiquiátrica aguda específica, definida como uma perturbação transitória da atenção e cognição, de início </w:t>
      </w:r>
    </w:p>
    <w:p w14:paraId="0FE8F7B0" w14:textId="0FFDCB58" w:rsidR="00140392" w:rsidRPr="00140392" w:rsidRDefault="00140392" w:rsidP="00140392">
      <w:pPr>
        <w:autoSpaceDE w:val="0"/>
        <w:autoSpaceDN w:val="0"/>
        <w:adjustRightInd w:val="0"/>
        <w:rPr>
          <w:rFonts w:ascii="Times New Roman" w:hAnsi="Times New Roman" w:cs="Times New Roman"/>
          <w:lang w:val="pt-BR"/>
        </w:rPr>
      </w:pPr>
      <w:r w:rsidRPr="00140392">
        <w:rPr>
          <w:rFonts w:ascii="Times New Roman" w:hAnsi="Times New Roman" w:cs="Times New Roman"/>
          <w:lang w:val="pt-BR"/>
        </w:rPr>
        <w:t>súbito e curso flutuante, com evidência de uma causa subjacente.[3]</w:t>
      </w:r>
    </w:p>
    <w:p w14:paraId="4EAF3988" w14:textId="2CB6E875" w:rsidR="00140392" w:rsidRDefault="00140392" w:rsidP="00140392">
      <w:pPr>
        <w:autoSpaceDE w:val="0"/>
        <w:autoSpaceDN w:val="0"/>
        <w:adjustRightInd w:val="0"/>
        <w:jc w:val="both"/>
        <w:rPr>
          <w:rFonts w:ascii="Times New Roman" w:hAnsi="Times New Roman" w:cs="Times New Roman"/>
          <w:lang w:val="pt-BR"/>
        </w:rPr>
      </w:pPr>
    </w:p>
    <w:p w14:paraId="0000AE9E" w14:textId="35379C45" w:rsidR="00140392" w:rsidRDefault="00140392" w:rsidP="00140392">
      <w:pPr>
        <w:autoSpaceDE w:val="0"/>
        <w:autoSpaceDN w:val="0"/>
        <w:adjustRightInd w:val="0"/>
        <w:jc w:val="both"/>
        <w:rPr>
          <w:rFonts w:ascii="Times New Roman" w:hAnsi="Times New Roman" w:cs="Times New Roman"/>
          <w:lang w:val="pt-BR"/>
        </w:rPr>
      </w:pPr>
    </w:p>
    <w:p w14:paraId="3172D7BD" w14:textId="1DCB38AA" w:rsidR="00140392" w:rsidRDefault="00140392" w:rsidP="00140392">
      <w:pPr>
        <w:autoSpaceDE w:val="0"/>
        <w:autoSpaceDN w:val="0"/>
        <w:adjustRightInd w:val="0"/>
        <w:jc w:val="both"/>
        <w:rPr>
          <w:rFonts w:ascii="Times New Roman" w:hAnsi="Times New Roman" w:cs="Times New Roman"/>
          <w:lang w:val="pt-BR"/>
        </w:rPr>
      </w:pPr>
    </w:p>
    <w:p w14:paraId="1849A4C8" w14:textId="5C434A05" w:rsidR="00140392" w:rsidRDefault="00140392" w:rsidP="00140392">
      <w:pPr>
        <w:autoSpaceDE w:val="0"/>
        <w:autoSpaceDN w:val="0"/>
        <w:adjustRightInd w:val="0"/>
        <w:jc w:val="both"/>
        <w:rPr>
          <w:rFonts w:ascii="Times New Roman" w:hAnsi="Times New Roman" w:cs="Times New Roman"/>
          <w:lang w:val="pt-BR"/>
        </w:rPr>
      </w:pPr>
    </w:p>
    <w:p w14:paraId="1C7B98F4" w14:textId="5FF54454"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Definição: </w:t>
      </w:r>
    </w:p>
    <w:p w14:paraId="5F4B40AD" w14:textId="64FD17D8" w:rsidR="00393176" w:rsidRDefault="00393176" w:rsidP="00140392">
      <w:pPr>
        <w:autoSpaceDE w:val="0"/>
        <w:autoSpaceDN w:val="0"/>
        <w:adjustRightInd w:val="0"/>
        <w:jc w:val="both"/>
        <w:rPr>
          <w:rFonts w:ascii="Times New Roman" w:hAnsi="Times New Roman" w:cs="Times New Roman"/>
          <w:lang w:val="pt-BR"/>
        </w:rPr>
      </w:pPr>
    </w:p>
    <w:p w14:paraId="5C88A1FE" w14:textId="00BB7607" w:rsidR="00393176" w:rsidRDefault="00393176" w:rsidP="00140392">
      <w:pPr>
        <w:autoSpaceDE w:val="0"/>
        <w:autoSpaceDN w:val="0"/>
        <w:adjustRightInd w:val="0"/>
        <w:jc w:val="both"/>
        <w:rPr>
          <w:rFonts w:ascii="Times New Roman" w:hAnsi="Times New Roman" w:cs="Times New Roman"/>
          <w:lang w:val="pt-BR"/>
        </w:rPr>
      </w:pPr>
    </w:p>
    <w:p w14:paraId="32AB9B79" w14:textId="3CC5BEED" w:rsidR="00393176" w:rsidRDefault="00393176" w:rsidP="00140392">
      <w:pPr>
        <w:autoSpaceDE w:val="0"/>
        <w:autoSpaceDN w:val="0"/>
        <w:adjustRightInd w:val="0"/>
        <w:jc w:val="both"/>
        <w:rPr>
          <w:rFonts w:ascii="Times New Roman" w:hAnsi="Times New Roman" w:cs="Times New Roman"/>
          <w:sz w:val="22"/>
          <w:szCs w:val="22"/>
          <w:lang w:val="pt-BR"/>
        </w:rPr>
      </w:pPr>
      <w:r w:rsidRPr="00393176">
        <w:rPr>
          <w:rFonts w:ascii="Times New Roman" w:hAnsi="Times New Roman" w:cs="Times New Roman"/>
          <w:sz w:val="22"/>
          <w:szCs w:val="22"/>
          <w:lang w:val="pt-BR"/>
        </w:rPr>
        <w:t>Critérios diagnósticos de delirium - DSM-5:</w:t>
      </w:r>
    </w:p>
    <w:p w14:paraId="093A5CAC" w14:textId="1F01EC68" w:rsidR="00393176" w:rsidRDefault="00393176" w:rsidP="00140392">
      <w:pPr>
        <w:autoSpaceDE w:val="0"/>
        <w:autoSpaceDN w:val="0"/>
        <w:adjustRightInd w:val="0"/>
        <w:jc w:val="both"/>
        <w:rPr>
          <w:rFonts w:ascii="Times New Roman" w:hAnsi="Times New Roman" w:cs="Times New Roman"/>
          <w:sz w:val="22"/>
          <w:szCs w:val="22"/>
          <w:lang w:val="pt-BR"/>
        </w:rPr>
      </w:pPr>
    </w:p>
    <w:p w14:paraId="27D714EB" w14:textId="77777777" w:rsidR="00393176" w:rsidRPr="00393176" w:rsidRDefault="00393176" w:rsidP="00140392">
      <w:pPr>
        <w:autoSpaceDE w:val="0"/>
        <w:autoSpaceDN w:val="0"/>
        <w:adjustRightInd w:val="0"/>
        <w:jc w:val="both"/>
        <w:rPr>
          <w:rFonts w:ascii="Times New Roman" w:hAnsi="Times New Roman" w:cs="Times New Roman"/>
          <w:lang w:val="pt-BR"/>
        </w:rPr>
      </w:pPr>
    </w:p>
    <w:p w14:paraId="54F76707" w14:textId="3238652A" w:rsidR="00140392" w:rsidRDefault="00140392" w:rsidP="00140392">
      <w:pPr>
        <w:autoSpaceDE w:val="0"/>
        <w:autoSpaceDN w:val="0"/>
        <w:adjustRightInd w:val="0"/>
        <w:jc w:val="both"/>
        <w:rPr>
          <w:rFonts w:ascii="Times New Roman" w:hAnsi="Times New Roman" w:cs="Times New Roman"/>
          <w:lang w:val="pt-BR"/>
        </w:rPr>
      </w:pPr>
    </w:p>
    <w:p w14:paraId="388DCC22" w14:textId="32DCFFF5" w:rsidR="00140392" w:rsidRDefault="00140392" w:rsidP="00140392">
      <w:pPr>
        <w:autoSpaceDE w:val="0"/>
        <w:autoSpaceDN w:val="0"/>
        <w:adjustRightInd w:val="0"/>
        <w:jc w:val="both"/>
        <w:rPr>
          <w:rFonts w:ascii="Times New Roman" w:hAnsi="Times New Roman" w:cs="Times New Roman"/>
          <w:lang w:val="pt-BR"/>
        </w:rPr>
      </w:pPr>
    </w:p>
    <w:p w14:paraId="6354180B" w14:textId="03C14403" w:rsidR="00140392" w:rsidRDefault="00393176"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Fisiopatologia: </w:t>
      </w:r>
    </w:p>
    <w:p w14:paraId="285AC823" w14:textId="3DBC9E2A" w:rsidR="00393176" w:rsidRDefault="00393176" w:rsidP="00140392">
      <w:pPr>
        <w:autoSpaceDE w:val="0"/>
        <w:autoSpaceDN w:val="0"/>
        <w:adjustRightInd w:val="0"/>
        <w:jc w:val="both"/>
        <w:rPr>
          <w:rFonts w:ascii="Times New Roman" w:hAnsi="Times New Roman" w:cs="Times New Roman"/>
          <w:lang w:val="pt-BR"/>
        </w:rPr>
      </w:pPr>
    </w:p>
    <w:p w14:paraId="080C749F" w14:textId="28F4A99F" w:rsid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t xml:space="preserve">A dopamina, </w:t>
      </w:r>
      <w:proofErr w:type="spellStart"/>
      <w:r w:rsidRPr="00393176">
        <w:rPr>
          <w:rFonts w:ascii="Times New Roman" w:hAnsi="Times New Roman" w:cs="Times New Roman"/>
          <w:lang w:val="pt-BR"/>
        </w:rPr>
        <w:t>norepinefrina</w:t>
      </w:r>
      <w:proofErr w:type="spellEnd"/>
      <w:r w:rsidRPr="00393176">
        <w:rPr>
          <w:rFonts w:ascii="Times New Roman" w:hAnsi="Times New Roman" w:cs="Times New Roman"/>
          <w:lang w:val="pt-BR"/>
        </w:rPr>
        <w:t xml:space="preserve">, serotonina e melatonina, à semelhança do cortisol, participam na regulação do ciclo sono-vigília.[40] Com efeito, os distúrbios do sono são simultaneamente sintomas e causas de delirium,[2, 10, 21] tendo sido demonstrada uma diminuição dos níveis de melatonina em pacientes com delirium.[41] Alguns autores afirmam que uma desregulação nos níveis de melatonina pode explicar o termo </w:t>
      </w:r>
      <w:proofErr w:type="spellStart"/>
      <w:r w:rsidRPr="00393176">
        <w:rPr>
          <w:rFonts w:ascii="Times New Roman" w:hAnsi="Times New Roman" w:cs="Times New Roman"/>
          <w:lang w:val="pt-BR"/>
        </w:rPr>
        <w:t>sundowning</w:t>
      </w:r>
      <w:proofErr w:type="spellEnd"/>
      <w:r w:rsidRPr="00393176">
        <w:rPr>
          <w:rFonts w:ascii="Times New Roman" w:hAnsi="Times New Roman" w:cs="Times New Roman"/>
          <w:lang w:val="pt-BR"/>
        </w:rPr>
        <w:t>, em que as alterações comportamentais do delirium surgem sobretudo com a diminuição dos níveis de</w:t>
      </w:r>
      <w:r>
        <w:rPr>
          <w:rFonts w:ascii="Times New Roman" w:hAnsi="Times New Roman" w:cs="Times New Roman"/>
          <w:lang w:val="pt-BR"/>
        </w:rPr>
        <w:t xml:space="preserve"> </w:t>
      </w:r>
      <w:r w:rsidRPr="00393176">
        <w:rPr>
          <w:rFonts w:ascii="Times New Roman" w:hAnsi="Times New Roman" w:cs="Times New Roman"/>
          <w:lang w:val="pt-BR"/>
        </w:rPr>
        <w:t>luminosidade, aquando do aumento dos níveis de melatonina ao anoitecer.[2, 3, 39]</w:t>
      </w:r>
    </w:p>
    <w:p w14:paraId="4D1C1213" w14:textId="48EE5086" w:rsidR="00393176" w:rsidRDefault="00393176" w:rsidP="00393176">
      <w:pPr>
        <w:autoSpaceDE w:val="0"/>
        <w:autoSpaceDN w:val="0"/>
        <w:adjustRightInd w:val="0"/>
        <w:jc w:val="both"/>
        <w:rPr>
          <w:rFonts w:ascii="Times New Roman" w:hAnsi="Times New Roman" w:cs="Times New Roman"/>
          <w:lang w:val="pt-BR"/>
        </w:rPr>
      </w:pPr>
    </w:p>
    <w:p w14:paraId="7993F48D" w14:textId="3C19B730" w:rsidR="00393176" w:rsidRDefault="00393176" w:rsidP="00393176">
      <w:pPr>
        <w:autoSpaceDE w:val="0"/>
        <w:autoSpaceDN w:val="0"/>
        <w:adjustRightInd w:val="0"/>
        <w:jc w:val="both"/>
        <w:rPr>
          <w:rFonts w:ascii="Times New Roman" w:hAnsi="Times New Roman" w:cs="Times New Roman"/>
          <w:lang w:val="pt-BR"/>
        </w:rPr>
      </w:pPr>
    </w:p>
    <w:p w14:paraId="419590EB" w14:textId="579F0A67" w:rsidR="00393176" w:rsidRPr="00393176" w:rsidRDefault="00393176" w:rsidP="00393176">
      <w:pPr>
        <w:autoSpaceDE w:val="0"/>
        <w:autoSpaceDN w:val="0"/>
        <w:adjustRightInd w:val="0"/>
        <w:jc w:val="both"/>
        <w:rPr>
          <w:rFonts w:ascii="Times New Roman" w:hAnsi="Times New Roman" w:cs="Times New Roman"/>
          <w:lang w:val="pt-BR"/>
        </w:rPr>
      </w:pPr>
      <w:r w:rsidRPr="00393176">
        <w:rPr>
          <w:rFonts w:ascii="Times New Roman" w:hAnsi="Times New Roman" w:cs="Times New Roman"/>
          <w:lang w:val="pt-BR"/>
        </w:rPr>
        <w:lastRenderedPageBreak/>
        <w:t>Algumas substâncias têm efeito direto sobre os sistemas neurotransmissores, em particular, fármacos anticolinérgicos e dopaminérgicos.[20] É bem conhecido que os sintomas de delirium se correlacionam com os efeitos adversos destes fármacos.[3, 7, 31]</w:t>
      </w:r>
    </w:p>
    <w:p w14:paraId="13544409" w14:textId="79637AC7" w:rsidR="00140392" w:rsidRDefault="00140392" w:rsidP="00393176">
      <w:pPr>
        <w:autoSpaceDE w:val="0"/>
        <w:autoSpaceDN w:val="0"/>
        <w:adjustRightInd w:val="0"/>
        <w:jc w:val="both"/>
        <w:rPr>
          <w:rFonts w:ascii="Times New Roman" w:hAnsi="Times New Roman" w:cs="Times New Roman"/>
          <w:lang w:val="pt-BR"/>
        </w:rPr>
      </w:pPr>
    </w:p>
    <w:p w14:paraId="786A0B8B" w14:textId="1749B907" w:rsidR="00393176" w:rsidRDefault="00393176" w:rsidP="00393176">
      <w:pPr>
        <w:autoSpaceDE w:val="0"/>
        <w:autoSpaceDN w:val="0"/>
        <w:adjustRightInd w:val="0"/>
        <w:jc w:val="both"/>
        <w:rPr>
          <w:rFonts w:ascii="Times New Roman" w:hAnsi="Times New Roman" w:cs="Times New Roman"/>
          <w:lang w:val="pt-BR"/>
        </w:rPr>
      </w:pPr>
    </w:p>
    <w:p w14:paraId="024BF9D1" w14:textId="5B603AB8" w:rsidR="00393176" w:rsidRDefault="00964CCF" w:rsidP="00393176">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Etiologia: </w:t>
      </w:r>
    </w:p>
    <w:p w14:paraId="50597750" w14:textId="134305D7" w:rsidR="00964CCF" w:rsidRDefault="00964CCF" w:rsidP="00393176">
      <w:pPr>
        <w:autoSpaceDE w:val="0"/>
        <w:autoSpaceDN w:val="0"/>
        <w:adjustRightInd w:val="0"/>
        <w:jc w:val="both"/>
        <w:rPr>
          <w:rFonts w:ascii="Times New Roman" w:hAnsi="Times New Roman" w:cs="Times New Roman"/>
          <w:lang w:val="pt-BR"/>
        </w:rPr>
      </w:pPr>
    </w:p>
    <w:p w14:paraId="71B76794" w14:textId="28A944B9" w:rsidR="00964CCF" w:rsidRPr="00964CCF" w:rsidRDefault="00964CCF" w:rsidP="00964CCF">
      <w:pPr>
        <w:autoSpaceDE w:val="0"/>
        <w:autoSpaceDN w:val="0"/>
        <w:adjustRightInd w:val="0"/>
        <w:rPr>
          <w:rFonts w:ascii="Times New Roman" w:hAnsi="Times New Roman" w:cs="Times New Roman"/>
          <w:lang w:val="pt-BR"/>
        </w:rPr>
      </w:pPr>
      <w:r>
        <w:rPr>
          <w:rFonts w:ascii="Times New Roman" w:hAnsi="Times New Roman" w:cs="Times New Roman"/>
          <w:lang w:val="pt-BR"/>
        </w:rPr>
        <w:t>A</w:t>
      </w:r>
      <w:r w:rsidRPr="00964CCF">
        <w:rPr>
          <w:rFonts w:ascii="Times New Roman" w:hAnsi="Times New Roman" w:cs="Times New Roman"/>
          <w:lang w:val="pt-BR"/>
        </w:rPr>
        <w:t xml:space="preserve"> atribuição do diagnóstico de delirium pressupõe, após investigação etiológica apropriada, a especificação da etiologia presumível, esta que se poderá enquadrar numa de quatro categorias etiológicas:</w:t>
      </w:r>
    </w:p>
    <w:p w14:paraId="240D87E3"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1. Delirium devido a uma condição médica;</w:t>
      </w:r>
    </w:p>
    <w:p w14:paraId="3622E84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2. Delirium induzido por substância (efeitos adversos / intoxicação / abstinência);</w:t>
      </w:r>
    </w:p>
    <w:p w14:paraId="7434E8D1" w14:textId="77777777"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3. Delirium devido a múltiplas etiologias;</w:t>
      </w:r>
    </w:p>
    <w:p w14:paraId="0D43D16A" w14:textId="2CD486A6" w:rsidR="00964CCF" w:rsidRDefault="00964CCF" w:rsidP="00964CCF">
      <w:pPr>
        <w:autoSpaceDE w:val="0"/>
        <w:autoSpaceDN w:val="0"/>
        <w:adjustRightInd w:val="0"/>
        <w:jc w:val="both"/>
        <w:rPr>
          <w:rFonts w:ascii="Times New Roman" w:hAnsi="Times New Roman" w:cs="Times New Roman"/>
          <w:lang w:val="pt-BR"/>
        </w:rPr>
      </w:pPr>
      <w:r w:rsidRPr="003A0F42">
        <w:rPr>
          <w:rFonts w:ascii="Times New Roman" w:hAnsi="Times New Roman" w:cs="Times New Roman"/>
          <w:lang w:val="pt-BR"/>
        </w:rPr>
        <w:t>4. Delirium sem outra especificação.[16]</w:t>
      </w:r>
    </w:p>
    <w:p w14:paraId="24D66C25" w14:textId="00BE31FF" w:rsidR="00140392" w:rsidRDefault="00140392" w:rsidP="00140392">
      <w:pPr>
        <w:autoSpaceDE w:val="0"/>
        <w:autoSpaceDN w:val="0"/>
        <w:adjustRightInd w:val="0"/>
        <w:jc w:val="both"/>
        <w:rPr>
          <w:rFonts w:ascii="Times New Roman" w:hAnsi="Times New Roman" w:cs="Times New Roman"/>
          <w:lang w:val="pt-BR"/>
        </w:rPr>
      </w:pPr>
    </w:p>
    <w:p w14:paraId="1B90AD60" w14:textId="1857F606" w:rsidR="00964CCF" w:rsidRDefault="00964CCF" w:rsidP="00140392">
      <w:pPr>
        <w:autoSpaceDE w:val="0"/>
        <w:autoSpaceDN w:val="0"/>
        <w:adjustRightInd w:val="0"/>
        <w:jc w:val="both"/>
        <w:rPr>
          <w:rFonts w:ascii="Times New Roman" w:hAnsi="Times New Roman" w:cs="Times New Roman"/>
          <w:lang w:val="pt-BR"/>
        </w:rPr>
      </w:pPr>
    </w:p>
    <w:p w14:paraId="32AA02C8" w14:textId="0A9706A6"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Predisponentes</w:t>
      </w:r>
    </w:p>
    <w:p w14:paraId="293E064D"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0186015D" w14:textId="346B11CF" w:rsidR="00964CCF" w:rsidRDefault="00964CCF" w:rsidP="00964CCF">
      <w:pPr>
        <w:autoSpaceDE w:val="0"/>
        <w:autoSpaceDN w:val="0"/>
        <w:adjustRightInd w:val="0"/>
        <w:jc w:val="both"/>
        <w:rPr>
          <w:rFonts w:ascii="Times New Roman" w:hAnsi="Times New Roman" w:cs="Times New Roman"/>
          <w:lang w:val="pt-BR"/>
        </w:rPr>
      </w:pPr>
      <w:r w:rsidRPr="00964CCF">
        <w:rPr>
          <w:rFonts w:ascii="Times New Roman" w:hAnsi="Times New Roman" w:cs="Times New Roman"/>
          <w:lang w:val="pt-BR"/>
        </w:rPr>
        <w:t>Estudos têm demonstrado que, no idoso, os fatores de risco predisponentes (tabela 3)</w:t>
      </w:r>
      <w:r>
        <w:rPr>
          <w:rFonts w:ascii="Times New Roman" w:hAnsi="Times New Roman" w:cs="Times New Roman"/>
          <w:lang w:val="pt-BR"/>
        </w:rPr>
        <w:t xml:space="preserve"> </w:t>
      </w:r>
      <w:r w:rsidRPr="00964CCF">
        <w:rPr>
          <w:rFonts w:ascii="Times New Roman" w:hAnsi="Times New Roman" w:cs="Times New Roman"/>
          <w:lang w:val="pt-BR"/>
        </w:rPr>
        <w:t>tendem a ter uma contribuição mais significativa para o desenvolvimento de delirium do que</w:t>
      </w:r>
      <w:r>
        <w:rPr>
          <w:rFonts w:ascii="Times New Roman" w:hAnsi="Times New Roman" w:cs="Times New Roman"/>
          <w:lang w:val="pt-BR"/>
        </w:rPr>
        <w:t xml:space="preserve"> </w:t>
      </w:r>
      <w:r w:rsidRPr="00964CCF">
        <w:rPr>
          <w:rFonts w:ascii="Times New Roman" w:hAnsi="Times New Roman" w:cs="Times New Roman"/>
          <w:lang w:val="pt-BR"/>
        </w:rPr>
        <w:t>os fatores precipitantes.[43] A proporção de pacientes que desenvolve delirium é</w:t>
      </w:r>
      <w:r>
        <w:rPr>
          <w:rFonts w:ascii="Times New Roman" w:hAnsi="Times New Roman" w:cs="Times New Roman"/>
          <w:lang w:val="pt-BR"/>
        </w:rPr>
        <w:t xml:space="preserve"> </w:t>
      </w:r>
      <w:r w:rsidRPr="00964CCF">
        <w:rPr>
          <w:rFonts w:ascii="Times New Roman" w:hAnsi="Times New Roman" w:cs="Times New Roman"/>
          <w:lang w:val="pt-BR"/>
        </w:rPr>
        <w:t>diretamente proporcional ao número de fatores de risco presentes à admissão.[2]</w:t>
      </w:r>
    </w:p>
    <w:p w14:paraId="79511F08" w14:textId="38207BA7" w:rsidR="00140392" w:rsidRDefault="00140392" w:rsidP="00140392">
      <w:pPr>
        <w:autoSpaceDE w:val="0"/>
        <w:autoSpaceDN w:val="0"/>
        <w:adjustRightInd w:val="0"/>
        <w:jc w:val="both"/>
        <w:rPr>
          <w:rFonts w:ascii="Times New Roman" w:hAnsi="Times New Roman" w:cs="Times New Roman"/>
          <w:lang w:val="pt-BR"/>
        </w:rPr>
      </w:pPr>
    </w:p>
    <w:p w14:paraId="3832223D" w14:textId="77777777" w:rsidR="0050331C"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idade avançada </w:t>
      </w:r>
    </w:p>
    <w:p w14:paraId="1757CA87" w14:textId="621985FF" w:rsidR="00964CCF" w:rsidRDefault="0050331C"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r w:rsidR="00964CCF">
        <w:rPr>
          <w:rFonts w:ascii="Times New Roman" w:hAnsi="Times New Roman" w:cs="Times New Roman"/>
          <w:lang w:val="pt-BR"/>
        </w:rPr>
        <w:t>d</w:t>
      </w:r>
      <w:r>
        <w:rPr>
          <w:rFonts w:ascii="Times New Roman" w:hAnsi="Times New Roman" w:cs="Times New Roman"/>
          <w:lang w:val="pt-BR"/>
        </w:rPr>
        <w:t>é</w:t>
      </w:r>
      <w:r w:rsidR="00964CCF">
        <w:rPr>
          <w:rFonts w:ascii="Times New Roman" w:hAnsi="Times New Roman" w:cs="Times New Roman"/>
          <w:lang w:val="pt-BR"/>
        </w:rPr>
        <w:t>fice cognitivo</w:t>
      </w:r>
    </w:p>
    <w:p w14:paraId="655F5AF3" w14:textId="1B379E1F" w:rsidR="00964CCF" w:rsidRDefault="00964CCF" w:rsidP="00140392">
      <w:pPr>
        <w:autoSpaceDE w:val="0"/>
        <w:autoSpaceDN w:val="0"/>
        <w:adjustRightInd w:val="0"/>
        <w:jc w:val="both"/>
        <w:rPr>
          <w:rFonts w:ascii="Times New Roman" w:hAnsi="Times New Roman" w:cs="Times New Roman"/>
          <w:lang w:val="pt-BR"/>
        </w:rPr>
      </w:pPr>
      <w:r>
        <w:rPr>
          <w:rFonts w:ascii="Times New Roman" w:hAnsi="Times New Roman" w:cs="Times New Roman"/>
          <w:lang w:val="pt-BR"/>
        </w:rPr>
        <w:t xml:space="preserve">- </w:t>
      </w:r>
      <w:proofErr w:type="spellStart"/>
      <w:r>
        <w:rPr>
          <w:rFonts w:ascii="Times New Roman" w:hAnsi="Times New Roman" w:cs="Times New Roman"/>
          <w:lang w:val="pt-BR"/>
        </w:rPr>
        <w:t>pluripatologia</w:t>
      </w:r>
      <w:proofErr w:type="spellEnd"/>
      <w:r>
        <w:rPr>
          <w:rFonts w:ascii="Times New Roman" w:hAnsi="Times New Roman" w:cs="Times New Roman"/>
          <w:lang w:val="pt-BR"/>
        </w:rPr>
        <w:t xml:space="preserve"> </w:t>
      </w:r>
    </w:p>
    <w:p w14:paraId="3FB9CA94" w14:textId="559D55E6" w:rsidR="00964CCF" w:rsidRDefault="00964CCF" w:rsidP="00140392">
      <w:pPr>
        <w:autoSpaceDE w:val="0"/>
        <w:autoSpaceDN w:val="0"/>
        <w:adjustRightInd w:val="0"/>
        <w:jc w:val="both"/>
        <w:rPr>
          <w:rFonts w:ascii="Times New Roman" w:hAnsi="Times New Roman" w:cs="Times New Roman"/>
          <w:lang w:val="pt-BR"/>
        </w:rPr>
      </w:pPr>
    </w:p>
    <w:p w14:paraId="0FF532FF" w14:textId="4CB21D54" w:rsidR="00964CCF" w:rsidRDefault="00964CCF" w:rsidP="00140392">
      <w:pPr>
        <w:autoSpaceDE w:val="0"/>
        <w:autoSpaceDN w:val="0"/>
        <w:adjustRightInd w:val="0"/>
        <w:jc w:val="both"/>
        <w:rPr>
          <w:rFonts w:ascii="Times New Roman" w:hAnsi="Times New Roman" w:cs="Times New Roman"/>
          <w:lang w:val="pt-BR"/>
        </w:rPr>
      </w:pPr>
    </w:p>
    <w:p w14:paraId="76D6057E" w14:textId="33095BAD" w:rsid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Fatores Precipitantes</w:t>
      </w:r>
    </w:p>
    <w:p w14:paraId="5041B2B4" w14:textId="77777777" w:rsidR="00964CCF" w:rsidRPr="00964CCF" w:rsidRDefault="00964CCF" w:rsidP="00964CCF">
      <w:pPr>
        <w:autoSpaceDE w:val="0"/>
        <w:autoSpaceDN w:val="0"/>
        <w:adjustRightInd w:val="0"/>
        <w:rPr>
          <w:rFonts w:ascii="Times New Roman" w:hAnsi="Times New Roman" w:cs="Times New Roman"/>
          <w:sz w:val="28"/>
          <w:szCs w:val="28"/>
          <w:lang w:val="pt-BR"/>
        </w:rPr>
      </w:pPr>
    </w:p>
    <w:p w14:paraId="681BFE4C" w14:textId="090ED34B" w:rsid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 xml:space="preserve">Os fatores precipitantes (insultos agudos) são aqueles que </w:t>
      </w:r>
      <w:proofErr w:type="spellStart"/>
      <w:r w:rsidRPr="00964CCF">
        <w:rPr>
          <w:rFonts w:ascii="Times New Roman" w:hAnsi="Times New Roman" w:cs="Times New Roman"/>
          <w:lang w:val="pt-BR"/>
        </w:rPr>
        <w:t>accionam</w:t>
      </w:r>
      <w:proofErr w:type="spellEnd"/>
      <w:r w:rsidRPr="00964CCF">
        <w:rPr>
          <w:rFonts w:ascii="Times New Roman" w:hAnsi="Times New Roman" w:cs="Times New Roman"/>
          <w:lang w:val="pt-BR"/>
        </w:rPr>
        <w:t xml:space="preserve"> os mecanismos fisiopatológicos do delirium.[2, 33]</w:t>
      </w:r>
    </w:p>
    <w:p w14:paraId="18CC96C0" w14:textId="7BC0078F" w:rsidR="00964CCF" w:rsidRDefault="00964CCF" w:rsidP="00964CCF">
      <w:pPr>
        <w:autoSpaceDE w:val="0"/>
        <w:autoSpaceDN w:val="0"/>
        <w:adjustRightInd w:val="0"/>
        <w:rPr>
          <w:rFonts w:ascii="Times New Roman" w:hAnsi="Times New Roman" w:cs="Times New Roman"/>
          <w:lang w:val="pt-BR"/>
        </w:rPr>
      </w:pPr>
    </w:p>
    <w:p w14:paraId="10EEE18D" w14:textId="374FA794" w:rsidR="00964CCF" w:rsidRDefault="00964CCF" w:rsidP="00964CCF">
      <w:pPr>
        <w:autoSpaceDE w:val="0"/>
        <w:autoSpaceDN w:val="0"/>
        <w:adjustRightInd w:val="0"/>
        <w:rPr>
          <w:rFonts w:ascii="Times New Roman" w:hAnsi="Times New Roman" w:cs="Times New Roman"/>
          <w:lang w:val="pt-BR"/>
        </w:rPr>
      </w:pPr>
    </w:p>
    <w:p w14:paraId="72A3DFD3" w14:textId="77777777" w:rsidR="00964CCF" w:rsidRPr="00964CCF" w:rsidRDefault="00964CCF" w:rsidP="00964CCF">
      <w:pPr>
        <w:autoSpaceDE w:val="0"/>
        <w:autoSpaceDN w:val="0"/>
        <w:adjustRightInd w:val="0"/>
        <w:rPr>
          <w:rFonts w:ascii="Times New Roman" w:hAnsi="Times New Roman" w:cs="Times New Roman"/>
          <w:sz w:val="28"/>
          <w:szCs w:val="28"/>
          <w:lang w:val="pt-BR"/>
        </w:rPr>
      </w:pPr>
      <w:r w:rsidRPr="00964CCF">
        <w:rPr>
          <w:rFonts w:ascii="Times New Roman" w:hAnsi="Times New Roman" w:cs="Times New Roman"/>
          <w:sz w:val="28"/>
          <w:szCs w:val="28"/>
          <w:lang w:val="pt-BR"/>
        </w:rPr>
        <w:t>Delirium induzido por substância</w:t>
      </w:r>
    </w:p>
    <w:p w14:paraId="05DCABF1" w14:textId="1EA9A583" w:rsidR="00964CCF" w:rsidRPr="00964CCF" w:rsidRDefault="00964CCF" w:rsidP="00964CCF">
      <w:pPr>
        <w:autoSpaceDE w:val="0"/>
        <w:autoSpaceDN w:val="0"/>
        <w:adjustRightInd w:val="0"/>
        <w:rPr>
          <w:rFonts w:ascii="Times New Roman" w:hAnsi="Times New Roman" w:cs="Times New Roman"/>
          <w:lang w:val="pt-BR"/>
        </w:rPr>
      </w:pPr>
      <w:r w:rsidRPr="00964CCF">
        <w:rPr>
          <w:rFonts w:ascii="Times New Roman" w:hAnsi="Times New Roman" w:cs="Times New Roman"/>
          <w:lang w:val="pt-BR"/>
        </w:rPr>
        <w:t>Os fármacos são o factor mais comummente implicado no delirium nos idosos, até 40% dos casos,[38, 52] tanto como factor predisponente como precipitante.[53] É simultaneamente a causa mais facilmente reversível.[53]</w:t>
      </w:r>
    </w:p>
    <w:p w14:paraId="567F030B" w14:textId="61A49110" w:rsidR="00140392" w:rsidRDefault="00140392" w:rsidP="00140392">
      <w:pPr>
        <w:autoSpaceDE w:val="0"/>
        <w:autoSpaceDN w:val="0"/>
        <w:adjustRightInd w:val="0"/>
        <w:jc w:val="both"/>
        <w:rPr>
          <w:rFonts w:ascii="Times New Roman" w:hAnsi="Times New Roman" w:cs="Times New Roman"/>
          <w:lang w:val="pt-BR"/>
        </w:rPr>
      </w:pPr>
    </w:p>
    <w:p w14:paraId="015E0B60" w14:textId="0FE71F52" w:rsidR="00140392" w:rsidRDefault="00140392" w:rsidP="00140392">
      <w:pPr>
        <w:autoSpaceDE w:val="0"/>
        <w:autoSpaceDN w:val="0"/>
        <w:adjustRightInd w:val="0"/>
        <w:jc w:val="both"/>
        <w:rPr>
          <w:rFonts w:ascii="Times New Roman" w:hAnsi="Times New Roman" w:cs="Times New Roman"/>
          <w:lang w:val="pt-BR"/>
        </w:rPr>
      </w:pPr>
    </w:p>
    <w:p w14:paraId="30A93E2B" w14:textId="67C2D17F" w:rsidR="00140392" w:rsidRDefault="00140392" w:rsidP="00140392">
      <w:pPr>
        <w:autoSpaceDE w:val="0"/>
        <w:autoSpaceDN w:val="0"/>
        <w:adjustRightInd w:val="0"/>
        <w:jc w:val="both"/>
        <w:rPr>
          <w:rFonts w:ascii="Times New Roman" w:hAnsi="Times New Roman" w:cs="Times New Roman"/>
          <w:lang w:val="pt-BR"/>
        </w:rPr>
      </w:pPr>
    </w:p>
    <w:p w14:paraId="37EBDD7A" w14:textId="6E9C5581" w:rsidR="00140392" w:rsidRDefault="00140392" w:rsidP="00140392">
      <w:pPr>
        <w:autoSpaceDE w:val="0"/>
        <w:autoSpaceDN w:val="0"/>
        <w:adjustRightInd w:val="0"/>
        <w:jc w:val="both"/>
        <w:rPr>
          <w:rFonts w:ascii="Times New Roman" w:hAnsi="Times New Roman" w:cs="Times New Roman"/>
          <w:lang w:val="pt-BR"/>
        </w:rPr>
      </w:pPr>
    </w:p>
    <w:p w14:paraId="7E891AF0" w14:textId="6CDB6ABC" w:rsidR="00140392" w:rsidRDefault="00140392" w:rsidP="00140392">
      <w:pPr>
        <w:autoSpaceDE w:val="0"/>
        <w:autoSpaceDN w:val="0"/>
        <w:adjustRightInd w:val="0"/>
        <w:jc w:val="both"/>
        <w:rPr>
          <w:rFonts w:ascii="Times New Roman" w:hAnsi="Times New Roman" w:cs="Times New Roman"/>
          <w:lang w:val="pt-BR"/>
        </w:rPr>
      </w:pPr>
    </w:p>
    <w:p w14:paraId="389AB0BF" w14:textId="217B725F" w:rsidR="00140392" w:rsidRDefault="00140392" w:rsidP="00140392">
      <w:pPr>
        <w:autoSpaceDE w:val="0"/>
        <w:autoSpaceDN w:val="0"/>
        <w:adjustRightInd w:val="0"/>
        <w:jc w:val="both"/>
        <w:rPr>
          <w:rFonts w:ascii="Times New Roman" w:hAnsi="Times New Roman" w:cs="Times New Roman"/>
          <w:lang w:val="pt-BR"/>
        </w:rPr>
      </w:pPr>
    </w:p>
    <w:p w14:paraId="17DF57F8" w14:textId="6E3E7412" w:rsidR="00140392" w:rsidRDefault="00140392" w:rsidP="00140392">
      <w:pPr>
        <w:autoSpaceDE w:val="0"/>
        <w:autoSpaceDN w:val="0"/>
        <w:adjustRightInd w:val="0"/>
        <w:jc w:val="both"/>
        <w:rPr>
          <w:rFonts w:ascii="Times New Roman" w:hAnsi="Times New Roman" w:cs="Times New Roman"/>
          <w:lang w:val="pt-BR"/>
        </w:rPr>
      </w:pPr>
    </w:p>
    <w:p w14:paraId="6CF7D278" w14:textId="7A523037" w:rsidR="00140392" w:rsidRDefault="00140392" w:rsidP="00140392">
      <w:pPr>
        <w:autoSpaceDE w:val="0"/>
        <w:autoSpaceDN w:val="0"/>
        <w:adjustRightInd w:val="0"/>
        <w:jc w:val="both"/>
        <w:rPr>
          <w:rFonts w:ascii="Times New Roman" w:hAnsi="Times New Roman" w:cs="Times New Roman"/>
          <w:lang w:val="pt-BR"/>
        </w:rPr>
      </w:pPr>
    </w:p>
    <w:p w14:paraId="3E109A1A" w14:textId="1DF4B57C" w:rsidR="00140392" w:rsidRDefault="00140392" w:rsidP="00140392">
      <w:pPr>
        <w:autoSpaceDE w:val="0"/>
        <w:autoSpaceDN w:val="0"/>
        <w:adjustRightInd w:val="0"/>
        <w:jc w:val="both"/>
        <w:rPr>
          <w:rFonts w:ascii="Times New Roman" w:hAnsi="Times New Roman" w:cs="Times New Roman"/>
          <w:lang w:val="pt-BR"/>
        </w:rPr>
      </w:pPr>
    </w:p>
    <w:p w14:paraId="4FE307F3" w14:textId="53B4CE11" w:rsidR="00140392" w:rsidRDefault="00140392" w:rsidP="00140392">
      <w:pPr>
        <w:autoSpaceDE w:val="0"/>
        <w:autoSpaceDN w:val="0"/>
        <w:adjustRightInd w:val="0"/>
        <w:jc w:val="both"/>
        <w:rPr>
          <w:rFonts w:ascii="Times New Roman" w:hAnsi="Times New Roman" w:cs="Times New Roman"/>
          <w:lang w:val="pt-BR"/>
        </w:rPr>
      </w:pPr>
    </w:p>
    <w:p w14:paraId="5A524561" w14:textId="213C86F6" w:rsidR="00140392" w:rsidRDefault="00140392" w:rsidP="00140392">
      <w:pPr>
        <w:autoSpaceDE w:val="0"/>
        <w:autoSpaceDN w:val="0"/>
        <w:adjustRightInd w:val="0"/>
        <w:jc w:val="both"/>
        <w:rPr>
          <w:rFonts w:ascii="Times New Roman" w:hAnsi="Times New Roman" w:cs="Times New Roman"/>
          <w:lang w:val="pt-BR"/>
        </w:rPr>
      </w:pPr>
    </w:p>
    <w:p w14:paraId="2A125459" w14:textId="1C3AB107" w:rsidR="00140392" w:rsidRDefault="00140392" w:rsidP="00140392">
      <w:pPr>
        <w:autoSpaceDE w:val="0"/>
        <w:autoSpaceDN w:val="0"/>
        <w:adjustRightInd w:val="0"/>
        <w:jc w:val="both"/>
        <w:rPr>
          <w:rFonts w:ascii="Times New Roman" w:hAnsi="Times New Roman" w:cs="Times New Roman"/>
          <w:lang w:val="pt-BR"/>
        </w:rPr>
      </w:pPr>
    </w:p>
    <w:p w14:paraId="12A61317" w14:textId="08372004" w:rsidR="00140392" w:rsidRDefault="00140392" w:rsidP="00140392">
      <w:pPr>
        <w:autoSpaceDE w:val="0"/>
        <w:autoSpaceDN w:val="0"/>
        <w:adjustRightInd w:val="0"/>
        <w:jc w:val="both"/>
        <w:rPr>
          <w:rFonts w:ascii="Times New Roman" w:hAnsi="Times New Roman" w:cs="Times New Roman"/>
          <w:lang w:val="pt-BR"/>
        </w:rPr>
      </w:pPr>
    </w:p>
    <w:p w14:paraId="45D3F7F1" w14:textId="6FDBC51F" w:rsidR="00140392" w:rsidRDefault="00140392" w:rsidP="00140392">
      <w:pPr>
        <w:autoSpaceDE w:val="0"/>
        <w:autoSpaceDN w:val="0"/>
        <w:adjustRightInd w:val="0"/>
        <w:jc w:val="both"/>
        <w:rPr>
          <w:rFonts w:ascii="Times New Roman" w:hAnsi="Times New Roman" w:cs="Times New Roman"/>
          <w:lang w:val="pt-BR"/>
        </w:rPr>
      </w:pPr>
    </w:p>
    <w:p w14:paraId="5D2617AB" w14:textId="1966DA0F" w:rsidR="00140392" w:rsidRDefault="00140392" w:rsidP="00140392">
      <w:pPr>
        <w:autoSpaceDE w:val="0"/>
        <w:autoSpaceDN w:val="0"/>
        <w:adjustRightInd w:val="0"/>
        <w:jc w:val="both"/>
        <w:rPr>
          <w:rFonts w:ascii="Times New Roman" w:hAnsi="Times New Roman" w:cs="Times New Roman"/>
          <w:lang w:val="pt-BR"/>
        </w:rPr>
      </w:pPr>
    </w:p>
    <w:p w14:paraId="19C82A3F" w14:textId="2F098097" w:rsidR="00140392" w:rsidRDefault="00140392" w:rsidP="00140392">
      <w:pPr>
        <w:autoSpaceDE w:val="0"/>
        <w:autoSpaceDN w:val="0"/>
        <w:adjustRightInd w:val="0"/>
        <w:jc w:val="both"/>
        <w:rPr>
          <w:rFonts w:ascii="Times New Roman" w:hAnsi="Times New Roman" w:cs="Times New Roman"/>
          <w:lang w:val="pt-BR"/>
        </w:rPr>
      </w:pPr>
    </w:p>
    <w:p w14:paraId="1A96E232" w14:textId="29705AA1" w:rsidR="00140392" w:rsidRDefault="00140392" w:rsidP="00140392">
      <w:pPr>
        <w:autoSpaceDE w:val="0"/>
        <w:autoSpaceDN w:val="0"/>
        <w:adjustRightInd w:val="0"/>
        <w:jc w:val="both"/>
        <w:rPr>
          <w:rFonts w:ascii="Times New Roman" w:hAnsi="Times New Roman" w:cs="Times New Roman"/>
          <w:lang w:val="pt-BR"/>
        </w:rPr>
      </w:pPr>
    </w:p>
    <w:p w14:paraId="56518A62" w14:textId="1136BEC6" w:rsidR="00140392" w:rsidRDefault="00140392" w:rsidP="00140392">
      <w:pPr>
        <w:autoSpaceDE w:val="0"/>
        <w:autoSpaceDN w:val="0"/>
        <w:adjustRightInd w:val="0"/>
        <w:jc w:val="both"/>
        <w:rPr>
          <w:rFonts w:ascii="Times New Roman" w:hAnsi="Times New Roman" w:cs="Times New Roman"/>
          <w:lang w:val="pt-BR"/>
        </w:rPr>
      </w:pPr>
    </w:p>
    <w:p w14:paraId="7C417E5A" w14:textId="77994D62" w:rsidR="00140392" w:rsidRDefault="00140392" w:rsidP="00140392">
      <w:pPr>
        <w:autoSpaceDE w:val="0"/>
        <w:autoSpaceDN w:val="0"/>
        <w:adjustRightInd w:val="0"/>
        <w:jc w:val="both"/>
        <w:rPr>
          <w:rFonts w:ascii="Times New Roman" w:hAnsi="Times New Roman" w:cs="Times New Roman"/>
          <w:lang w:val="pt-BR"/>
        </w:rPr>
      </w:pPr>
    </w:p>
    <w:p w14:paraId="4F3AB132" w14:textId="19ACAA1A" w:rsidR="00140392" w:rsidRDefault="00140392" w:rsidP="00140392">
      <w:pPr>
        <w:autoSpaceDE w:val="0"/>
        <w:autoSpaceDN w:val="0"/>
        <w:adjustRightInd w:val="0"/>
        <w:jc w:val="both"/>
        <w:rPr>
          <w:rFonts w:ascii="Times New Roman" w:hAnsi="Times New Roman" w:cs="Times New Roman"/>
          <w:lang w:val="pt-BR"/>
        </w:rPr>
      </w:pPr>
    </w:p>
    <w:p w14:paraId="1006603F" w14:textId="5FA6F839" w:rsidR="00140392" w:rsidRDefault="00140392" w:rsidP="00140392">
      <w:pPr>
        <w:autoSpaceDE w:val="0"/>
        <w:autoSpaceDN w:val="0"/>
        <w:adjustRightInd w:val="0"/>
        <w:jc w:val="both"/>
        <w:rPr>
          <w:rFonts w:ascii="Times New Roman" w:hAnsi="Times New Roman" w:cs="Times New Roman"/>
          <w:lang w:val="pt-BR"/>
        </w:rPr>
      </w:pPr>
    </w:p>
    <w:p w14:paraId="238D8A69" w14:textId="77777777" w:rsidR="00140392" w:rsidRPr="00140392" w:rsidRDefault="00140392" w:rsidP="00140392">
      <w:pPr>
        <w:autoSpaceDE w:val="0"/>
        <w:autoSpaceDN w:val="0"/>
        <w:adjustRightInd w:val="0"/>
        <w:jc w:val="both"/>
        <w:rPr>
          <w:rFonts w:ascii="Times New Roman" w:hAnsi="Times New Roman" w:cs="Times New Roman"/>
          <w:lang w:val="pt-BR"/>
        </w:rPr>
      </w:pPr>
    </w:p>
    <w:p w14:paraId="508AC6AB" w14:textId="2CD80F16" w:rsidR="000A10C0" w:rsidRDefault="000A10C0" w:rsidP="000A10C0">
      <w:pPr>
        <w:autoSpaceDE w:val="0"/>
        <w:autoSpaceDN w:val="0"/>
        <w:adjustRightInd w:val="0"/>
        <w:rPr>
          <w:rFonts w:ascii="Times New Roman" w:hAnsi="Times New Roman" w:cs="Times New Roman"/>
          <w:sz w:val="45"/>
          <w:szCs w:val="45"/>
          <w:lang w:val="pt-BR"/>
        </w:rPr>
      </w:pPr>
    </w:p>
    <w:p w14:paraId="77C77E9A" w14:textId="3B50E251" w:rsidR="00140392" w:rsidRDefault="00140392" w:rsidP="000A10C0">
      <w:pPr>
        <w:autoSpaceDE w:val="0"/>
        <w:autoSpaceDN w:val="0"/>
        <w:adjustRightInd w:val="0"/>
        <w:rPr>
          <w:rFonts w:ascii="Times New Roman" w:hAnsi="Times New Roman" w:cs="Times New Roman"/>
          <w:sz w:val="45"/>
          <w:szCs w:val="45"/>
          <w:lang w:val="pt-BR"/>
        </w:rPr>
      </w:pPr>
    </w:p>
    <w:p w14:paraId="29070762" w14:textId="0DB2F8CC" w:rsidR="00140392" w:rsidRDefault="00140392" w:rsidP="000A10C0">
      <w:pPr>
        <w:autoSpaceDE w:val="0"/>
        <w:autoSpaceDN w:val="0"/>
        <w:adjustRightInd w:val="0"/>
        <w:rPr>
          <w:rFonts w:ascii="Times New Roman" w:hAnsi="Times New Roman" w:cs="Times New Roman"/>
          <w:sz w:val="45"/>
          <w:szCs w:val="45"/>
          <w:lang w:val="pt-BR"/>
        </w:rPr>
      </w:pPr>
    </w:p>
    <w:p w14:paraId="25FF5472" w14:textId="77777777" w:rsidR="00140392" w:rsidRPr="000A10C0" w:rsidRDefault="00140392" w:rsidP="000A10C0">
      <w:pPr>
        <w:autoSpaceDE w:val="0"/>
        <w:autoSpaceDN w:val="0"/>
        <w:adjustRightInd w:val="0"/>
        <w:rPr>
          <w:rFonts w:ascii="Times New Roman" w:hAnsi="Times New Roman" w:cs="Times New Roman"/>
          <w:sz w:val="45"/>
          <w:szCs w:val="45"/>
          <w:lang w:val="pt-BR"/>
        </w:rPr>
      </w:pPr>
    </w:p>
    <w:p w14:paraId="4D47CB16" w14:textId="5646E32F" w:rsidR="000A10C0" w:rsidRPr="000A10C0" w:rsidRDefault="000A10C0" w:rsidP="00E02720">
      <w:pPr>
        <w:autoSpaceDE w:val="0"/>
        <w:autoSpaceDN w:val="0"/>
        <w:adjustRightInd w:val="0"/>
        <w:rPr>
          <w:rFonts w:ascii="Times New Roman" w:hAnsi="Times New Roman" w:cs="Times New Roman"/>
          <w:sz w:val="45"/>
          <w:szCs w:val="45"/>
          <w:lang w:val="pt-BR"/>
        </w:rPr>
      </w:pPr>
    </w:p>
    <w:p w14:paraId="788653E5" w14:textId="544D5F84" w:rsidR="000A10C0" w:rsidRPr="000A10C0" w:rsidRDefault="000A10C0" w:rsidP="00E02720">
      <w:pPr>
        <w:autoSpaceDE w:val="0"/>
        <w:autoSpaceDN w:val="0"/>
        <w:adjustRightInd w:val="0"/>
        <w:rPr>
          <w:rFonts w:ascii="Times New Roman" w:hAnsi="Times New Roman" w:cs="Times New Roman"/>
          <w:sz w:val="45"/>
          <w:szCs w:val="45"/>
          <w:lang w:val="pt-BR"/>
        </w:rPr>
      </w:pPr>
    </w:p>
    <w:p w14:paraId="37563760" w14:textId="01973159" w:rsidR="000A10C0" w:rsidRPr="000A10C0" w:rsidRDefault="000A10C0" w:rsidP="00E02720">
      <w:pPr>
        <w:autoSpaceDE w:val="0"/>
        <w:autoSpaceDN w:val="0"/>
        <w:adjustRightInd w:val="0"/>
        <w:rPr>
          <w:rFonts w:ascii="Times New Roman" w:hAnsi="Times New Roman" w:cs="Times New Roman"/>
          <w:sz w:val="45"/>
          <w:szCs w:val="45"/>
          <w:lang w:val="pt-BR"/>
        </w:rPr>
      </w:pPr>
    </w:p>
    <w:p w14:paraId="204CE426" w14:textId="40D93DDA" w:rsidR="000A10C0" w:rsidRPr="000A10C0" w:rsidRDefault="000A10C0" w:rsidP="00E02720">
      <w:pPr>
        <w:autoSpaceDE w:val="0"/>
        <w:autoSpaceDN w:val="0"/>
        <w:adjustRightInd w:val="0"/>
        <w:rPr>
          <w:rFonts w:ascii="Times New Roman" w:hAnsi="Times New Roman" w:cs="Times New Roman"/>
          <w:sz w:val="45"/>
          <w:szCs w:val="45"/>
          <w:lang w:val="pt-BR"/>
        </w:rPr>
      </w:pPr>
    </w:p>
    <w:p w14:paraId="6926B470" w14:textId="0CE525ED" w:rsidR="000A10C0" w:rsidRPr="000A10C0" w:rsidRDefault="000A10C0" w:rsidP="00E02720">
      <w:pPr>
        <w:autoSpaceDE w:val="0"/>
        <w:autoSpaceDN w:val="0"/>
        <w:adjustRightInd w:val="0"/>
        <w:rPr>
          <w:rFonts w:ascii="Times New Roman" w:hAnsi="Times New Roman" w:cs="Times New Roman"/>
          <w:sz w:val="45"/>
          <w:szCs w:val="45"/>
          <w:lang w:val="pt-BR"/>
        </w:rPr>
      </w:pPr>
    </w:p>
    <w:p w14:paraId="4DECA487" w14:textId="0A70A810" w:rsidR="000A10C0" w:rsidRPr="000A10C0" w:rsidRDefault="000A10C0" w:rsidP="00E02720">
      <w:pPr>
        <w:autoSpaceDE w:val="0"/>
        <w:autoSpaceDN w:val="0"/>
        <w:adjustRightInd w:val="0"/>
        <w:rPr>
          <w:rFonts w:ascii="Times New Roman" w:hAnsi="Times New Roman" w:cs="Times New Roman"/>
          <w:sz w:val="45"/>
          <w:szCs w:val="45"/>
          <w:lang w:val="pt-BR"/>
        </w:rPr>
      </w:pPr>
    </w:p>
    <w:p w14:paraId="1EEC1933"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p w14:paraId="5C9CDE4D" w14:textId="77777777" w:rsidR="000A10C0" w:rsidRPr="000A10C0" w:rsidRDefault="000A10C0" w:rsidP="00E02720">
      <w:pPr>
        <w:autoSpaceDE w:val="0"/>
        <w:autoSpaceDN w:val="0"/>
        <w:adjustRightInd w:val="0"/>
        <w:rPr>
          <w:rFonts w:ascii="Times New Roman" w:hAnsi="Times New Roman" w:cs="Times New Roman"/>
          <w:sz w:val="45"/>
          <w:szCs w:val="45"/>
          <w:lang w:val="pt-BR"/>
        </w:rPr>
      </w:pPr>
    </w:p>
    <w:sectPr w:rsidR="000A10C0" w:rsidRPr="000A10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B7212" w14:textId="77777777" w:rsidR="00652C9D" w:rsidRDefault="00652C9D" w:rsidP="000A10C0">
      <w:r>
        <w:separator/>
      </w:r>
    </w:p>
  </w:endnote>
  <w:endnote w:type="continuationSeparator" w:id="0">
    <w:p w14:paraId="02E37256" w14:textId="77777777" w:rsidR="00652C9D" w:rsidRDefault="00652C9D" w:rsidP="000A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ƒ^≈'E5˛">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7A34B" w14:textId="77777777" w:rsidR="00652C9D" w:rsidRDefault="00652C9D" w:rsidP="000A10C0">
      <w:r>
        <w:separator/>
      </w:r>
    </w:p>
  </w:footnote>
  <w:footnote w:type="continuationSeparator" w:id="0">
    <w:p w14:paraId="43569F3B" w14:textId="77777777" w:rsidR="00652C9D" w:rsidRDefault="00652C9D" w:rsidP="000A1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9"/>
    <w:rsid w:val="00096118"/>
    <w:rsid w:val="000A10C0"/>
    <w:rsid w:val="00140392"/>
    <w:rsid w:val="00231D59"/>
    <w:rsid w:val="0030569A"/>
    <w:rsid w:val="00365F84"/>
    <w:rsid w:val="00382D94"/>
    <w:rsid w:val="00393176"/>
    <w:rsid w:val="003A0F42"/>
    <w:rsid w:val="004D67E6"/>
    <w:rsid w:val="0050331C"/>
    <w:rsid w:val="005C1BAE"/>
    <w:rsid w:val="00632DEE"/>
    <w:rsid w:val="00652C9D"/>
    <w:rsid w:val="006956C3"/>
    <w:rsid w:val="00715777"/>
    <w:rsid w:val="00746011"/>
    <w:rsid w:val="007B7839"/>
    <w:rsid w:val="007D6505"/>
    <w:rsid w:val="00964CCF"/>
    <w:rsid w:val="00AA07D9"/>
    <w:rsid w:val="00B15449"/>
    <w:rsid w:val="00B61E7E"/>
    <w:rsid w:val="00B62C62"/>
    <w:rsid w:val="00B951D7"/>
    <w:rsid w:val="00BB4EFB"/>
    <w:rsid w:val="00C6690A"/>
    <w:rsid w:val="00D04BC9"/>
    <w:rsid w:val="00D20C22"/>
    <w:rsid w:val="00E02720"/>
    <w:rsid w:val="00E17083"/>
    <w:rsid w:val="00F35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AAE"/>
  <w15:chartTrackingRefBased/>
  <w15:docId w15:val="{B4869649-6705-6542-A61A-5CECEC28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7D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0A10C0"/>
    <w:pPr>
      <w:tabs>
        <w:tab w:val="center" w:pos="4513"/>
        <w:tab w:val="right" w:pos="9026"/>
      </w:tabs>
    </w:pPr>
  </w:style>
  <w:style w:type="character" w:customStyle="1" w:styleId="HeaderChar">
    <w:name w:val="Header Char"/>
    <w:basedOn w:val="DefaultParagraphFont"/>
    <w:link w:val="Header"/>
    <w:uiPriority w:val="99"/>
    <w:rsid w:val="000A10C0"/>
  </w:style>
  <w:style w:type="paragraph" w:styleId="Footer">
    <w:name w:val="footer"/>
    <w:basedOn w:val="Normal"/>
    <w:link w:val="FooterChar"/>
    <w:uiPriority w:val="99"/>
    <w:unhideWhenUsed/>
    <w:rsid w:val="000A10C0"/>
    <w:pPr>
      <w:tabs>
        <w:tab w:val="center" w:pos="4513"/>
        <w:tab w:val="right" w:pos="9026"/>
      </w:tabs>
    </w:pPr>
  </w:style>
  <w:style w:type="character" w:customStyle="1" w:styleId="FooterChar">
    <w:name w:val="Footer Char"/>
    <w:basedOn w:val="DefaultParagraphFont"/>
    <w:link w:val="Footer"/>
    <w:uiPriority w:val="99"/>
    <w:rsid w:val="000A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A784-B20C-F342-9061-272690B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10518</Words>
  <Characters>59957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5</cp:revision>
  <dcterms:created xsi:type="dcterms:W3CDTF">2021-03-17T16:42:00Z</dcterms:created>
  <dcterms:modified xsi:type="dcterms:W3CDTF">2021-03-23T11:03:00Z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