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07A6" w14:textId="6B87AF8C" w:rsidR="00096A3D" w:rsidRPr="00BC614D" w:rsidRDefault="00096A3D">
      <w:pPr>
        <w:rPr>
          <w:rFonts w:asciiTheme="minorHAnsi" w:hAnsiTheme="minorHAnsi" w:cstheme="minorHAnsi"/>
          <w:sz w:val="22"/>
          <w:szCs w:val="22"/>
        </w:rPr>
      </w:pPr>
      <w:r w:rsidRPr="00BC614D">
        <w:rPr>
          <w:rFonts w:asciiTheme="minorHAnsi" w:hAnsiTheme="minorHAnsi" w:cstheme="minorHAnsi"/>
          <w:sz w:val="22"/>
          <w:szCs w:val="22"/>
        </w:rPr>
        <w:t>Description</w:t>
      </w:r>
    </w:p>
    <w:p w14:paraId="6D7A320E" w14:textId="7F0621FF" w:rsidR="00096A3D" w:rsidRPr="00BC614D" w:rsidRDefault="00AC7BF4" w:rsidP="00E14C3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 genus Drosophila has been used as a model to study m</w:t>
      </w:r>
      <w:r w:rsid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etabolic rates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and its</w:t>
      </w:r>
      <w:r w:rsidR="00BC614D">
        <w:rPr>
          <w:rFonts w:asciiTheme="minorHAnsi" w:hAnsiTheme="minorHAnsi" w:cstheme="minorHAnsi"/>
          <w:sz w:val="22"/>
          <w:szCs w:val="22"/>
        </w:rPr>
        <w:t xml:space="preserve"> relationship </w:t>
      </w:r>
      <w:commentRangeStart w:id="0"/>
      <w:r w:rsidR="00BC614D">
        <w:rPr>
          <w:rFonts w:asciiTheme="minorHAnsi" w:hAnsiTheme="minorHAnsi" w:cstheme="minorHAnsi"/>
          <w:sz w:val="22"/>
          <w:szCs w:val="22"/>
        </w:rPr>
        <w:t xml:space="preserve">with </w:t>
      </w:r>
      <w:proofErr w:type="gramStart"/>
      <w:r w:rsidR="00BC614D">
        <w:rPr>
          <w:rFonts w:asciiTheme="minorHAnsi" w:hAnsiTheme="minorHAnsi" w:cstheme="minorHAnsi"/>
          <w:sz w:val="22"/>
          <w:szCs w:val="22"/>
        </w:rPr>
        <w:t>size</w:t>
      </w:r>
      <w:r w:rsidR="006516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6516BF">
        <w:rPr>
          <w:rFonts w:asciiTheme="minorHAnsi" w:hAnsiTheme="minorHAnsi" w:cstheme="minorHAnsi"/>
          <w:sz w:val="22"/>
          <w:szCs w:val="22"/>
        </w:rPr>
        <w:t>Citation)</w:t>
      </w:r>
      <w:r w:rsidR="00BC614D">
        <w:rPr>
          <w:rFonts w:asciiTheme="minorHAnsi" w:hAnsiTheme="minorHAnsi" w:cstheme="minorHAnsi"/>
          <w:sz w:val="22"/>
          <w:szCs w:val="22"/>
        </w:rPr>
        <w:t>, sex</w:t>
      </w:r>
      <w:r w:rsidR="006516BF">
        <w:rPr>
          <w:rFonts w:asciiTheme="minorHAnsi" w:hAnsiTheme="minorHAnsi" w:cstheme="minorHAnsi"/>
          <w:sz w:val="22"/>
          <w:szCs w:val="22"/>
        </w:rPr>
        <w:t>(Citation)</w:t>
      </w:r>
      <w:r w:rsidR="00BC614D">
        <w:rPr>
          <w:rFonts w:asciiTheme="minorHAnsi" w:hAnsiTheme="minorHAnsi" w:cstheme="minorHAnsi"/>
          <w:sz w:val="22"/>
          <w:szCs w:val="22"/>
        </w:rPr>
        <w:t>, genotypes</w:t>
      </w:r>
      <w:r w:rsidR="006516BF">
        <w:rPr>
          <w:rFonts w:asciiTheme="minorHAnsi" w:hAnsiTheme="minorHAnsi" w:cstheme="minorHAnsi"/>
          <w:sz w:val="22"/>
          <w:szCs w:val="22"/>
        </w:rPr>
        <w:t>(Citation)</w:t>
      </w:r>
      <w:r w:rsidR="00BC614D">
        <w:rPr>
          <w:rFonts w:asciiTheme="minorHAnsi" w:hAnsiTheme="minorHAnsi" w:cstheme="minorHAnsi"/>
          <w:sz w:val="22"/>
          <w:szCs w:val="22"/>
        </w:rPr>
        <w:t>, temperature and oxygen stressors</w:t>
      </w:r>
      <w:r w:rsidR="006516BF">
        <w:rPr>
          <w:rFonts w:asciiTheme="minorHAnsi" w:hAnsiTheme="minorHAnsi" w:cstheme="minorHAnsi"/>
          <w:sz w:val="22"/>
          <w:szCs w:val="22"/>
        </w:rPr>
        <w:t>(Citation)</w:t>
      </w:r>
      <w:r w:rsidR="00BC614D">
        <w:rPr>
          <w:rFonts w:asciiTheme="minorHAnsi" w:hAnsiTheme="minorHAnsi" w:cstheme="minorHAnsi"/>
          <w:sz w:val="22"/>
          <w:szCs w:val="22"/>
        </w:rPr>
        <w:t>, and several metabolic pathways</w:t>
      </w:r>
      <w:r w:rsidR="006516BF">
        <w:rPr>
          <w:rFonts w:asciiTheme="minorHAnsi" w:hAnsiTheme="minorHAnsi" w:cstheme="minorHAnsi"/>
          <w:sz w:val="22"/>
          <w:szCs w:val="22"/>
        </w:rPr>
        <w:t>(Citation)</w:t>
      </w:r>
      <w:r w:rsidR="00BC614D">
        <w:rPr>
          <w:rFonts w:asciiTheme="minorHAnsi" w:hAnsiTheme="minorHAnsi" w:cstheme="minorHAnsi"/>
          <w:sz w:val="22"/>
          <w:szCs w:val="22"/>
        </w:rPr>
        <w:t xml:space="preserve">. </w:t>
      </w:r>
      <w:commentRangeEnd w:id="0"/>
      <w:r w:rsidR="00E14C38">
        <w:rPr>
          <w:rStyle w:val="CommentReference"/>
        </w:rPr>
        <w:commentReference w:id="0"/>
      </w:r>
      <w:r w:rsidR="006516BF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Although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 lot of studies had use </w:t>
      </w:r>
      <w:r w:rsidR="006516BF">
        <w:rPr>
          <w:rFonts w:asciiTheme="minorHAnsi" w:hAnsiTheme="minorHAnsi" w:cstheme="minorHAnsi"/>
          <w:sz w:val="22"/>
          <w:szCs w:val="22"/>
        </w:rPr>
        <w:t xml:space="preserve">Drosophila </w:t>
      </w:r>
      <w:r w:rsidR="006516BF" w:rsidRPr="00BC614D">
        <w:rPr>
          <w:rFonts w:asciiTheme="minorHAnsi" w:hAnsiTheme="minorHAnsi" w:cstheme="minorHAnsi"/>
          <w:sz w:val="22"/>
          <w:szCs w:val="22"/>
        </w:rPr>
        <w:t xml:space="preserve">as a model </w:t>
      </w:r>
      <w:r w:rsidR="006516BF">
        <w:rPr>
          <w:rFonts w:asciiTheme="minorHAnsi" w:hAnsiTheme="minorHAnsi" w:cstheme="minorHAnsi"/>
          <w:sz w:val="22"/>
          <w:szCs w:val="22"/>
        </w:rPr>
        <w:t>to</w:t>
      </w:r>
      <w:r w:rsidR="006516BF" w:rsidRPr="00BC614D">
        <w:rPr>
          <w:rFonts w:asciiTheme="minorHAnsi" w:hAnsiTheme="minorHAnsi" w:cstheme="minorHAnsi"/>
          <w:sz w:val="22"/>
          <w:szCs w:val="22"/>
        </w:rPr>
        <w:t xml:space="preserve"> unsuccessful attempt to correlate metabolism to longevity (</w:t>
      </w:r>
      <w:proofErr w:type="spellStart"/>
      <w:r w:rsidR="006516BF" w:rsidRPr="00BC614D">
        <w:rPr>
          <w:rFonts w:asciiTheme="minorHAnsi" w:hAnsiTheme="minorHAnsi" w:cstheme="minorHAnsi"/>
          <w:sz w:val="22"/>
          <w:szCs w:val="22"/>
        </w:rPr>
        <w:fldChar w:fldCharType="begin"/>
      </w:r>
      <w:r w:rsidR="006516BF" w:rsidRPr="00BC614D">
        <w:rPr>
          <w:rFonts w:asciiTheme="minorHAnsi" w:hAnsiTheme="minorHAnsi" w:cstheme="minorHAnsi"/>
          <w:sz w:val="22"/>
          <w:szCs w:val="22"/>
        </w:rPr>
        <w:instrText xml:space="preserve"> HYPERLINK "https://www.ncbi.nlm.nih.gov/pmc/articles/PMC5399560/" \l "BIO023994C1" </w:instrTex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separate"/>
      </w:r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Arking</w:t>
      </w:r>
      <w:proofErr w:type="spellEnd"/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et al., 1988</w: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end"/>
      </w:r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proofErr w:type="spellStart"/>
      <w:r w:rsidR="006516BF" w:rsidRPr="00BC614D">
        <w:rPr>
          <w:rFonts w:asciiTheme="minorHAnsi" w:hAnsiTheme="minorHAnsi" w:cstheme="minorHAnsi"/>
          <w:sz w:val="22"/>
          <w:szCs w:val="22"/>
        </w:rPr>
        <w:fldChar w:fldCharType="begin"/>
      </w:r>
      <w:r w:rsidR="006516BF" w:rsidRPr="00BC614D">
        <w:rPr>
          <w:rFonts w:asciiTheme="minorHAnsi" w:hAnsiTheme="minorHAnsi" w:cstheme="minorHAnsi"/>
          <w:sz w:val="22"/>
          <w:szCs w:val="22"/>
        </w:rPr>
        <w:instrText xml:space="preserve"> HYPERLINK "https://www.ncbi.nlm.nih.gov/pmc/articles/PMC5399560/" \l "BIO023994C2" </w:instrTex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separate"/>
      </w:r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Baldal</w:t>
      </w:r>
      <w:proofErr w:type="spellEnd"/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et al., 2006</w: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end"/>
      </w:r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hyperlink r:id="rId8" w:anchor="BIO023994C25" w:history="1">
        <w:r w:rsidR="006516BF" w:rsidRPr="00BC6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Hulbert et al., 2004</w:t>
        </w:r>
      </w:hyperlink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proofErr w:type="spellStart"/>
      <w:r w:rsidR="006516BF" w:rsidRPr="00BC614D">
        <w:rPr>
          <w:rFonts w:asciiTheme="minorHAnsi" w:hAnsiTheme="minorHAnsi" w:cstheme="minorHAnsi"/>
          <w:sz w:val="22"/>
          <w:szCs w:val="22"/>
        </w:rPr>
        <w:fldChar w:fldCharType="begin"/>
      </w:r>
      <w:r w:rsidR="006516BF" w:rsidRPr="00BC614D">
        <w:rPr>
          <w:rFonts w:asciiTheme="minorHAnsi" w:hAnsiTheme="minorHAnsi" w:cstheme="minorHAnsi"/>
          <w:sz w:val="22"/>
          <w:szCs w:val="22"/>
        </w:rPr>
        <w:instrText xml:space="preserve"> HYPERLINK "https://www.ncbi.nlm.nih.gov/pmc/articles/PMC5399560/" \l "BIO023994C30" </w:instrTex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separate"/>
      </w:r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Khazaeli</w:t>
      </w:r>
      <w:proofErr w:type="spellEnd"/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et al., 2005</w: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end"/>
      </w:r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hyperlink r:id="rId9" w:anchor="BIO023994C44" w:history="1">
        <w:r w:rsidR="006516BF" w:rsidRPr="00BC6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Melvin et al., 2007</w:t>
        </w:r>
      </w:hyperlink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hyperlink r:id="rId10" w:anchor="BIO023994C47" w:history="1">
        <w:r w:rsidR="006516BF" w:rsidRPr="00BC6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Miquel et al., 1982</w:t>
        </w:r>
      </w:hyperlink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hyperlink r:id="rId11" w:anchor="BIO023994C56" w:history="1">
        <w:r w:rsidR="006516BF" w:rsidRPr="00BC6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Partridge et al., 2005</w:t>
        </w:r>
      </w:hyperlink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proofErr w:type="spellStart"/>
      <w:r w:rsidR="006516BF" w:rsidRPr="00BC614D">
        <w:rPr>
          <w:rFonts w:asciiTheme="minorHAnsi" w:hAnsiTheme="minorHAnsi" w:cstheme="minorHAnsi"/>
          <w:sz w:val="22"/>
          <w:szCs w:val="22"/>
        </w:rPr>
        <w:fldChar w:fldCharType="begin"/>
      </w:r>
      <w:r w:rsidR="006516BF" w:rsidRPr="00BC614D">
        <w:rPr>
          <w:rFonts w:asciiTheme="minorHAnsi" w:hAnsiTheme="minorHAnsi" w:cstheme="minorHAnsi"/>
          <w:sz w:val="22"/>
          <w:szCs w:val="22"/>
        </w:rPr>
        <w:instrText xml:space="preserve"> HYPERLINK "https://www.ncbi.nlm.nih.gov/pmc/articles/PMC5399560/" \l "BIO023994C60" </w:instrTex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separate"/>
      </w:r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Promislow</w:t>
      </w:r>
      <w:proofErr w:type="spellEnd"/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and </w:t>
      </w:r>
      <w:proofErr w:type="spellStart"/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Haselkorn</w:t>
      </w:r>
      <w:proofErr w:type="spellEnd"/>
      <w:r w:rsidR="006516BF" w:rsidRPr="00BC614D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, 2002</w:t>
      </w:r>
      <w:r w:rsidR="006516BF" w:rsidRPr="00BC614D">
        <w:rPr>
          <w:rFonts w:asciiTheme="minorHAnsi" w:hAnsiTheme="minorHAnsi" w:cstheme="minorHAnsi"/>
          <w:sz w:val="22"/>
          <w:szCs w:val="22"/>
        </w:rPr>
        <w:fldChar w:fldCharType="end"/>
      </w:r>
      <w:r w:rsidR="006516BF" w:rsidRPr="00BC614D">
        <w:rPr>
          <w:rFonts w:asciiTheme="minorHAnsi" w:hAnsiTheme="minorHAnsi" w:cstheme="minorHAnsi"/>
          <w:sz w:val="22"/>
          <w:szCs w:val="22"/>
        </w:rPr>
        <w:t>; </w:t>
      </w:r>
      <w:hyperlink r:id="rId12" w:anchor="BIO023994C72" w:history="1">
        <w:r w:rsidR="006516BF" w:rsidRPr="00BC6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Van Voorhies et al., 2003</w:t>
        </w:r>
      </w:hyperlink>
      <w:r w:rsidR="006516BF" w:rsidRPr="00BC614D">
        <w:rPr>
          <w:rFonts w:asciiTheme="minorHAnsi" w:hAnsiTheme="minorHAnsi" w:cstheme="minorHAnsi"/>
          <w:sz w:val="22"/>
          <w:szCs w:val="22"/>
        </w:rPr>
        <w:t>, </w:t>
      </w:r>
      <w:hyperlink r:id="rId13" w:anchor="BIO023994C74" w:history="1">
        <w:r w:rsidR="006516BF" w:rsidRPr="00BC6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2004b</w:t>
        </w:r>
      </w:hyperlink>
      <w:r w:rsidR="006516BF" w:rsidRPr="00BC614D">
        <w:rPr>
          <w:rFonts w:asciiTheme="minorHAnsi" w:hAnsiTheme="minorHAnsi" w:cstheme="minorHAnsi"/>
          <w:sz w:val="22"/>
          <w:szCs w:val="22"/>
        </w:rPr>
        <w:t>)</w:t>
      </w:r>
      <w:r w:rsidR="006516BF">
        <w:rPr>
          <w:rFonts w:asciiTheme="minorHAnsi" w:hAnsiTheme="minorHAnsi" w:cstheme="minorHAnsi"/>
          <w:sz w:val="22"/>
          <w:szCs w:val="22"/>
        </w:rPr>
        <w:t xml:space="preserve"> 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>not so many studies have measured the changes in metabolic rates due to age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commentRangeStart w:id="1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little to nothing has being describe for Drosophila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pseudobscura</w:t>
      </w:r>
      <w:proofErr w:type="spellEnd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Arlian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, 1973)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commentRangeEnd w:id="1"/>
      <w:r w:rsidR="00E14C38">
        <w:rPr>
          <w:rStyle w:val="CommentReference"/>
        </w:rPr>
        <w:commentReference w:id="1"/>
      </w:r>
      <w:r w:rsidR="006516BF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</w:t>
      </w:r>
      <w:r w:rsidR="006516BF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few studies 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that </w:t>
      </w:r>
      <w:r w:rsidR="006516BF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have measured age-related change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="006516BF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metabolic rate</w:t>
      </w:r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have been in Drosophila melanogaster</w:t>
      </w:r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had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</w:t>
      </w:r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>ound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significant difference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across</w:t>
      </w:r>
      <w:r w:rsidR="006516B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ages.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commentRangeStart w:id="2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D.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pseudoobscura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has been increasingly used in genetics and behavior studies. </w:t>
      </w:r>
      <w:commentRangeEnd w:id="2"/>
      <w:r w:rsidR="00E14C38">
        <w:rPr>
          <w:rStyle w:val="CommentReference"/>
        </w:rPr>
        <w:commentReference w:id="2"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Given its importance as a model and the </w:t>
      </w:r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increasing studies of metabolic rates measurements, there is an important need to understand how metabolic rates vary at </w:t>
      </w:r>
      <w:commentRangeStart w:id="3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different </w:t>
      </w:r>
      <w:proofErr w:type="gramStart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>life times</w:t>
      </w:r>
      <w:proofErr w:type="gramEnd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D. </w:t>
      </w:r>
      <w:proofErr w:type="spellStart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>pseudoobscura</w:t>
      </w:r>
      <w:commentRangeEnd w:id="3"/>
      <w:proofErr w:type="spellEnd"/>
      <w:r w:rsidR="00E14C38">
        <w:rPr>
          <w:rStyle w:val="CommentReference"/>
        </w:rPr>
        <w:commentReference w:id="3"/>
      </w:r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Here, we measure the metabolic rates of Drosophila </w:t>
      </w:r>
      <w:proofErr w:type="spellStart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>pseudoobscura</w:t>
      </w:r>
      <w:proofErr w:type="spellEnd"/>
      <w:r w:rsidR="00E14C3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at 2, 5, 7, 10 and 20 days.</w:t>
      </w:r>
    </w:p>
    <w:p w14:paraId="6A844D7B" w14:textId="77777777" w:rsidR="00096A3D" w:rsidRPr="00BC614D" w:rsidRDefault="00096A3D">
      <w:pPr>
        <w:rPr>
          <w:rFonts w:asciiTheme="minorHAnsi" w:hAnsiTheme="minorHAnsi" w:cstheme="minorHAnsi"/>
          <w:sz w:val="22"/>
          <w:szCs w:val="22"/>
        </w:rPr>
      </w:pPr>
    </w:p>
    <w:p w14:paraId="0B178B21" w14:textId="6EFDDBB8" w:rsidR="00B12953" w:rsidRPr="00BC614D" w:rsidRDefault="007E64DF">
      <w:pPr>
        <w:rPr>
          <w:rFonts w:asciiTheme="minorHAnsi" w:hAnsiTheme="minorHAnsi" w:cstheme="minorHAnsi"/>
          <w:sz w:val="22"/>
          <w:szCs w:val="22"/>
        </w:rPr>
      </w:pPr>
      <w:r w:rsidRPr="00BC614D">
        <w:rPr>
          <w:rFonts w:asciiTheme="minorHAnsi" w:hAnsiTheme="minorHAnsi" w:cstheme="minorHAnsi"/>
          <w:sz w:val="22"/>
          <w:szCs w:val="22"/>
        </w:rPr>
        <w:t>Methods:</w:t>
      </w:r>
    </w:p>
    <w:p w14:paraId="68DD15F2" w14:textId="2C205231" w:rsidR="00096A3D" w:rsidRPr="00BC614D" w:rsidRDefault="00096A3D" w:rsidP="00D66410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Stocks</w:t>
      </w:r>
    </w:p>
    <w:p w14:paraId="7EE4021E" w14:textId="01FD2E12" w:rsidR="00354F29" w:rsidRPr="00BC614D" w:rsidRDefault="007E64DF" w:rsidP="00D66410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Fruit flies Drosophila </w:t>
      </w:r>
      <w:proofErr w:type="spellStart"/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pseudoobscura</w:t>
      </w:r>
      <w:proofErr w:type="spellEnd"/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(wild-type, MV2-25) were growth and 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at 21°C with a </w:t>
      </w:r>
      <w:proofErr w:type="gramStart"/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12 hour</w:t>
      </w:r>
      <w:proofErr w:type="gramEnd"/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light-dark cycle in an incubator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reared on standard cornmeal–sugar–yeast–agar media in polypropylene enclosures.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experiments, 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adult flies were placed into fresh vial (sex-mixed) and discard a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fter 24 hours to prevent additional stress (Priest, 2007)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After </w:t>
      </w:r>
      <w:proofErr w:type="spellStart"/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eclosion</w:t>
      </w:r>
      <w:proofErr w:type="spellEnd"/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virgin females and males were collected and placed </w:t>
      </w:r>
      <w:r w:rsidR="00D66410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separately </w:t>
      </w:r>
      <w:r w:rsidR="00354F29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into fresh food</w:t>
      </w:r>
      <w:r w:rsidR="00D66410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transferred every 7 days to fresh vials until assayed.</w:t>
      </w:r>
      <w:r w:rsidR="00096A3D"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compare the changes in age, flies were assayed at 2, 5, 7, 10, and 20 days old.</w:t>
      </w:r>
    </w:p>
    <w:p w14:paraId="2C3D7462" w14:textId="41E703EC" w:rsidR="007E64DF" w:rsidRPr="00BC614D" w:rsidRDefault="00096A3D" w:rsidP="007E64DF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All flies were incubated at 21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°C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4 hours </w:t>
      </w:r>
      <w:r w:rsidR="007E64DF"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guarantee a good sample and to prevent stress due to starvation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proofErr w:type="spellStart"/>
      <w:proofErr w:type="gramStart"/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its</w:t>
      </w:r>
      <w:proofErr w:type="spellEnd"/>
      <w:proofErr w:type="gramEnd"/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been related to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cause major biochemical disturbances in lipid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other metabolic pathways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Chatterjee et al., 2014; Choi et al., 2015)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D1912AF" w14:textId="77777777" w:rsidR="007E64DF" w:rsidRPr="00BC614D" w:rsidRDefault="007E64DF" w:rsidP="007E64DF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DE0DF23" w14:textId="060A08CC" w:rsidR="007E64DF" w:rsidRPr="00BC614D" w:rsidRDefault="007E64DF" w:rsidP="007E64DF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Metabolic rate measurements</w:t>
      </w:r>
    </w:p>
    <w:p w14:paraId="218347C4" w14:textId="0191BE7C" w:rsidR="007E64DF" w:rsidRPr="007E64DF" w:rsidRDefault="007E64DF" w:rsidP="007E64DF">
      <w:pPr>
        <w:rPr>
          <w:rFonts w:asciiTheme="minorHAnsi" w:hAnsiTheme="minorHAnsi" w:cstheme="minorHAnsi"/>
          <w:sz w:val="22"/>
          <w:szCs w:val="22"/>
        </w:rPr>
      </w:pP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Respiratory Quotients (RQ) w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to determine the metabolic rate. For this, a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closed system respirometry w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measures of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both, O2 consumption and CO2 production, were the injected air samples with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room air,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w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ere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forced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into a Whatman purge-gas generator (Whatman Inc., Haverhill,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MA, USA) where both CO2 and water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were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removed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from the air.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The air then pass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through a </w:t>
      </w:r>
      <w:proofErr w:type="gram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340 l</w:t>
      </w:r>
      <w:proofErr w:type="gram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mixing tank and into an open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mixing tank (30 l) where the air equalized to atmospheric pressure.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Next, the air w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pulled from the open mixing tank through a 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Drierite-Ascarite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Drierite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column (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Drierite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-W.A. Hammond 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Drierite</w:t>
      </w:r>
      <w:proofErr w:type="spellEnd"/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Company Ltd., Xenia, OH, USA; 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Ascarite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-Thomas Scientific,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Swedesboro, NJ, USA) to remove any minute traces of water or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CO2. The air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was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pulled through an injection port where air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samples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were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injected after the incubation time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was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complete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. The air pass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through a Li-6251 CO2 analyzer (Li-COR Inc., Lincoln, NE,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USA), another a 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Drierite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Ascarite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Drierite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column, and a Sable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Systems 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Oxzilla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II O2 analyzer (Sable Systems, Henderson, </w:t>
      </w:r>
      <w:proofErr w:type="gram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NV,USA</w:t>
      </w:r>
      <w:proofErr w:type="gram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). Finally,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the air pass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ed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through a Sable Systems mass flow system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MFS2 (Sable Systems, Henderson, NV, USA), which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control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the air flow (pulled the air) at a rate of 100 ml min 1 at STP. All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data w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recorded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and analyzed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proofErr w:type="spellStart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ExpeData</w:t>
      </w:r>
      <w:proofErr w:type="spellEnd"/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(Sable Systems,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Henderson, NV, USA). The analysis 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was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by converting the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data into units of ml h 1 and then subsequently integrating peaks</w:t>
      </w:r>
      <w:r w:rsidRPr="00BC614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64DF">
        <w:rPr>
          <w:rFonts w:asciiTheme="minorHAnsi" w:hAnsiTheme="minorHAnsi" w:cstheme="minorHAnsi"/>
          <w:sz w:val="22"/>
          <w:szCs w:val="22"/>
          <w:shd w:val="clear" w:color="auto" w:fill="FFFFFF"/>
        </w:rPr>
        <w:t>to calculate the total CO2 production or O2 consumption per syringe.</w:t>
      </w:r>
    </w:p>
    <w:p w14:paraId="01405416" w14:textId="77777777" w:rsidR="007E64DF" w:rsidRPr="00BC614D" w:rsidRDefault="007E64DF">
      <w:pPr>
        <w:rPr>
          <w:rFonts w:asciiTheme="minorHAnsi" w:hAnsiTheme="minorHAnsi" w:cstheme="minorHAnsi"/>
          <w:sz w:val="22"/>
          <w:szCs w:val="22"/>
        </w:rPr>
      </w:pPr>
    </w:p>
    <w:sectPr w:rsidR="007E64DF" w:rsidRPr="00BC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lia Rivera Rincon" w:date="2021-10-04T12:47:00Z" w:initials="NRR">
    <w:p w14:paraId="7674823C" w14:textId="52FFDEE5" w:rsidR="00E14C38" w:rsidRDefault="00E14C38">
      <w:pPr>
        <w:pStyle w:val="CommentText"/>
      </w:pPr>
      <w:r>
        <w:rPr>
          <w:rStyle w:val="CommentReference"/>
        </w:rPr>
        <w:annotationRef/>
      </w:r>
      <w:r>
        <w:t>Need to expand on this</w:t>
      </w:r>
    </w:p>
  </w:comment>
  <w:comment w:id="1" w:author="Natalia Rivera Rincon" w:date="2021-10-04T12:47:00Z" w:initials="NRR">
    <w:p w14:paraId="3D16E7A9" w14:textId="1CF0975A" w:rsidR="00E14C38" w:rsidRDefault="00E14C38">
      <w:pPr>
        <w:pStyle w:val="CommentText"/>
      </w:pPr>
      <w:r>
        <w:rPr>
          <w:rStyle w:val="CommentReference"/>
        </w:rPr>
        <w:annotationRef/>
      </w:r>
      <w:r>
        <w:t xml:space="preserve">Not so sure about this sentence. Need to expand more on what has been done with DMEL first. </w:t>
      </w:r>
    </w:p>
  </w:comment>
  <w:comment w:id="2" w:author="Natalia Rivera Rincon" w:date="2021-10-04T12:48:00Z" w:initials="NRR">
    <w:p w14:paraId="54EB1CB4" w14:textId="18C73935" w:rsidR="00E14C38" w:rsidRDefault="00E14C38">
      <w:pPr>
        <w:pStyle w:val="CommentText"/>
      </w:pPr>
      <w:r>
        <w:rPr>
          <w:rStyle w:val="CommentReference"/>
        </w:rPr>
        <w:annotationRef/>
      </w:r>
      <w:r>
        <w:t>Need a better justification of why it is important and how it is related with M-rates.</w:t>
      </w:r>
    </w:p>
  </w:comment>
  <w:comment w:id="3" w:author="Natalia Rivera Rincon" w:date="2021-10-04T12:49:00Z" w:initials="NRR">
    <w:p w14:paraId="2DEA66D8" w14:textId="6F28055D" w:rsidR="00E14C38" w:rsidRDefault="00E14C38">
      <w:pPr>
        <w:pStyle w:val="CommentText"/>
      </w:pPr>
      <w:r>
        <w:rPr>
          <w:rStyle w:val="CommentReference"/>
        </w:rPr>
        <w:annotationRef/>
      </w:r>
      <w:r>
        <w:t>Not sure about this….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74823C" w15:done="0"/>
  <w15:commentEx w15:paraId="3D16E7A9" w15:done="0"/>
  <w15:commentEx w15:paraId="54EB1CB4" w15:done="0"/>
  <w15:commentEx w15:paraId="2DEA66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764A" w16cex:dateUtc="2021-10-04T17:47:00Z"/>
  <w16cex:commentExtensible w16cex:durableId="2505765A" w16cex:dateUtc="2021-10-04T17:47:00Z"/>
  <w16cex:commentExtensible w16cex:durableId="25057693" w16cex:dateUtc="2021-10-04T17:48:00Z"/>
  <w16cex:commentExtensible w16cex:durableId="250576C4" w16cex:dateUtc="2021-10-04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4823C" w16cid:durableId="2505764A"/>
  <w16cid:commentId w16cid:paraId="3D16E7A9" w16cid:durableId="2505765A"/>
  <w16cid:commentId w16cid:paraId="54EB1CB4" w16cid:durableId="25057693"/>
  <w16cid:commentId w16cid:paraId="2DEA66D8" w16cid:durableId="25057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lia Rivera Rincon">
    <w15:presenceInfo w15:providerId="AD" w15:userId="S::nzr0037@auburn.edu::0772cbb3-555a-43a5-8bba-e0305e85b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DF"/>
    <w:rsid w:val="00096A3D"/>
    <w:rsid w:val="00204B33"/>
    <w:rsid w:val="00207896"/>
    <w:rsid w:val="00354F29"/>
    <w:rsid w:val="006516BF"/>
    <w:rsid w:val="00654126"/>
    <w:rsid w:val="007E64DF"/>
    <w:rsid w:val="00AC7BF4"/>
    <w:rsid w:val="00BC614D"/>
    <w:rsid w:val="00D66410"/>
    <w:rsid w:val="00E1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65549"/>
  <w15:chartTrackingRefBased/>
  <w15:docId w15:val="{029A6228-4F7B-A24E-9F93-17C6609D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A3D"/>
    <w:rPr>
      <w:color w:val="0000FF"/>
      <w:u w:val="single"/>
    </w:rPr>
  </w:style>
  <w:style w:type="character" w:customStyle="1" w:styleId="small-caps">
    <w:name w:val="small-caps"/>
    <w:basedOn w:val="DefaultParagraphFont"/>
    <w:rsid w:val="00096A3D"/>
  </w:style>
  <w:style w:type="character" w:styleId="Emphasis">
    <w:name w:val="Emphasis"/>
    <w:basedOn w:val="DefaultParagraphFont"/>
    <w:uiPriority w:val="20"/>
    <w:qFormat/>
    <w:rsid w:val="00096A3D"/>
    <w:rPr>
      <w:i/>
      <w:iCs/>
    </w:rPr>
  </w:style>
  <w:style w:type="paragraph" w:customStyle="1" w:styleId="p">
    <w:name w:val="p"/>
    <w:basedOn w:val="Normal"/>
    <w:rsid w:val="00096A3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96A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E14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C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C3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399560/" TargetMode="External"/><Relationship Id="rId13" Type="http://schemas.openxmlformats.org/officeDocument/2006/relationships/hyperlink" Target="https://www.ncbi.nlm.nih.gov/pmc/articles/PMC5399560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ncbi.nlm.nih.gov/pmc/articles/PMC539956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ncbi.nlm.nih.gov/pmc/articles/PMC5399560/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www.ncbi.nlm.nih.gov/pmc/articles/PMC5399560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ncbi.nlm.nih.gov/pmc/articles/PMC539956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Rivera Rincon</dc:creator>
  <cp:keywords/>
  <dc:description/>
  <cp:lastModifiedBy>Natalia Rivera Rincon</cp:lastModifiedBy>
  <cp:revision>2</cp:revision>
  <dcterms:created xsi:type="dcterms:W3CDTF">2021-10-04T17:50:00Z</dcterms:created>
  <dcterms:modified xsi:type="dcterms:W3CDTF">2021-10-04T17:50:00Z</dcterms:modified>
</cp:coreProperties>
</file>