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EBIOS RM – Analyse de Risques e‑Scooter</w:t>
        <w:br/>
        <w:t>Chapitre 3 : PCA / PRA</w:t>
      </w:r>
    </w:p>
    <w:p/>
    <w:p>
      <w:r>
        <w:rPr>
          <w:b/>
        </w:rPr>
        <w:t>3.1 Introduction</w:t>
      </w:r>
    </w:p>
    <w:p>
      <w:r>
        <w:t>Ce chapitre complète l’analyse EBIOS RM en définissant le PCA et le PRA pour e-Scooter.</w:t>
      </w:r>
    </w:p>
    <w:p>
      <w:r>
        <w:rPr>
          <w:b/>
        </w:rPr>
        <w:t>3.2 Activités critiques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Activité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</w:tr>
      <w:tr>
        <w:tc>
          <w:tcPr>
            <w:tcW w:type="dxa" w:w="2880"/>
          </w:tcPr>
          <w:p>
            <w:r>
              <w:t>Mobilité</w:t>
            </w:r>
          </w:p>
        </w:tc>
        <w:tc>
          <w:tcPr>
            <w:tcW w:type="dxa" w:w="2880"/>
          </w:tcPr>
          <w:p>
            <w:r>
              <w:t>Service scooters</w:t>
            </w:r>
          </w:p>
        </w:tc>
        <w:tc>
          <w:tcPr>
            <w:tcW w:type="dxa" w:w="2880"/>
          </w:tcPr>
          <w:p>
            <w:r>
              <w:t>Perte revenus</w:t>
            </w:r>
          </w:p>
        </w:tc>
      </w:tr>
      <w:tr>
        <w:tc>
          <w:tcPr>
            <w:tcW w:type="dxa" w:w="2880"/>
          </w:tcPr>
          <w:p>
            <w:r>
              <w:t>Données</w:t>
            </w:r>
          </w:p>
        </w:tc>
        <w:tc>
          <w:tcPr>
            <w:tcW w:type="dxa" w:w="2880"/>
          </w:tcPr>
          <w:p>
            <w:r>
              <w:t>Gestion clients</w:t>
            </w:r>
          </w:p>
        </w:tc>
        <w:tc>
          <w:tcPr>
            <w:tcW w:type="dxa" w:w="2880"/>
          </w:tcPr>
          <w:p>
            <w:r>
              <w:t>Risque RGPD</w:t>
            </w:r>
          </w:p>
        </w:tc>
      </w:tr>
      <w:tr>
        <w:tc>
          <w:tcPr>
            <w:tcW w:type="dxa" w:w="2880"/>
          </w:tcPr>
          <w:p>
            <w:r>
              <w:t>Paiement</w:t>
            </w:r>
          </w:p>
        </w:tc>
        <w:tc>
          <w:tcPr>
            <w:tcW w:type="dxa" w:w="2880"/>
          </w:tcPr>
          <w:p>
            <w:r>
              <w:t>ITBank</w:t>
            </w:r>
          </w:p>
        </w:tc>
        <w:tc>
          <w:tcPr>
            <w:tcW w:type="dxa" w:w="2880"/>
          </w:tcPr>
          <w:p>
            <w:r>
              <w:t>Blocage revenus</w:t>
            </w:r>
          </w:p>
        </w:tc>
      </w:tr>
      <w:tr>
        <w:tc>
          <w:tcPr>
            <w:tcW w:type="dxa" w:w="2880"/>
          </w:tcPr>
          <w:p>
            <w:r>
              <w:t>Supervision</w:t>
            </w:r>
          </w:p>
        </w:tc>
        <w:tc>
          <w:tcPr>
            <w:tcW w:type="dxa" w:w="2880"/>
          </w:tcPr>
          <w:p>
            <w:r>
              <w:t>Monitoring</w:t>
            </w:r>
          </w:p>
        </w:tc>
        <w:tc>
          <w:tcPr>
            <w:tcW w:type="dxa" w:w="2880"/>
          </w:tcPr>
          <w:p>
            <w:r>
              <w:t>Pas de détection</w:t>
            </w:r>
          </w:p>
        </w:tc>
      </w:tr>
    </w:tbl>
    <w:p>
      <w:r>
        <w:rPr>
          <w:b/>
        </w:rPr>
        <w:t>3.3 Diagramme PCA</w:t>
      </w:r>
    </w:p>
    <w:p>
      <w:r>
        <w:rPr>
          <w:rFonts w:ascii="Courier New" w:hAnsi="Courier New"/>
          <w:sz w:val="20"/>
        </w:rPr>
        <w:br/>
        <w:t>Utilisateur → Application → Cloud AWS → Base de données</w:t>
        <w:br/>
        <w:t xml:space="preserve">                    ↓</w:t>
        <w:br/>
        <w:t xml:space="preserve">              Mode dégradé</w:t>
        <w:br/>
      </w:r>
    </w:p>
    <w:p>
      <w:r>
        <w:rPr>
          <w:b/>
        </w:rPr>
        <w:t>3.4 Diagramme PRA</w:t>
      </w:r>
    </w:p>
    <w:p>
      <w:r>
        <w:rPr>
          <w:rFonts w:ascii="Courier New" w:hAnsi="Courier New"/>
          <w:sz w:val="20"/>
        </w:rPr>
        <w:br/>
        <w:t>Incident → Détection → Isolation → Restauration → Reprise</w:t>
        <w:br/>
      </w:r>
    </w:p>
    <w:p>
      <w:r>
        <w:rPr>
          <w:b/>
        </w:rPr>
        <w:t>3.5 Conclusion</w:t>
      </w:r>
    </w:p>
    <w:p>
      <w:r>
        <w:t>Le PCA/PRA garantit la continuité et la reprise du service e-Scooter.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