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2"/>
      </w:pPr>
      <w:r>
        <w:t xml:space="preserve">Table 1a: Small Variant Benchmark Summary (GRCh38)</w:t>
      </w:r>
    </w:p>
    <w:p>
      <w:pPr>
        <w:pStyle w:val="Normal"/>
      </w:pPr>
      <w:r>
        <w:t xml:space="preserve">Table 1a. Summary of the v5.0q and v4.2.1 small variant benchmark sets for HG002 on GRCh38. Variant counts include single-nucleotide variants (SNVs) and insertions/deletions (indels) less than 50 bp within benchmark regions, restricted to autosomes and sex chromosomes. Bench (Mb) indicates the total size of the benchmark regions in megabases. % Ref, percentage of the assembled reference genome covered by benchmark regions; % Asm, percentage of the HG002 Q100 diploid assembly covered by benchmark regions. See also Table S1.</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9"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Reference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Version</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SNV</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INDEL</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Total Variants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Bench (Mb)</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Ref</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Asm</w:t>
            </w:r>
          </w:p>
        </w:tc>
      </w:tr>
      <w:tr>
        <w:trPr>
          <w:trHeight w:val="59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v4.2.1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3,367,463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559,006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3,926,469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2,542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87.0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81.6</w:t>
            </w:r>
          </w:p>
        </w:tc>
      </w:tr>
      <w:tr>
        <w:trPr>
          <w:trHeight w:val="61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GRCh38</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3,671,436</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954,482</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4,625,918</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2,739</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93.7</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88.0</w:t>
            </w:r>
          </w:p>
        </w:tc>
      </w:tr>
      <w:tr>
        <w:trPr>
          <w:trHeight w:val="360" w:hRule="auto"/>
        </w:trPr>
        <w:tc>
          <w:tcPr>
            <w:gridSpan w:val="8"/>
            <w:tcBorders>
              <w:bottom w:val="none" w:sz="0"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22"/>
                <w:szCs w:val="22"/>
                <w:color w:val="000000"/>
              </w:rPr>
            </w:pPr>
            <w:r>
              <w:rPr>
                <w:rFonts w:ascii="Roboto" w:hAnsi="Roboto" w:eastAsia="Roboto" w:cs="Roboto"/>
                <w:i w:val="false"/>
                <w:b w:val="false"/>
                <w:u w:val="none"/>
                <w:strike w:val="false"/>
                <w:sz w:val="22"/>
                <w:szCs w:val="22"/>
                <w:color w:val="000000"/>
              </w:rPr>
              <w:t xml:space="preserve">n: 2</w:t>
            </w:r>
          </w:p>
        </w:tc>
      </w:tr>
    </w:tbl>
    <w:p>
      <w:pPr/>
      <w:r>
        <w:br w:type="page"/>
      </w:r>
    </w:p>
    <w:p>
      <w:pPr>
        <w:pStyle w:val="Titre2"/>
      </w:pPr>
      <w:r>
        <w:t xml:space="preserve">Table 1b: Structural Variant Benchmark Summary (GRCh37)</w:t>
      </w:r>
    </w:p>
    <w:p>
      <w:pPr>
        <w:pStyle w:val="Normal"/>
      </w:pPr>
      <w:r>
        <w:t xml:space="preserve">Table 1b. Summary of the v5.0q and v0.6 structural variant (SV) benchmark sets for HG002 on GRCh37. Variant counts include deletions (DEL) and insertions (INS) of 50 bp or larger within benchmark regions. The v0.6 SV benchmark was only generated for GRCh37. Bench (Mb), % Ref, and % Asm are defined as in Table 1a. See also Table S2.</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9"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Reference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Version</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DEL</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INS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Total Variants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Bench (Mb)</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Ref</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Asm</w:t>
            </w:r>
          </w:p>
        </w:tc>
      </w:tr>
      <w:tr>
        <w:trPr>
          <w:trHeight w:val="59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v0.6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4,070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5,547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9,617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2,513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87.9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80.7</w:t>
            </w:r>
          </w:p>
        </w:tc>
      </w:tr>
      <w:tr>
        <w:trPr>
          <w:trHeight w:val="61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GRCh37</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10,561</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17,571</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28,132</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2,742</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95.9</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88.0</w:t>
            </w:r>
          </w:p>
        </w:tc>
      </w:tr>
      <w:tr>
        <w:trPr>
          <w:trHeight w:val="360" w:hRule="auto"/>
        </w:trPr>
        <w:tc>
          <w:tcPr>
            <w:gridSpan w:val="8"/>
            <w:tcBorders>
              <w:bottom w:val="none" w:sz="0"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22"/>
                <w:szCs w:val="22"/>
                <w:color w:val="000000"/>
              </w:rPr>
            </w:pPr>
            <w:r>
              <w:rPr>
                <w:rFonts w:ascii="Roboto" w:hAnsi="Roboto" w:eastAsia="Roboto" w:cs="Roboto"/>
                <w:i w:val="false"/>
                <w:b w:val="false"/>
                <w:u w:val="none"/>
                <w:strike w:val="false"/>
                <w:sz w:val="22"/>
                <w:szCs w:val="22"/>
                <w:color w:val="000000"/>
              </w:rPr>
              <w:t xml:space="preserve">n: 2</w:t>
            </w:r>
          </w:p>
        </w:tc>
      </w:tr>
    </w:tbl>
    <w:p>
      <w:pPr/>
      <w:r>
        <w:br w:type="page"/>
      </w:r>
    </w:p>
    <w:p>
      <w:pPr>
        <w:pStyle w:val="Titre2"/>
      </w:pPr>
      <w:r>
        <w:t xml:space="preserve">Table 2: Bases Removed by Exclusion (GRCh38)</w:t>
      </w:r>
    </w:p>
    <w:p>
      <w:pPr>
        <w:pStyle w:val="Normal"/>
      </w:pPr>
      <w:r>
        <w:t xml:space="preserve">Table 2. Bases removed by each exclusion category from the GRCh38 v5.0q benchmark regions. Exclusion regions were subtracted from the dipcall assembly alignment regions (dip.bed) to define the final benchmark regions. Bases Excluded, number of base pairs in the intersection of each exclusion with dip.bed; % of Dip.bed, percentage of dip.bed removed by each exclusion. Exclusion names in italics apply only to the small variant benchmark. Individual exclusion regions may overlap; the total bases excluded is less than the sum of individual exclusions. See also Table S3.</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Exclusion</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Bases Excluded</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of Dip.bed</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Segmental Duplications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52,311,253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1.841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true"/>
                <w:b w:val="false"/>
                <w:u w:val="none"/>
                <w:strike w:val="false"/>
                <w:sz w:val="18"/>
                <w:szCs w:val="18"/>
                <w:color w:val="555555"/>
              </w:rPr>
            </w:pPr>
            <w:r>
              <w:rPr>
                <w:rFonts w:ascii="Roboto" w:hAnsi="Roboto" w:eastAsia="Roboto" w:cs="Roboto"/>
                <w:i w:val="true"/>
                <w:b w:val="false"/>
                <w:u w:val="none"/>
                <w:strike w:val="false"/>
                <w:sz w:val="18"/>
                <w:szCs w:val="18"/>
                <w:color w:val="555555"/>
              </w:rPr>
              <w:t xml:space="preserve">SV regions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29,069,865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PAV-inversions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23,518,680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0.828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Satellites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16,627,547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0.585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Flanks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10,220,302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0.360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Tandem Repeats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6,553,662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Gaps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6,172,312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HG002Q100v1.1 errors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5,039,842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0.177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3,105,977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HG002-mosaic</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1,178,158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TSPY2-segdups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589,097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dipcall-pav_discrep-smvar</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333,608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Consecutive SVs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251,531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dipcall-pav_discrep-stvar</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127,132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Dipcall-bugs T2TACE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45,604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0.002</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true"/>
                <w:b w:val="false"/>
                <w:u w:val="none"/>
                <w:strike w:val="false"/>
                <w:sz w:val="18"/>
                <w:szCs w:val="18"/>
                <w:color w:val="555555"/>
              </w:rPr>
            </w:pPr>
            <w:r>
              <w:rPr>
                <w:rFonts w:ascii="Roboto" w:hAnsi="Roboto" w:eastAsia="Roboto" w:cs="Roboto"/>
                <w:i w:val="true"/>
                <w:b w:val="false"/>
                <w:u w:val="none"/>
                <w:strike w:val="false"/>
                <w:sz w:val="18"/>
                <w:szCs w:val="18"/>
                <w:color w:val="555555"/>
              </w:rPr>
              <w:t xml:space="preserve">Self-Discrepancies</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15,177</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0.001</w:t>
            </w:r>
          </w:p>
        </w:tc>
      </w:tr>
    </w:tbl>
    <w:p>
      <w:pPr/>
      <w:r>
        <w:br w:type="page"/>
      </w:r>
    </w:p>
    <w:p>
      <w:pPr>
        <w:pStyle w:val="Titre2"/>
      </w:pPr>
      <w:r>
        <w:t xml:space="preserve">Table 3: Excluded Variant Counts by Exclusion (GRCh38)</w:t>
      </w:r>
    </w:p>
    <w:p>
      <w:pPr>
        <w:pStyle w:val="Normal"/>
      </w:pPr>
      <w:r>
        <w:t xml:space="preserve">Table 3. Number of variants in regions removed by each individual exclusion category for GRCh38. Variants were counted within single-exclusion regions (i.e., regions attributed to exactly one exclusion category) for both small variants (&lt;50 bp) and structural variants (&gt;=50 bp). Variants/Mb, variant density per megabase of excluded region. See also Table S4.</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Exclusion</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Type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Variants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Bases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Variants/Mb</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Gaps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150,082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1,331,995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112,674.6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PAV-inversions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145,180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8,936,468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16,245.8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SV regions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139,936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16,822,827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8,318.2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HG002Q100v1.1 errors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120,558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2,165,054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55,683.6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Segmental Duplications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83,189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30,649,096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VDJ</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8,372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2,245,056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3,729.1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Satellites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4,633,398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1,518.3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HG002-mosaic</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5,975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352,913</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16,930.5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dipcall-pav_discrep-smvar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272,095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16,402.4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Flanks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3,613</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829,081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4,357.8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HG002Q100v1.1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2,364,299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Gaps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1,275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2,015,192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632.7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PAV-inversions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9,133,681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Segmental Duplications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31,573,457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Self-Discrepancies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42,097.5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TSPY2-segdups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551,052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867.4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Consecutive SVs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68,711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5,021.0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Satellites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6,440,027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Flanks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918,343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Consecutive SVs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102,516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1,258.3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dipcall-pav_discrep-stvar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95,793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1,304.9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Dipcall-bugs T2TACE</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21,583</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4,169.9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2,483,849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Tandem Repeats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46,152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1,256.7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dipcall-pav_discrep-stvar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15,503.9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Tandem Repeats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141,008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191.5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HG002-mosaic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359,814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dipcall-pav_discrep-smvar</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274,179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TSPY2-segdups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583,492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8.6</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Dipcall-bugs T2TACE</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26,926</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74.3</w:t>
            </w:r>
          </w:p>
        </w:tc>
      </w:tr>
    </w:tbl>
    <w:p>
      <w:pPr/>
      <w:r>
        <w:br w:type="page"/>
      </w:r>
    </w:p>
    <w:p>
      <w:pPr>
        <w:pStyle w:val="Titre1"/>
      </w:pPr>
      <w:r>
        <w:t xml:space="preserve">Supplemental Tables</w:t>
      </w:r>
    </w:p>
    <w:p>
      <w:pPr>
        <w:pStyle w:val="Titre2"/>
      </w:pPr>
      <w:r>
        <w:t xml:space="preserve">Table S1: Small Variant Benchmark Summary (All References)</w:t>
      </w:r>
    </w:p>
    <w:p>
      <w:pPr>
        <w:pStyle w:val="Normal"/>
      </w:pPr>
      <w:r>
        <w:t xml:space="preserve">Table S1. Summary of small variant benchmark sets for HG002 across three reference genomes (GRCh37, GRCh38, CHM13v2.0). Variant counts include single-nucleotide variants (SNVs) and insertions/deletions (indels) less than 50 bp within benchmark regions. Bench (Mb), total size of benchmark regions in megabases; % Ref, percentage of the assembled reference genome covered; % Asm, percentage of the HG002 Q100 diploid assembly covered. The v4.2.1 benchmark was generated for GRCh37 and GRCh38 only.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9"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Reference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Version</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SNV</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INDEL</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Total Variants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Bench (Mb)</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Ref</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Asm</w:t>
            </w:r>
          </w:p>
        </w:tc>
      </w:tr>
      <w:tr>
        <w:trPr>
          <w:trHeight w:val="61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3,651,855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951,308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4,603,163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2,726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95.4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87.5</w:t>
            </w:r>
          </w:p>
        </w:tc>
      </w:tr>
      <w:tr>
        <w:trPr>
          <w:trHeight w:val="598"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v4.2.1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3,367,463</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559,006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3,926,469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2,542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81.6</w:t>
            </w:r>
          </w:p>
        </w:tc>
      </w:tr>
      <w:tr>
        <w:trPr>
          <w:trHeight w:val="6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3,671,436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954,482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4,625,918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88.0</w:t>
            </w:r>
          </w:p>
        </w:tc>
      </w:tr>
      <w:tr>
        <w:trPr>
          <w:trHeight w:val="61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CHM13v2.0</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3,395,941</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885,454</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4,281,395</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2,768</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88.8</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88.9</w:t>
            </w:r>
          </w:p>
        </w:tc>
      </w:tr>
      <w:tr>
        <w:trPr>
          <w:trHeight w:val="360" w:hRule="auto"/>
        </w:trPr>
        <w:tc>
          <w:tcPr>
            <w:gridSpan w:val="8"/>
            <w:tcBorders>
              <w:bottom w:val="none" w:sz="0"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22"/>
                <w:szCs w:val="22"/>
                <w:color w:val="000000"/>
              </w:rPr>
            </w:pPr>
            <w:r>
              <w:rPr>
                <w:rFonts w:ascii="Roboto" w:hAnsi="Roboto" w:eastAsia="Roboto" w:cs="Roboto"/>
                <w:i w:val="false"/>
                <w:b w:val="false"/>
                <w:u w:val="none"/>
                <w:strike w:val="false"/>
                <w:sz w:val="22"/>
                <w:szCs w:val="22"/>
                <w:color w:val="000000"/>
              </w:rPr>
              <w:t xml:space="preserve">n: 4</w:t>
            </w:r>
          </w:p>
        </w:tc>
      </w:tr>
    </w:tbl>
    <w:p>
      <w:pPr/>
      <w:r>
        <w:br w:type="page"/>
      </w:r>
    </w:p>
    <w:p>
      <w:pPr>
        <w:pStyle w:val="Titre2"/>
      </w:pPr>
      <w:r>
        <w:t xml:space="preserve">Table S2: Structural Variant Benchmark Summary (All References)</w:t>
      </w:r>
    </w:p>
    <w:p>
      <w:pPr>
        <w:pStyle w:val="Normal"/>
      </w:pPr>
      <w:r>
        <w:t xml:space="preserve">Table S2. Summary of structural variant (SV) benchmark sets for HG002 across three reference genomes. Variant counts include deletions (DEL) and insertions (INS) of 50 bp or larger within benchmark regions. The v0.6 SV benchmark was only generated for GRCh37. Bench (Mb), % Ref, and % Asm are defined as in Table S1.</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19"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Reference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Version</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DEL</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INS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Total Variants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Bench (Mb)</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Ref</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Asm</w:t>
            </w:r>
          </w:p>
        </w:tc>
      </w:tr>
      <w:tr>
        <w:trPr>
          <w:trHeight w:val="59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v0.6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4,070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5,547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9,617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2,513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87.9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80.7</w:t>
            </w:r>
          </w:p>
        </w:tc>
      </w:tr>
      <w:tr>
        <w:trPr>
          <w:trHeight w:val="61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10,561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17,571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28,132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2,742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88.0</w:t>
            </w:r>
          </w:p>
        </w:tc>
      </w:tr>
      <w:tr>
        <w:trPr>
          <w:trHeight w:val="61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17,763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28,615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88.5</w:t>
            </w:r>
          </w:p>
        </w:tc>
      </w:tr>
      <w:tr>
        <w:trPr>
          <w:trHeight w:val="61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CHM13v2.0</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v5.0q</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12,841</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12,204</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25,045</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2,820</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90.5</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90.6</w:t>
            </w:r>
          </w:p>
        </w:tc>
      </w:tr>
      <w:tr>
        <w:trPr>
          <w:trHeight w:val="360" w:hRule="auto"/>
        </w:trPr>
        <w:tc>
          <w:tcPr>
            <w:gridSpan w:val="8"/>
            <w:tcBorders>
              <w:bottom w:val="none" w:sz="0" w:space="0" w:color="000000"/>
              <w:top w:val="single" w:sz="1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22"/>
                <w:szCs w:val="22"/>
                <w:color w:val="000000"/>
              </w:rPr>
            </w:pPr>
            <w:r>
              <w:rPr>
                <w:rFonts w:ascii="Roboto" w:hAnsi="Roboto" w:eastAsia="Roboto" w:cs="Roboto"/>
                <w:i w:val="false"/>
                <w:b w:val="false"/>
                <w:u w:val="none"/>
                <w:strike w:val="false"/>
                <w:sz w:val="22"/>
                <w:szCs w:val="22"/>
                <w:color w:val="000000"/>
              </w:rPr>
              <w:t xml:space="preserve">n: 4</w:t>
            </w:r>
          </w:p>
        </w:tc>
      </w:tr>
    </w:tbl>
    <w:p>
      <w:pPr/>
      <w:r>
        <w:br w:type="page"/>
      </w:r>
    </w:p>
    <w:p>
      <w:pPr>
        <w:pStyle w:val="Titre2"/>
      </w:pPr>
      <w:r>
        <w:t xml:space="preserve">Table S3: Bases Removed by Exclusion (All References)</w:t>
      </w:r>
    </w:p>
    <w:p>
      <w:pPr>
        <w:pStyle w:val="Normal"/>
      </w:pPr>
      <w:r>
        <w:t xml:space="preserve">Table S3. Bases removed by each exclusion category from v5.0q benchmark regions across all three reference genomes. For each exclusion, the table shows the number of base pairs in the intersection with dip.bed (Bases) and the percentage of dip.bed removed (% Dip). Exclusion names in italics apply only to the small variant benchmark. Not all exclusion categories are applicable to every reference genome.</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none" w:sz="0"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w:r>
          </w:p>
        </w:tc>
        <w:tc>
          <w:tcPr>
            <w:tcBorders>
              <w:bottom w:val="none" w:sz="0"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GRCh37</w:t>
            </w:r>
          </w:p>
        </w:tc>
        <w:tc>
          <w:tcPr>
            <w:tcBorders>
              <w:bottom w:val="none" w:sz="0"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GRCh38</w:t>
            </w:r>
          </w:p>
        </w:tc>
        <w:tc>
          <w:tcPr>
            <w:tcBorders>
              <w:bottom w:val="none" w:sz="0"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CHM13v2.0</w:t>
            </w:r>
          </w:p>
        </w:tc>
        <w:tc>
          <w:tcPr>
            <w:tcBorders>
              <w:bottom w:val="none" w:sz="0"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GRCh37</w:t>
            </w:r>
          </w:p>
        </w:tc>
        <w:tc>
          <w:tcPr>
            <w:tcBorders>
              <w:bottom w:val="none" w:sz="0"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GRCh38</w:t>
            </w:r>
          </w:p>
        </w:tc>
        <w:tc>
          <w:tcPr>
            <w:tcBorders>
              <w:bottom w:val="none" w:sz="0"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CHM13v2.0</w:t>
            </w:r>
          </w:p>
        </w:tc>
      </w:tr>
      <w:tr>
        <w:trPr>
          <w:trHeight w:val="360" w:hRule="auto"/>
          <w:tblHeader/>
        </w:trPr>
        <w:tc>
          <w:tcPr>
            <w:tcBorders>
              <w:bottom w:val="single" w:sz="8" w:space="0" w:color="000000"/>
              <w:top w:val="none" w:sz="0"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Exclusion</w:t>
            </w:r>
          </w:p>
        </w:tc>
        <w:tc>
          <w:tcPr>
            <w:gridSpan w:val="3"/>
            <w:tcBorders>
              <w:bottom w:val="single" w:sz="8" w:space="0" w:color="000000"/>
              <w:top w:val="none" w:sz="0"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Bases</w:t>
            </w:r>
          </w:p>
        </w:tc>
        <w:tc>
          <w:tcPr>
            <w:gridSpan w:val="3"/>
            <w:tcBorders>
              <w:bottom w:val="single" w:sz="8" w:space="0" w:color="000000"/>
              <w:top w:val="none" w:sz="0"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 Dip</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Segmental Duplications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68,528,082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53,069,910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52,311,253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2.332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1.874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1.841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true"/>
                <w:b w:val="false"/>
                <w:u w:val="none"/>
                <w:strike w:val="false"/>
                <w:sz w:val="18"/>
                <w:szCs w:val="18"/>
                <w:color w:val="555555"/>
              </w:rPr>
            </w:pPr>
            <w:r>
              <w:rPr>
                <w:rFonts w:ascii="Roboto" w:hAnsi="Roboto" w:eastAsia="Roboto" w:cs="Roboto"/>
                <w:i w:val="true"/>
                <w:b w:val="false"/>
                <w:u w:val="none"/>
                <w:strike w:val="false"/>
                <w:sz w:val="18"/>
                <w:szCs w:val="18"/>
                <w:color w:val="555555"/>
              </w:rPr>
              <w:t xml:space="preserve">SV regions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102,497,137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20,917,772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29,069,865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3.488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0.739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PAV-inversions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27,634,545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23,679,855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23,518,680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0.828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Satellites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46,309,666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9,968,194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16,627,547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1.576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0.585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Flanks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12,919,518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12,794,543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10,220,302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0.360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Tandem Repeats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22,552,227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1,961,119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6,553,662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0.767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Gaps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5,920,419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6,172,312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HG002Q100v1.1 errors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851,817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718,397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5,039,842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0.177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4,469,716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2,944,614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3,105,977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HG002-mosaic</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206,869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198,878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1,178,158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TSPY2-segdups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301,543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589,097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589,097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dipcall-pav_discrep-smvar</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645,136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352,342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333,608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Consecutive SVs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209,152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214,080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251,531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dipcall-pav_discrep-stvar</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247,810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90,450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127,132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Dipcall-bugs T2TACE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29,881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45,604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45,604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0.002</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true"/>
                <w:b w:val="false"/>
                <w:u w:val="none"/>
                <w:strike w:val="false"/>
                <w:sz w:val="18"/>
                <w:szCs w:val="18"/>
                <w:color w:val="555555"/>
              </w:rPr>
            </w:pPr>
            <w:r>
              <w:rPr>
                <w:rFonts w:ascii="Roboto" w:hAnsi="Roboto" w:eastAsia="Roboto" w:cs="Roboto"/>
                <w:i w:val="true"/>
                <w:b w:val="false"/>
                <w:u w:val="none"/>
                <w:strike w:val="false"/>
                <w:sz w:val="18"/>
                <w:szCs w:val="18"/>
                <w:color w:val="555555"/>
              </w:rPr>
              <w:t xml:space="preserve">Self-Discrepancies</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12,757,980</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15,148</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15,177</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0.434</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0.001</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0.001</w:t>
            </w:r>
          </w:p>
        </w:tc>
      </w:tr>
    </w:tbl>
    <w:p>
      <w:pPr/>
      <w:r>
        <w:br w:type="page"/>
      </w:r>
    </w:p>
    <w:p>
      <w:pPr>
        <w:pStyle w:val="Titre2"/>
      </w:pPr>
      <w:r>
        <w:t xml:space="preserve">Table S4: Excluded Variant Counts (All References)</w:t>
      </w:r>
    </w:p>
    <w:p>
      <w:pPr>
        <w:pStyle w:val="Normal"/>
      </w:pPr>
      <w:r>
        <w:t xml:space="preserve">Table S4. Number of variants in single-exclusion regions across all three reference genomes. Variant counts are shown separately for small variants and structural variants. Only regions attributed to exactly one exclusion category are included.</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Exclusion</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Type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CHM13v2.0</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GRCh37</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GRCh38</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Gaps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65,392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150,082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PAV-inversions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131,175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91,651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145,180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SV regions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161,623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131,418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139,936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HG002Q100v1.1 errors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10,227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9,721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120,558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Segmental Duplications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65,609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83,472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83,189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VDJ</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7,507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9,180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Satellites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7,035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HG002-mosaic</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1,448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1,536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5,975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dipcall-pav_discrep-smvar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4,463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Flanks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3,247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3,349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3,613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HG002Q100v1.1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Gaps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552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PAV-inversions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Segmental Duplications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1,309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962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Self-Discrepancies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TSPY2-segdups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Consecutive SVs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Satellites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2,201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Flanks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Consecutive SVs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dipcall-pav_discrep-stvar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Dipcall-bugs T2TACE</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VDJ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Tandem Repeats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dipcall-pav_discrep-stvar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Tandem Repeats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HG002-mosaic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dipcall-pav_discrep-smvar</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TSPY2-segdups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Dipcall-bugs T2TACE</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w:t>
            </w:r>
          </w:p>
        </w:tc>
      </w:tr>
    </w:tbl>
    <w:p>
      <w:pPr/>
      <w:r>
        <w:br w:type="page"/>
      </w:r>
    </w:p>
    <w:p>
      <w:pPr>
        <w:pStyle w:val="Titre2"/>
      </w:pPr>
      <w:r>
        <w:t xml:space="preserve">Table S5: Exclusion Interaction Summary</w:t>
      </w:r>
    </w:p>
    <w:p>
      <w:pPr>
        <w:pStyle w:val="Normal"/>
      </w:pPr>
      <w:r>
        <w:t xml:space="preserve">Table S5. Summary of exclusion region interactions across reference genomes and variant types. Total Combos, total number of distinct exclusion combinations observed; Single Only, number of exclusion categories that appear without overlap; Multi-Overlap, number of combinations involving two or more exclusion categories; Max Overlap, maximum number of exclusion categories overlapping at any single region; Total Bases, total base pairs across all exclusion combinations; Total Variants, total variants across all exclusion combinations.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Reference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Type</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Total Combos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Single Only</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Multi-Overlap</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Max Overlap</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Total Bases</w:t>
            </w:r>
          </w:p>
        </w:tc>
        <w:tc>
          <w:tcPr>
            <w:tcBorders>
              <w:bottom w:val="single" w:sz="8" w:space="0" w:color="000000"/>
              <w:top w:val="single" w:sz="16" w:space="0" w:color="000000"/>
              <w:left w:val="none" w:sz="0" w:space="0" w:color="000000"/>
              <w:right w:val="none" w:sz="0" w:space="0" w:color="000000"/>
            </w:tcBorders>
            <w:shd w:val="clear" w:color="auto" w:fill="F5F5F5"/>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true"/>
                <w:u w:val="none"/>
                <w:strike w:val="false"/>
                <w:sz w:val="20"/>
                <w:szCs w:val="20"/>
                <w:color w:val="000000"/>
              </w:rPr>
            </w:pPr>
            <w:r>
              <w:rPr>
                <w:rFonts w:ascii="Roboto" w:hAnsi="Roboto" w:eastAsia="Roboto" w:cs="Roboto"/>
                <w:i w:val="false"/>
                <w:b w:val="true"/>
                <w:u w:val="none"/>
                <w:strike w:val="false"/>
                <w:sz w:val="20"/>
                <w:szCs w:val="20"/>
                <w:color w:val="000000"/>
              </w:rPr>
              <w:t xml:space="preserve">Total Variants</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197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98,113,120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503,503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GRCh37</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82,562,668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4,404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101,313,073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1,010,863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GRCh38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84,476,180</w:t>
            </w:r>
          </w:p>
        </w:tc>
        <w:tc>
          <w:tcPr>
            <w:tcBorders>
              <w:bottom w:val="none" w:sz="0"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9,153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CHM13v2.0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Small Variants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170,543,346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947,976</w:t>
            </w:r>
          </w:p>
        </w:tc>
      </w:tr>
      <w:tr>
        <w:trPr>
          <w:trHeight w:val="360" w:hRule="auto"/>
        </w:trPr>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CHM13v2.0</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Structural Variants</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114</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13</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101</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5</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118,411,544</w:t>
            </w:r>
          </w:p>
        </w:tc>
        <w:tc>
          <w:tcPr>
            <w:tcBorders>
              <w:bottom w:val="single" w:sz="16" w:space="0" w:color="000000"/>
              <w:top w:val="none" w:sz="0" w:space="0" w:color="000000"/>
              <w:left w:val="none" w:sz="0" w:space="0" w:color="000000"/>
              <w:right w:val="none" w:sz="0" w:space="0" w:color="000000"/>
            </w:tcBorders>
            <w:shd w:val="clear" w:color="auto" w:fill="FAFA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60" w:before="160" w:line="240"/>
              <w:ind w:left="160" w:right="160" w:firstLine="0" w:firstLineChars="0"/>
              <w:rPr>
                <w:rFonts w:ascii="Roboto" w:hAnsi="Roboto" w:eastAsia="Roboto" w:cs="Roboto"/>
                <w:i w:val="false"/>
                <w:b w:val="false"/>
                <w:u w:val="none"/>
                <w:strike w:val="false"/>
                <w:sz w:val="18"/>
                <w:szCs w:val="18"/>
                <w:color w:val="000000"/>
              </w:rPr>
            </w:pPr>
            <w:r>
              <w:rPr>
                <w:rFonts w:ascii="Roboto" w:hAnsi="Roboto" w:eastAsia="Roboto" w:cs="Roboto"/>
                <w:i w:val="false"/>
                <w:b w:val="false"/>
                <w:u w:val="none"/>
                <w:strike w:val="false"/>
                <w:sz w:val="18"/>
                <w:szCs w:val="18"/>
                <w:color w:val="000000"/>
              </w:rPr>
              <w:t xml:space="preserve">12,665</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nolson</cp:lastModifiedBy>
  <cp:revision>9</cp:revision>
  <dcterms:created xsi:type="dcterms:W3CDTF">2017-02-28T11:18:00Z</dcterms:created>
  <dcterms:modified xsi:type="dcterms:W3CDTF">2026-03-20T01:08:06Z</dcterms:modified>
  <cp:category/>
</cp:coreProperties>
</file>