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1A56A0"/>
          <w:sz w:val="56"/>
          <w:szCs w:val="56"/>
        </w:rPr>
        <w:t xml:space="preserve">Envelope Budget App</w:t>
      </w:r>
    </w:p>
    <w:p>
      <w:pPr>
        <w:spacing w:before="0" w:after="80"/>
      </w:pPr>
      <w:r>
        <w:rPr>
          <w:rFonts w:ascii="Arial" w:cs="Arial" w:eastAsia="Arial" w:hAnsi="Arial"/>
          <w:color w:val="444444"/>
          <w:sz w:val="32"/>
          <w:szCs w:val="32"/>
        </w:rPr>
        <w:t xml:space="preserve">Product Requirements Document</w:t>
      </w:r>
    </w:p>
    <w:p>
      <w:pPr>
        <w:spacing w:before="0" w:after="40"/>
      </w:pPr>
      <w:r>
        <w:rPr>
          <w:rFonts w:ascii="Arial" w:cs="Arial" w:eastAsia="Arial" w:hAnsi="Arial"/>
          <w:color w:val="888888"/>
          <w:sz w:val="22"/>
          <w:szCs w:val="22"/>
        </w:rPr>
        <w:t xml:space="preserve">Version 2.0  ·  March 30, 2026</w:t>
      </w:r>
    </w:p>
    <w:p>
      <w:pPr>
        <w:spacing w:before="0" w:after="400"/>
      </w:pPr>
      <w:r>
        <w:rPr>
          <w:rFonts w:ascii="Arial" w:cs="Arial" w:eastAsia="Arial" w:hAnsi="Arial"/>
          <w:i/>
          <w:iCs/>
          <w:color w:val="AA3333"/>
          <w:sz w:val="20"/>
          <w:szCs w:val="20"/>
        </w:rPr>
        <w:t xml:space="preserve">Supersedes v1.0  ·  Major architectural revision: local-first storage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Product type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Consumer fintech — envelope budgeting + net worth</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1"/>
                <w:szCs w:val="21"/>
              </w:rPr>
              <w:t xml:space="preserve">Architecture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Local-first — all data stored on user’s device (IndexedDB / SQLite WASM)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Target users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Couples sharing one household budget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1"/>
                <w:szCs w:val="21"/>
              </w:rPr>
              <w:t xml:space="preserve">Platforms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Browser-first (web app), equal mobile browser support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Bank connectivity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None — CSV import (generic bank format) + manual entry</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1"/>
                <w:szCs w:val="21"/>
              </w:rPr>
              <w:t xml:space="preserve">Pricing model</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Free tier + one-time lifetime purchase ($100–$199)</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Partner sync</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Optional — user-provided storage (Dropbox, iCloud, etc.)</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1"/>
                <w:szCs w:val="21"/>
              </w:rPr>
              <w:t xml:space="preserve">License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License key, verified locally — no server validation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21"/>
                <w:szCs w:val="21"/>
              </w:rPr>
              <w:t xml:space="preserve">Offline support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Fully offline for all budgeting; internet required for optional sync only</w:t>
            </w:r>
          </w:p>
        </w:tc>
      </w:tr>
    </w:tbl>
    <w:p>
      <w:r>
        <w:br w:type="page"/>
      </w:r>
    </w:p>
    <w:p>
      <w:pPr>
        <w:pStyle w:val="Heading1"/>
        <w:spacing w:before="360" w:after="120"/>
      </w:pPr>
      <w:r>
        <w:rPr>
          <w:rFonts w:ascii="Arial" w:cs="Arial" w:eastAsia="Arial" w:hAnsi="Arial"/>
          <w:b/>
          <w:bCs/>
          <w:color w:val="1A56A0"/>
          <w:sz w:val="32"/>
          <w:szCs w:val="32"/>
        </w:rPr>
        <w:t xml:space="preserve">1. What Changed from v1.0</w:t>
      </w:r>
    </w:p>
    <w:p>
      <w:pPr>
        <w:spacing w:before="60" w:after="80"/>
      </w:pPr>
      <w:r>
        <w:rPr>
          <w:rFonts w:ascii="Arial" w:cs="Arial" w:eastAsia="Arial" w:hAnsi="Arial"/>
          <w:color w:val="1A1A1A"/>
          <w:sz w:val="22"/>
          <w:szCs w:val="22"/>
        </w:rPr>
        <w:t xml:space="preserve">Version 2.0 reflects three major strategic pivots made after the initial requirements session. This section documents what changed and why, so the rationale is preserved alongside the requirements.</w:t>
      </w:r>
    </w:p>
    <w:p>
      <w:pPr>
        <w:spacing w:before="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760"/>
      </w:tblGrid>
      <w:tr>
        <w:trPr>
          <w:tblHeader/>
        </w:trPr>
        <w:tc>
          <w:tcPr>
            <w:tcW w:type="dxa" w:w="20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Area</w:t>
            </w:r>
          </w:p>
        </w:tc>
        <w:tc>
          <w:tcPr>
            <w:tcW w:type="dxa" w:w="32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v1.0 (removed)</w:t>
            </w:r>
          </w:p>
        </w:tc>
        <w:tc>
          <w:tcPr>
            <w:tcW w:type="dxa" w:w="376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v2.0 (replaced with)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Storage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AA3333"/>
                <w:sz w:val="21"/>
                <w:szCs w:val="21"/>
              </w:rPr>
              <w:t xml:space="preserve">Cloud server (Postgres + backend API)</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6B3A"/>
                <w:sz w:val="21"/>
                <w:szCs w:val="21"/>
              </w:rPr>
              <w:t xml:space="preserve">Local-first: IndexedDB or SQLite WASM in browser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1"/>
                <w:szCs w:val="21"/>
              </w:rPr>
              <w:t xml:space="preserve">Data import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AA3333"/>
                <w:sz w:val="21"/>
                <w:szCs w:val="21"/>
              </w:rPr>
              <w:t xml:space="preserve">Plaid / Finicity bank sync (paid tier)</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6B3A"/>
                <w:sz w:val="21"/>
                <w:szCs w:val="21"/>
              </w:rPr>
              <w:t xml:space="preserve">Generic bank CSV import (all tiers)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Pricing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AA3333"/>
                <w:sz w:val="21"/>
                <w:szCs w:val="21"/>
              </w:rPr>
              <w:t xml:space="preserve">Free + flat monthly subscription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6B3A"/>
                <w:sz w:val="21"/>
                <w:szCs w:val="21"/>
              </w:rPr>
              <w:t xml:space="preserve">Free + one-time lifetime purchase ($100–$199)</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1"/>
                <w:szCs w:val="21"/>
              </w:rPr>
              <w:t xml:space="preserve">Partner sync</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AA3333"/>
                <w:sz w:val="21"/>
                <w:szCs w:val="21"/>
              </w:rPr>
              <w:t xml:space="preserve">Server-side shared database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6B3A"/>
                <w:sz w:val="21"/>
                <w:szCs w:val="21"/>
              </w:rPr>
              <w:t xml:space="preserve">User-managed encrypted file sync (Dropbox, iCloud)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Backend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AA3333"/>
                <w:sz w:val="21"/>
                <w:szCs w:val="21"/>
              </w:rPr>
              <w:t xml:space="preserve">Node/Python API server required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6B3A"/>
                <w:sz w:val="21"/>
                <w:szCs w:val="21"/>
              </w:rPr>
              <w:t xml:space="preserve">No backend — fully client-side application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1"/>
                <w:szCs w:val="21"/>
              </w:rPr>
              <w:t xml:space="preserve">License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AA3333"/>
                <w:sz w:val="21"/>
                <w:szCs w:val="21"/>
              </w:rPr>
              <w:t xml:space="preserve">Account-based, server-validated</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6B3A"/>
                <w:sz w:val="21"/>
                <w:szCs w:val="21"/>
              </w:rPr>
              <w:t xml:space="preserve">License key, verified locally in browser</w:t>
            </w:r>
          </w:p>
        </w:tc>
      </w:tr>
    </w:tbl>
    <w:p>
      <w:pPr>
        <w:spacing w:before="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7560"/>
      </w:tblGrid>
      <w:tr>
        <w:tc>
          <w:tcPr>
            <w:tcW w:type="dxa" w:w="1400"/>
            <w:tcBorders>
              <w:top w:val="none" w:color="FFFFFF" w:sz="0"/>
              <w:left w:val="none" w:color="FFFFFF" w:sz="0"/>
              <w:bottom w:val="none" w:color="FFFFFF" w:sz="0"/>
              <w:right w:val="none" w:color="FFFFFF" w:sz="0"/>
            </w:tcBorders>
            <w:shd w:fill="EBF5FB" w:val="clear"/>
            <w:tcMar>
              <w:top w:type="dxa" w:w="120"/>
              <w:left w:type="dxa" w:w="160"/>
              <w:bottom w:type="dxa" w:w="120"/>
              <w:right w:type="dxa" w:w="100"/>
            </w:tcMar>
          </w:tcPr>
          <w:p>
            <w:r>
              <w:rPr>
                <w:rFonts w:ascii="Arial" w:cs="Arial" w:eastAsia="Arial" w:hAnsi="Arial"/>
                <w:b/>
                <w:bCs/>
                <w:color w:val="1565C0"/>
                <w:sz w:val="20"/>
                <w:szCs w:val="20"/>
              </w:rPr>
              <w:t xml:space="preserve">Strategic rationale</w:t>
            </w:r>
          </w:p>
        </w:tc>
        <w:tc>
          <w:tcPr>
            <w:tcW w:type="dxa" w:w="7560"/>
            <w:tcBorders>
              <w:top w:val="none" w:color="FFFFFF" w:sz="0"/>
              <w:left w:val="none" w:color="FFFFFF" w:sz="0"/>
              <w:bottom w:val="none" w:color="FFFFFF" w:sz="0"/>
              <w:right w:val="none" w:color="FFFFFF" w:sz="0"/>
            </w:tcBorders>
            <w:shd w:fill="EBF5FB" w:val="clear"/>
            <w:tcMar>
              <w:top w:type="dxa" w:w="120"/>
              <w:left w:type="dxa" w:w="100"/>
              <w:bottom w:type="dxa" w:w="120"/>
              <w:right w:type="dxa" w:w="160"/>
            </w:tcMar>
          </w:tcPr>
          <w:p>
            <w:r>
              <w:rPr>
                <w:rFonts w:ascii="Arial" w:cs="Arial" w:eastAsia="Arial" w:hAnsi="Arial"/>
                <w:color w:val="1A1A1A"/>
                <w:sz w:val="21"/>
                <w:szCs w:val="21"/>
              </w:rPr>
              <w:t xml:space="preserve">Local-first eliminates server costs, compliance liability, and breach risk entirely. The product's differentiator becomes 'your data never leaves your device.' One-time pricing removes subscription fatigue and signals confidence in the product's long-term value.</w:t>
            </w:r>
          </w:p>
        </w:tc>
      </w:tr>
    </w:tbl>
    <w:p>
      <w:pPr>
        <w:pBdr>
          <w:bottom w:val="single" w:color="DDDDDD" w:sz="4" w:space="1"/>
        </w:pBdr>
        <w:spacing w:before="160" w:after="160"/>
      </w:pPr>
    </w:p>
    <w:p>
      <w:pPr>
        <w:pStyle w:val="Heading1"/>
        <w:spacing w:before="360" w:after="120"/>
      </w:pPr>
      <w:r>
        <w:rPr>
          <w:rFonts w:ascii="Arial" w:cs="Arial" w:eastAsia="Arial" w:hAnsi="Arial"/>
          <w:b/>
          <w:bCs/>
          <w:color w:val="1A56A0"/>
          <w:sz w:val="32"/>
          <w:szCs w:val="32"/>
        </w:rPr>
        <w:t xml:space="preserve">2. Product Overview</w:t>
      </w:r>
    </w:p>
    <w:p>
      <w:pPr>
        <w:spacing w:before="60" w:after="80"/>
      </w:pPr>
      <w:r>
        <w:rPr>
          <w:rFonts w:ascii="Arial" w:cs="Arial" w:eastAsia="Arial" w:hAnsi="Arial"/>
          <w:color w:val="1A1A1A"/>
          <w:sz w:val="22"/>
          <w:szCs w:val="22"/>
        </w:rPr>
        <w:t xml:space="preserve">An envelope budgeting app that runs entirely in the browser with no server dependency. All financial data is stored locally on the user’s device. The product is positioned around three core values: privacy (your data never touches a server), simplicity (intentional manual-first budgeting), and ownership (buy once, use forever).</w:t>
      </w:r>
    </w:p>
    <w:p>
      <w:pPr>
        <w:spacing w:before="60" w:after="80"/>
      </w:pPr>
      <w:r>
        <w:rPr>
          <w:rFonts w:ascii="Arial" w:cs="Arial" w:eastAsia="Arial" w:hAnsi="Arial"/>
          <w:color w:val="1A1A1A"/>
          <w:sz w:val="22"/>
          <w:szCs w:val="22"/>
        </w:rPr>
        <w:t xml:space="preserve">The closest analogs are EveryDollar and FaithFi for budgeting philosophy, but the architecture is closer to a local desktop application that happens to run in a browser — more like Actual Budget than Monarch Money.</w:t>
      </w:r>
    </w:p>
    <w:p>
      <w:pPr>
        <w:pBdr>
          <w:bottom w:val="single" w:color="DDDDDD" w:sz="4" w:space="1"/>
        </w:pBdr>
        <w:spacing w:before="160" w:after="160"/>
      </w:pPr>
    </w:p>
    <w:p>
      <w:pPr>
        <w:pStyle w:val="Heading1"/>
        <w:spacing w:before="360" w:after="120"/>
      </w:pPr>
      <w:r>
        <w:rPr>
          <w:rFonts w:ascii="Arial" w:cs="Arial" w:eastAsia="Arial" w:hAnsi="Arial"/>
          <w:b/>
          <w:bCs/>
          <w:color w:val="1A56A0"/>
          <w:sz w:val="32"/>
          <w:szCs w:val="32"/>
        </w:rPr>
        <w:t xml:space="preserve">3. Local-First Architecture</w:t>
      </w:r>
    </w:p>
    <w:p>
      <w:pPr>
        <w:pStyle w:val="Heading2"/>
        <w:spacing w:before="280" w:after="80"/>
      </w:pPr>
      <w:r>
        <w:rPr>
          <w:rFonts w:ascii="Arial" w:cs="Arial" w:eastAsia="Arial" w:hAnsi="Arial"/>
          <w:b/>
          <w:bCs/>
          <w:color w:val="1A1A1A"/>
          <w:sz w:val="26"/>
          <w:szCs w:val="26"/>
        </w:rPr>
        <w:t xml:space="preserve">3.1 Storage engine</w:t>
      </w:r>
    </w:p>
    <w:p>
      <w:pPr>
        <w:spacing w:before="60" w:after="80"/>
      </w:pPr>
      <w:r>
        <w:rPr>
          <w:rFonts w:ascii="Arial" w:cs="Arial" w:eastAsia="Arial" w:hAnsi="Arial"/>
          <w:color w:val="1A1A1A"/>
          <w:sz w:val="22"/>
          <w:szCs w:val="22"/>
        </w:rPr>
        <w:t xml:space="preserve">All user data is stored in the browser using one of two approaches (to be decided during technical design):</w:t>
      </w:r>
    </w:p>
    <w:p>
      <w:pPr>
        <w:pStyle w:val="ListParagraph"/>
        <w:numPr>
          <w:ilvl w:val="0"/>
          <w:numId w:val="2"/>
        </w:numPr>
        <w:spacing w:before="40" w:after="40"/>
      </w:pPr>
      <w:r>
        <w:rPr>
          <w:rFonts w:ascii="Arial" w:cs="Arial" w:eastAsia="Arial" w:hAnsi="Arial"/>
          <w:color w:val="1A1A1A"/>
          <w:sz w:val="22"/>
          <w:szCs w:val="22"/>
        </w:rPr>
        <w:t xml:space="preserve">IndexedDB — native browser key-value store, no install required, works in all modern browsers</w:t>
      </w:r>
    </w:p>
    <w:p>
      <w:pPr>
        <w:pStyle w:val="ListParagraph"/>
        <w:numPr>
          <w:ilvl w:val="0"/>
          <w:numId w:val="2"/>
        </w:numPr>
        <w:spacing w:before="40" w:after="40"/>
      </w:pPr>
      <w:r>
        <w:rPr>
          <w:rFonts w:ascii="Arial" w:cs="Arial" w:eastAsia="Arial" w:hAnsi="Arial"/>
          <w:color w:val="1A1A1A"/>
          <w:sz w:val="22"/>
          <w:szCs w:val="22"/>
        </w:rPr>
        <w:t xml:space="preserve">SQLite via WebAssembly (WASM) — full relational database running client-side, used by tools like Actual Budget; enables richer queries and easier data portability</w:t>
      </w:r>
    </w:p>
    <w:p>
      <w:pPr>
        <w:spacing w:before="60" w:after="80"/>
      </w:pPr>
      <w:r>
        <w:rPr>
          <w:rFonts w:ascii="Arial" w:cs="Arial" w:eastAsia="Arial" w:hAnsi="Arial"/>
          <w:color w:val="1A1A1A"/>
          <w:sz w:val="22"/>
          <w:szCs w:val="22"/>
        </w:rPr>
        <w:t xml:space="preserve">The recommended approach for v1 is SQLite WASM. It produces a single portable .db file that the user can back up, move between devices, and hand off to a partner — which aligns with the sync strategy.</w:t>
      </w:r>
    </w:p>
    <w:p>
      <w:pPr>
        <w:pStyle w:val="Heading2"/>
        <w:spacing w:before="280" w:after="80"/>
      </w:pPr>
      <w:r>
        <w:rPr>
          <w:rFonts w:ascii="Arial" w:cs="Arial" w:eastAsia="Arial" w:hAnsi="Arial"/>
          <w:b/>
          <w:bCs/>
          <w:color w:val="1A1A1A"/>
          <w:sz w:val="26"/>
          <w:szCs w:val="26"/>
        </w:rPr>
        <w:t xml:space="preserve">3.2 No backend requirement</w:t>
      </w:r>
    </w:p>
    <w:p>
      <w:pPr>
        <w:spacing w:before="60" w:after="80"/>
      </w:pPr>
      <w:r>
        <w:rPr>
          <w:rFonts w:ascii="Arial" w:cs="Arial" w:eastAsia="Arial" w:hAnsi="Arial"/>
          <w:color w:val="1A1A1A"/>
          <w:sz w:val="22"/>
          <w:szCs w:val="22"/>
        </w:rPr>
        <w:t xml:space="preserve">The application has no server component for budgeting features. There is no API server, no cloud database, and no authentication server. The app is a static web application (HTML + JS + CSS) that can be:</w:t>
      </w:r>
    </w:p>
    <w:p>
      <w:pPr>
        <w:pStyle w:val="ListParagraph"/>
        <w:numPr>
          <w:ilvl w:val="0"/>
          <w:numId w:val="2"/>
        </w:numPr>
        <w:spacing w:before="40" w:after="40"/>
      </w:pPr>
      <w:r>
        <w:rPr>
          <w:rFonts w:ascii="Arial" w:cs="Arial" w:eastAsia="Arial" w:hAnsi="Arial"/>
          <w:color w:val="1A1A1A"/>
          <w:sz w:val="22"/>
          <w:szCs w:val="22"/>
        </w:rPr>
        <w:t xml:space="preserve">Hosted on a simple static host (Netlify, Vercel, GitHub Pages, or self-hosted)</w:t>
      </w:r>
    </w:p>
    <w:p>
      <w:pPr>
        <w:pStyle w:val="ListParagraph"/>
        <w:numPr>
          <w:ilvl w:val="0"/>
          <w:numId w:val="2"/>
        </w:numPr>
        <w:spacing w:before="40" w:after="40"/>
      </w:pPr>
      <w:r>
        <w:rPr>
          <w:rFonts w:ascii="Arial" w:cs="Arial" w:eastAsia="Arial" w:hAnsi="Arial"/>
          <w:color w:val="1A1A1A"/>
          <w:sz w:val="22"/>
          <w:szCs w:val="22"/>
        </w:rPr>
        <w:t xml:space="preserve">Downloaded and run locally from a file system without any internet connection</w:t>
      </w:r>
    </w:p>
    <w:p>
      <w:pPr>
        <w:pStyle w:val="ListParagraph"/>
        <w:numPr>
          <w:ilvl w:val="0"/>
          <w:numId w:val="2"/>
        </w:numPr>
        <w:spacing w:before="40" w:after="40"/>
      </w:pPr>
      <w:r>
        <w:rPr>
          <w:rFonts w:ascii="Arial" w:cs="Arial" w:eastAsia="Arial" w:hAnsi="Arial"/>
          <w:color w:val="1A1A1A"/>
          <w:sz w:val="22"/>
          <w:szCs w:val="22"/>
        </w:rPr>
        <w:t xml:space="preserve">Packaged as a PWA (Progressive Web App) for mobile home screen installation</w:t>
      </w:r>
    </w:p>
    <w:p>
      <w:pPr>
        <w:pStyle w:val="Heading2"/>
        <w:spacing w:before="280" w:after="80"/>
      </w:pPr>
      <w:r>
        <w:rPr>
          <w:rFonts w:ascii="Arial" w:cs="Arial" w:eastAsia="Arial" w:hAnsi="Arial"/>
          <w:b/>
          <w:bCs/>
          <w:color w:val="1A1A1A"/>
          <w:sz w:val="26"/>
          <w:szCs w:val="26"/>
        </w:rPr>
        <w:t xml:space="preserve">3.3 Partner and multi-device sync</w:t>
      </w:r>
    </w:p>
    <w:p>
      <w:pPr>
        <w:spacing w:before="60" w:after="80"/>
      </w:pPr>
      <w:r>
        <w:rPr>
          <w:rFonts w:ascii="Arial" w:cs="Arial" w:eastAsia="Arial" w:hAnsi="Arial"/>
          <w:color w:val="1A1A1A"/>
          <w:sz w:val="22"/>
          <w:szCs w:val="22"/>
        </w:rPr>
        <w:t xml:space="preserve">Since there is no server, sync is handled by the user via their own preferred storage service. The app exports and imports a single encrypted database file. Supported sync paths:</w:t>
      </w:r>
    </w:p>
    <w:p>
      <w:pPr>
        <w:pStyle w:val="ListParagraph"/>
        <w:numPr>
          <w:ilvl w:val="0"/>
          <w:numId w:val="2"/>
        </w:numPr>
        <w:spacing w:before="40" w:after="40"/>
      </w:pPr>
      <w:r>
        <w:rPr>
          <w:rFonts w:ascii="Arial" w:cs="Arial" w:eastAsia="Arial" w:hAnsi="Arial"/>
          <w:color w:val="1A1A1A"/>
          <w:sz w:val="22"/>
          <w:szCs w:val="22"/>
        </w:rPr>
        <w:t xml:space="preserve">Dropbox, iCloud Drive, Google Drive, OneDrive — user places the .db file in a shared folder</w:t>
      </w:r>
    </w:p>
    <w:p>
      <w:pPr>
        <w:pStyle w:val="ListParagraph"/>
        <w:numPr>
          <w:ilvl w:val="0"/>
          <w:numId w:val="2"/>
        </w:numPr>
        <w:spacing w:before="40" w:after="40"/>
      </w:pPr>
      <w:r>
        <w:rPr>
          <w:rFonts w:ascii="Arial" w:cs="Arial" w:eastAsia="Arial" w:hAnsi="Arial"/>
          <w:color w:val="1A1A1A"/>
          <w:sz w:val="22"/>
          <w:szCs w:val="22"/>
        </w:rPr>
        <w:t xml:space="preserve">Manual file transfer — export from one device, import on another</w:t>
      </w:r>
    </w:p>
    <w:p>
      <w:pPr>
        <w:pStyle w:val="ListParagraph"/>
        <w:numPr>
          <w:ilvl w:val="0"/>
          <w:numId w:val="2"/>
        </w:numPr>
        <w:spacing w:before="40" w:after="40"/>
      </w:pPr>
      <w:r>
        <w:rPr>
          <w:rFonts w:ascii="Arial" w:cs="Arial" w:eastAsia="Arial" w:hAnsi="Arial"/>
          <w:color w:val="1A1A1A"/>
          <w:sz w:val="22"/>
          <w:szCs w:val="22"/>
        </w:rPr>
        <w:t xml:space="preserve">The app detects when a newer version of the sync file is available and prompts the user to merge or replace</w:t>
      </w:r>
    </w:p>
    <w:p>
      <w:pPr>
        <w:spacing w:before="60" w:after="80"/>
      </w:pPr>
      <w:r>
        <w:rPr>
          <w:rFonts w:ascii="Arial" w:cs="Arial" w:eastAsia="Arial" w:hAnsi="Arial"/>
          <w:color w:val="1A1A1A"/>
          <w:sz w:val="22"/>
          <w:szCs w:val="22"/>
        </w:rPr>
        <w:t xml:space="preserve">Conflict resolution in v1 is simple: last-write-wins, with a prompt shown if timestamps are within 24 hours of each other. Full merge/diff is a v2 consideration.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7560"/>
      </w:tblGrid>
      <w:tr>
        <w:tc>
          <w:tcPr>
            <w:tcW w:type="dxa" w:w="1400"/>
            <w:tcBorders>
              <w:top w:val="none" w:color="FFFFFF" w:sz="0"/>
              <w:left w:val="none" w:color="FFFFFF" w:sz="0"/>
              <w:bottom w:val="none" w:color="FFFFFF" w:sz="0"/>
              <w:right w:val="none" w:color="FFFFFF" w:sz="0"/>
            </w:tcBorders>
            <w:shd w:fill="FFF8E1" w:val="clear"/>
            <w:tcMar>
              <w:top w:type="dxa" w:w="120"/>
              <w:left w:type="dxa" w:w="160"/>
              <w:bottom w:type="dxa" w:w="120"/>
              <w:right w:type="dxa" w:w="100"/>
            </w:tcMar>
          </w:tcPr>
          <w:p>
            <w:r>
              <w:rPr>
                <w:rFonts w:ascii="Arial" w:cs="Arial" w:eastAsia="Arial" w:hAnsi="Arial"/>
                <w:b/>
                <w:bCs/>
                <w:color w:val="F57F17"/>
                <w:sz w:val="20"/>
                <w:szCs w:val="20"/>
              </w:rPr>
              <w:t xml:space="preserve">Important constraint</w:t>
            </w:r>
          </w:p>
        </w:tc>
        <w:tc>
          <w:tcPr>
            <w:tcW w:type="dxa" w:w="7560"/>
            <w:tcBorders>
              <w:top w:val="none" w:color="FFFFFF" w:sz="0"/>
              <w:left w:val="none" w:color="FFFFFF" w:sz="0"/>
              <w:bottom w:val="none" w:color="FFFFFF" w:sz="0"/>
              <w:right w:val="none" w:color="FFFFFF" w:sz="0"/>
            </w:tcBorders>
            <w:shd w:fill="FFF8E1" w:val="clear"/>
            <w:tcMar>
              <w:top w:type="dxa" w:w="120"/>
              <w:left w:type="dxa" w:w="100"/>
              <w:bottom w:type="dxa" w:w="120"/>
              <w:right w:type="dxa" w:w="160"/>
            </w:tcMar>
          </w:tcPr>
          <w:p>
            <w:r>
              <w:rPr>
                <w:rFonts w:ascii="Arial" w:cs="Arial" w:eastAsia="Arial" w:hAnsi="Arial"/>
                <w:color w:val="1A1A1A"/>
                <w:sz w:val="21"/>
                <w:szCs w:val="21"/>
              </w:rPr>
              <w:t xml:space="preserve">The optional sync feature requires an internet connection only to communicate with the user’s chosen storage provider (e.g. Dropbox API). All budgeting, reporting, and data entry works fully offline. Sync is never required.</w:t>
            </w:r>
          </w:p>
        </w:tc>
      </w:tr>
    </w:tbl>
    <w:p>
      <w:pPr>
        <w:pStyle w:val="Heading2"/>
        <w:spacing w:before="280" w:after="80"/>
      </w:pPr>
      <w:r>
        <w:rPr>
          <w:rFonts w:ascii="Arial" w:cs="Arial" w:eastAsia="Arial" w:hAnsi="Arial"/>
          <w:b/>
          <w:bCs/>
          <w:color w:val="1A1A1A"/>
          <w:sz w:val="26"/>
          <w:szCs w:val="26"/>
        </w:rPr>
        <w:t xml:space="preserve">3.4 Data export and portability</w:t>
      </w:r>
    </w:p>
    <w:p>
      <w:pPr>
        <w:spacing w:before="60" w:after="80"/>
      </w:pPr>
      <w:r>
        <w:rPr>
          <w:rFonts w:ascii="Arial" w:cs="Arial" w:eastAsia="Arial" w:hAnsi="Arial"/>
          <w:color w:val="1A1A1A"/>
          <w:sz w:val="22"/>
          <w:szCs w:val="22"/>
        </w:rPr>
        <w:t xml:space="preserve">Users own their data completely. The app provides:</w:t>
      </w:r>
    </w:p>
    <w:p>
      <w:pPr>
        <w:pStyle w:val="ListParagraph"/>
        <w:numPr>
          <w:ilvl w:val="0"/>
          <w:numId w:val="2"/>
        </w:numPr>
        <w:spacing w:before="40" w:after="40"/>
      </w:pPr>
      <w:r>
        <w:rPr>
          <w:rFonts w:ascii="Arial" w:cs="Arial" w:eastAsia="Arial" w:hAnsi="Arial"/>
          <w:color w:val="1A1A1A"/>
          <w:sz w:val="22"/>
          <w:szCs w:val="22"/>
        </w:rPr>
        <w:t xml:space="preserve">Export full database as encrypted .db file (for backup or sync)</w:t>
      </w:r>
    </w:p>
    <w:p>
      <w:pPr>
        <w:pStyle w:val="ListParagraph"/>
        <w:numPr>
          <w:ilvl w:val="0"/>
          <w:numId w:val="2"/>
        </w:numPr>
        <w:spacing w:before="40" w:after="40"/>
      </w:pPr>
      <w:r>
        <w:rPr>
          <w:rFonts w:ascii="Arial" w:cs="Arial" w:eastAsia="Arial" w:hAnsi="Arial"/>
          <w:color w:val="1A1A1A"/>
          <w:sz w:val="22"/>
          <w:szCs w:val="22"/>
        </w:rPr>
        <w:t xml:space="preserve">Export full database as unencrypted .db file (for migration or inspection)</w:t>
      </w:r>
    </w:p>
    <w:p>
      <w:pPr>
        <w:pStyle w:val="ListParagraph"/>
        <w:numPr>
          <w:ilvl w:val="0"/>
          <w:numId w:val="2"/>
        </w:numPr>
        <w:spacing w:before="40" w:after="40"/>
      </w:pPr>
      <w:r>
        <w:rPr>
          <w:rFonts w:ascii="Arial" w:cs="Arial" w:eastAsia="Arial" w:hAnsi="Arial"/>
          <w:color w:val="1A1A1A"/>
          <w:sz w:val="22"/>
          <w:szCs w:val="22"/>
        </w:rPr>
        <w:t xml:space="preserve">Export transactions as CSV</w:t>
      </w:r>
    </w:p>
    <w:p>
      <w:pPr>
        <w:pStyle w:val="ListParagraph"/>
        <w:numPr>
          <w:ilvl w:val="0"/>
          <w:numId w:val="2"/>
        </w:numPr>
        <w:spacing w:before="40" w:after="40"/>
      </w:pPr>
      <w:r>
        <w:rPr>
          <w:rFonts w:ascii="Arial" w:cs="Arial" w:eastAsia="Arial" w:hAnsi="Arial"/>
          <w:color w:val="1A1A1A"/>
          <w:sz w:val="22"/>
          <w:szCs w:val="22"/>
        </w:rPr>
        <w:t xml:space="preserve">Export net worth history as CSV</w:t>
      </w:r>
    </w:p>
    <w:p>
      <w:pPr>
        <w:pBdr>
          <w:bottom w:val="single" w:color="DDDDDD" w:sz="4" w:space="1"/>
        </w:pBdr>
        <w:spacing w:before="160" w:after="160"/>
      </w:pPr>
    </w:p>
    <w:p>
      <w:pPr>
        <w:pStyle w:val="Heading1"/>
        <w:spacing w:before="360" w:after="120"/>
      </w:pPr>
      <w:r>
        <w:rPr>
          <w:rFonts w:ascii="Arial" w:cs="Arial" w:eastAsia="Arial" w:hAnsi="Arial"/>
          <w:b/>
          <w:bCs/>
          <w:color w:val="1A56A0"/>
          <w:sz w:val="32"/>
          <w:szCs w:val="32"/>
        </w:rPr>
        <w:t xml:space="preserve">4. User &amp; Household Model</w:t>
      </w:r>
    </w:p>
    <w:p>
      <w:pPr>
        <w:pStyle w:val="Heading2"/>
        <w:spacing w:before="280" w:after="80"/>
      </w:pPr>
      <w:r>
        <w:rPr>
          <w:rFonts w:ascii="Arial" w:cs="Arial" w:eastAsia="Arial" w:hAnsi="Arial"/>
          <w:b/>
          <w:bCs/>
          <w:color w:val="1A1A1A"/>
          <w:sz w:val="26"/>
          <w:szCs w:val="26"/>
        </w:rPr>
        <w:t xml:space="preserve">4.1 No accounts or login</w:t>
      </w:r>
    </w:p>
    <w:p>
      <w:pPr>
        <w:spacing w:before="60" w:after="80"/>
      </w:pPr>
      <w:r>
        <w:rPr>
          <w:rFonts w:ascii="Arial" w:cs="Arial" w:eastAsia="Arial" w:hAnsi="Arial"/>
          <w:color w:val="1A1A1A"/>
          <w:sz w:val="22"/>
          <w:szCs w:val="22"/>
        </w:rPr>
        <w:t xml:space="preserve">Because data is stored locally, there is no traditional user account system. The app opens directly to the user’s local data. A license key (entered once) unlocks premium features and is stored locally.</w:t>
      </w:r>
    </w:p>
    <w:p>
      <w:pPr>
        <w:pStyle w:val="Heading2"/>
        <w:spacing w:before="280" w:after="80"/>
      </w:pPr>
      <w:r>
        <w:rPr>
          <w:rFonts w:ascii="Arial" w:cs="Arial" w:eastAsia="Arial" w:hAnsi="Arial"/>
          <w:b/>
          <w:bCs/>
          <w:color w:val="1A1A1A"/>
          <w:sz w:val="26"/>
          <w:szCs w:val="26"/>
        </w:rPr>
        <w:t xml:space="preserve">4.2 Household profiles</w:t>
      </w:r>
    </w:p>
    <w:p>
      <w:pPr>
        <w:spacing w:before="60" w:after="80"/>
      </w:pPr>
      <w:r>
        <w:rPr>
          <w:rFonts w:ascii="Arial" w:cs="Arial" w:eastAsia="Arial" w:hAnsi="Arial"/>
          <w:color w:val="1A1A1A"/>
          <w:sz w:val="22"/>
          <w:szCs w:val="22"/>
        </w:rPr>
        <w:t xml:space="preserve">Users can create one or more named profiles within the app (e.g. “Shared Budget” and “Personal”). In v1, the primary use case is one shared household budget for two partners.</w:t>
      </w:r>
    </w:p>
    <w:p>
      <w:pPr>
        <w:pStyle w:val="Heading2"/>
        <w:spacing w:before="280" w:after="80"/>
      </w:pPr>
      <w:r>
        <w:rPr>
          <w:rFonts w:ascii="Arial" w:cs="Arial" w:eastAsia="Arial" w:hAnsi="Arial"/>
          <w:b/>
          <w:bCs/>
          <w:color w:val="1A1A1A"/>
          <w:sz w:val="26"/>
          <w:szCs w:val="26"/>
        </w:rPr>
        <w:t xml:space="preserve">4.3 Partner sharing</w:t>
      </w:r>
    </w:p>
    <w:p>
      <w:pPr>
        <w:spacing w:before="60" w:after="80"/>
      </w:pPr>
      <w:r>
        <w:rPr>
          <w:rFonts w:ascii="Arial" w:cs="Arial" w:eastAsia="Arial" w:hAnsi="Arial"/>
          <w:color w:val="1A1A1A"/>
          <w:sz w:val="22"/>
          <w:szCs w:val="22"/>
        </w:rPr>
        <w:t xml:space="preserve">Partners share a budget by syncing the same .db file via their chosen cloud storage. Either partner can open the app on their own device, pointing to the shared file. The app is not aware of who is “logged in” — access to the file is the authorization mechanism.</w:t>
      </w:r>
    </w:p>
    <w:p>
      <w:pPr>
        <w:pBdr>
          <w:bottom w:val="single" w:color="DDDDDD" w:sz="4" w:space="1"/>
        </w:pBdr>
        <w:spacing w:before="160" w:after="160"/>
      </w:pPr>
    </w:p>
    <w:p>
      <w:pPr>
        <w:pStyle w:val="Heading1"/>
        <w:spacing w:before="360" w:after="120"/>
      </w:pPr>
      <w:r>
        <w:rPr>
          <w:rFonts w:ascii="Arial" w:cs="Arial" w:eastAsia="Arial" w:hAnsi="Arial"/>
          <w:b/>
          <w:bCs/>
          <w:color w:val="1A56A0"/>
          <w:sz w:val="32"/>
          <w:szCs w:val="32"/>
        </w:rPr>
        <w:t xml:space="preserve">5. Data Import</w:t>
      </w:r>
    </w:p>
    <w:p>
      <w:pPr>
        <w:pStyle w:val="Heading2"/>
        <w:spacing w:before="280" w:after="80"/>
      </w:pPr>
      <w:r>
        <w:rPr>
          <w:rFonts w:ascii="Arial" w:cs="Arial" w:eastAsia="Arial" w:hAnsi="Arial"/>
          <w:b/>
          <w:bCs/>
          <w:color w:val="1A1A1A"/>
          <w:sz w:val="26"/>
          <w:szCs w:val="26"/>
        </w:rPr>
        <w:t xml:space="preserve">5.1 Generic bank CSV</w:t>
      </w:r>
    </w:p>
    <w:p>
      <w:pPr>
        <w:spacing w:before="60" w:after="80"/>
      </w:pPr>
      <w:r>
        <w:rPr>
          <w:rFonts w:ascii="Arial" w:cs="Arial" w:eastAsia="Arial" w:hAnsi="Arial"/>
          <w:color w:val="1A1A1A"/>
          <w:sz w:val="22"/>
          <w:szCs w:val="22"/>
        </w:rPr>
        <w:t xml:space="preserve">The primary import method is CSV files downloaded directly from the user’s bank. Because every bank formats their CSV differently, the import flow includes a column mapping step:</w:t>
      </w:r>
    </w:p>
    <w:p>
      <w:pPr>
        <w:pStyle w:val="ListParagraph"/>
        <w:numPr>
          <w:ilvl w:val="0"/>
          <w:numId w:val="2"/>
        </w:numPr>
        <w:spacing w:before="40" w:after="40"/>
      </w:pPr>
      <w:r>
        <w:rPr>
          <w:rFonts w:ascii="Arial" w:cs="Arial" w:eastAsia="Arial" w:hAnsi="Arial"/>
          <w:color w:val="1A1A1A"/>
          <w:sz w:val="22"/>
          <w:szCs w:val="22"/>
        </w:rPr>
        <w:t xml:space="preserve">User uploads a CSV file</w:t>
      </w:r>
    </w:p>
    <w:p>
      <w:pPr>
        <w:pStyle w:val="ListParagraph"/>
        <w:numPr>
          <w:ilvl w:val="0"/>
          <w:numId w:val="2"/>
        </w:numPr>
        <w:spacing w:before="40" w:after="40"/>
      </w:pPr>
      <w:r>
        <w:rPr>
          <w:rFonts w:ascii="Arial" w:cs="Arial" w:eastAsia="Arial" w:hAnsi="Arial"/>
          <w:color w:val="1A1A1A"/>
          <w:sz w:val="22"/>
          <w:szCs w:val="22"/>
        </w:rPr>
        <w:t xml:space="preserve">App detects columns and shows a mapping UI: which column is Date, Amount, Description, etc.</w:t>
      </w:r>
    </w:p>
    <w:p>
      <w:pPr>
        <w:pStyle w:val="ListParagraph"/>
        <w:numPr>
          <w:ilvl w:val="0"/>
          <w:numId w:val="2"/>
        </w:numPr>
        <w:spacing w:before="40" w:after="40"/>
      </w:pPr>
      <w:r>
        <w:rPr>
          <w:rFonts w:ascii="Arial" w:cs="Arial" w:eastAsia="Arial" w:hAnsi="Arial"/>
          <w:color w:val="1A1A1A"/>
          <w:sz w:val="22"/>
          <w:szCs w:val="22"/>
        </w:rPr>
        <w:t xml:space="preserve">User confirms or adjusts the mapping</w:t>
      </w:r>
    </w:p>
    <w:p>
      <w:pPr>
        <w:pStyle w:val="ListParagraph"/>
        <w:numPr>
          <w:ilvl w:val="0"/>
          <w:numId w:val="2"/>
        </w:numPr>
        <w:spacing w:before="40" w:after="40"/>
      </w:pPr>
      <w:r>
        <w:rPr>
          <w:rFonts w:ascii="Arial" w:cs="Arial" w:eastAsia="Arial" w:hAnsi="Arial"/>
          <w:color w:val="1A1A1A"/>
          <w:sz w:val="22"/>
          <w:szCs w:val="22"/>
        </w:rPr>
        <w:t xml:space="preserve">App remembers the mapping for that bank (by filename pattern or user label) for future imports</w:t>
      </w:r>
    </w:p>
    <w:p>
      <w:pPr>
        <w:pStyle w:val="ListParagraph"/>
        <w:numPr>
          <w:ilvl w:val="0"/>
          <w:numId w:val="2"/>
        </w:numPr>
        <w:spacing w:before="40" w:after="40"/>
      </w:pPr>
      <w:r>
        <w:rPr>
          <w:rFonts w:ascii="Arial" w:cs="Arial" w:eastAsia="Arial" w:hAnsi="Arial"/>
          <w:color w:val="1A1A1A"/>
          <w:sz w:val="22"/>
          <w:szCs w:val="22"/>
        </w:rPr>
        <w:t xml:space="preserve">Imported transactions land in the inbox for envelope assignment</w:t>
      </w:r>
    </w:p>
    <w:p>
      <w:pPr>
        <w:pStyle w:val="Heading2"/>
        <w:spacing w:before="280" w:after="80"/>
      </w:pPr>
      <w:r>
        <w:rPr>
          <w:rFonts w:ascii="Arial" w:cs="Arial" w:eastAsia="Arial" w:hAnsi="Arial"/>
          <w:b/>
          <w:bCs/>
          <w:color w:val="1A1A1A"/>
          <w:sz w:val="26"/>
          <w:szCs w:val="26"/>
        </w:rPr>
        <w:t xml:space="preserve">5.2 Quicken / OFX format</w:t>
      </w:r>
    </w:p>
    <w:p>
      <w:pPr>
        <w:spacing w:before="60" w:after="80"/>
      </w:pPr>
      <w:r>
        <w:rPr>
          <w:rFonts w:ascii="Arial" w:cs="Arial" w:eastAsia="Arial" w:hAnsi="Arial"/>
          <w:color w:val="1A1A1A"/>
          <w:sz w:val="22"/>
          <w:szCs w:val="22"/>
        </w:rPr>
        <w:t xml:space="preserve">OFX (Open Financial Exchange) and QFX (Quicken’s variant) are structured XML-based formats that many banks offer as a download option. These require no column mapping — the format is standardized. OFX/QFX import is a P2 item for v1 given that generic CSV covers most cases.</w:t>
      </w:r>
    </w:p>
    <w:p>
      <w:pPr>
        <w:pStyle w:val="Heading2"/>
        <w:spacing w:before="280" w:after="80"/>
      </w:pPr>
      <w:r>
        <w:rPr>
          <w:rFonts w:ascii="Arial" w:cs="Arial" w:eastAsia="Arial" w:hAnsi="Arial"/>
          <w:b/>
          <w:bCs/>
          <w:color w:val="1A1A1A"/>
          <w:sz w:val="26"/>
          <w:szCs w:val="26"/>
        </w:rPr>
        <w:t xml:space="preserve">5.3 Migration imports</w:t>
      </w:r>
    </w:p>
    <w:p>
      <w:pPr>
        <w:spacing w:before="60" w:after="80"/>
      </w:pPr>
      <w:r>
        <w:rPr>
          <w:rFonts w:ascii="Arial" w:cs="Arial" w:eastAsia="Arial" w:hAnsi="Arial"/>
          <w:color w:val="1A1A1A"/>
          <w:sz w:val="22"/>
          <w:szCs w:val="22"/>
        </w:rPr>
        <w:t xml:space="preserve">To help users migrate from competing products, the following import formats are considered for v1:</w:t>
      </w:r>
    </w:p>
    <w:p>
      <w:pPr>
        <w:pStyle w:val="ListParagraph"/>
        <w:numPr>
          <w:ilvl w:val="0"/>
          <w:numId w:val="2"/>
        </w:numPr>
        <w:spacing w:before="40" w:after="40"/>
      </w:pPr>
      <w:r>
        <w:rPr>
          <w:rFonts w:ascii="Arial" w:cs="Arial" w:eastAsia="Arial" w:hAnsi="Arial"/>
          <w:color w:val="1A1A1A"/>
          <w:sz w:val="22"/>
          <w:szCs w:val="22"/>
        </w:rPr>
        <w:t xml:space="preserve">Mint CSV export — P2</w:t>
      </w:r>
    </w:p>
    <w:p>
      <w:pPr>
        <w:pStyle w:val="ListParagraph"/>
        <w:numPr>
          <w:ilvl w:val="0"/>
          <w:numId w:val="2"/>
        </w:numPr>
        <w:spacing w:before="40" w:after="40"/>
      </w:pPr>
      <w:r>
        <w:rPr>
          <w:rFonts w:ascii="Arial" w:cs="Arial" w:eastAsia="Arial" w:hAnsi="Arial"/>
          <w:color w:val="1A1A1A"/>
          <w:sz w:val="22"/>
          <w:szCs w:val="22"/>
        </w:rPr>
        <w:t xml:space="preserve">YNAB CSV export — P2</w:t>
      </w:r>
    </w:p>
    <w:p>
      <w:pPr>
        <w:spacing w:before="60" w:after="80"/>
      </w:pPr>
      <w:r>
        <w:rPr>
          <w:rFonts w:ascii="Arial" w:cs="Arial" w:eastAsia="Arial" w:hAnsi="Arial"/>
          <w:color w:val="1A1A1A"/>
          <w:sz w:val="22"/>
          <w:szCs w:val="22"/>
        </w:rPr>
        <w:t xml:space="preserve">These are lower priority than generic CSV but meaningful for user acquisition from established products.</w:t>
      </w:r>
    </w:p>
    <w:p>
      <w:pPr>
        <w:pStyle w:val="Heading2"/>
        <w:spacing w:before="280" w:after="80"/>
      </w:pPr>
      <w:r>
        <w:rPr>
          <w:rFonts w:ascii="Arial" w:cs="Arial" w:eastAsia="Arial" w:hAnsi="Arial"/>
          <w:b/>
          <w:bCs/>
          <w:color w:val="1A1A1A"/>
          <w:sz w:val="26"/>
          <w:szCs w:val="26"/>
        </w:rPr>
        <w:t xml:space="preserve">5.4 Duplicate detection</w:t>
      </w:r>
    </w:p>
    <w:p>
      <w:pPr>
        <w:spacing w:before="60" w:after="80"/>
      </w:pPr>
      <w:r>
        <w:rPr>
          <w:rFonts w:ascii="Arial" w:cs="Arial" w:eastAsia="Arial" w:hAnsi="Arial"/>
          <w:color w:val="1A1A1A"/>
          <w:sz w:val="22"/>
          <w:szCs w:val="22"/>
        </w:rPr>
        <w:t xml:space="preserve">The import engine checks for duplicate transactions based on date + amount + description hash. Suspected duplicates are flagged for user review rather than silently rejected.</w:t>
      </w:r>
    </w:p>
    <w:p>
      <w:pPr>
        <w:pBdr>
          <w:bottom w:val="single" w:color="DDDDDD" w:sz="4" w:space="1"/>
        </w:pBdr>
        <w:spacing w:before="160" w:after="160"/>
      </w:pPr>
    </w:p>
    <w:p>
      <w:pPr>
        <w:pStyle w:val="Heading1"/>
        <w:spacing w:before="360" w:after="120"/>
      </w:pPr>
      <w:r>
        <w:rPr>
          <w:rFonts w:ascii="Arial" w:cs="Arial" w:eastAsia="Arial" w:hAnsi="Arial"/>
          <w:b/>
          <w:bCs/>
          <w:color w:val="1A56A0"/>
          <w:sz w:val="32"/>
          <w:szCs w:val="32"/>
        </w:rPr>
        <w:t xml:space="preserve">6. Envelope Budgeting</w:t>
      </w:r>
    </w:p>
    <w:p>
      <w:pPr>
        <w:pStyle w:val="Heading2"/>
        <w:spacing w:before="280" w:after="80"/>
      </w:pPr>
      <w:r>
        <w:rPr>
          <w:rFonts w:ascii="Arial" w:cs="Arial" w:eastAsia="Arial" w:hAnsi="Arial"/>
          <w:b/>
          <w:bCs/>
          <w:color w:val="1A1A1A"/>
          <w:sz w:val="26"/>
          <w:szCs w:val="26"/>
        </w:rPr>
        <w:t xml:space="preserve">6.1 Envelope structure</w:t>
      </w:r>
    </w:p>
    <w:p>
      <w:pPr>
        <w:spacing w:before="60" w:after="80"/>
      </w:pPr>
      <w:r>
        <w:rPr>
          <w:rFonts w:ascii="Arial" w:cs="Arial" w:eastAsia="Arial" w:hAnsi="Arial"/>
          <w:color w:val="1A1A1A"/>
          <w:sz w:val="22"/>
          <w:szCs w:val="22"/>
        </w:rPr>
        <w:t xml:space="preserve">Users define their own envelope hierarchy freely — no system-imposed categories. Envelopes can be organized in groups of the user’s choosing or kept as a flat list.</w:t>
      </w:r>
    </w:p>
    <w:p>
      <w:pPr>
        <w:pStyle w:val="Heading2"/>
        <w:spacing w:before="280" w:after="80"/>
      </w:pPr>
      <w:r>
        <w:rPr>
          <w:rFonts w:ascii="Arial" w:cs="Arial" w:eastAsia="Arial" w:hAnsi="Arial"/>
          <w:b/>
          <w:bCs/>
          <w:color w:val="1A1A1A"/>
          <w:sz w:val="26"/>
          <w:szCs w:val="26"/>
        </w:rPr>
        <w:t xml:space="preserve">6.2 Budget templates</w:t>
      </w:r>
    </w:p>
    <w:p>
      <w:pPr>
        <w:spacing w:before="60" w:after="80"/>
      </w:pPr>
      <w:r>
        <w:rPr>
          <w:rFonts w:ascii="Arial" w:cs="Arial" w:eastAsia="Arial" w:hAnsi="Arial"/>
          <w:color w:val="1A1A1A"/>
          <w:sz w:val="22"/>
          <w:szCs w:val="22"/>
        </w:rPr>
        <w:t xml:space="preserve">One master template per household. The user sets envelope amounts in the template once and applies it each month. Amounts can be adjusted before or after applying. No multiple templates in v1.</w:t>
      </w:r>
    </w:p>
    <w:p>
      <w:pPr>
        <w:pStyle w:val="Heading2"/>
        <w:spacing w:before="280" w:after="80"/>
      </w:pPr>
      <w:r>
        <w:rPr>
          <w:rFonts w:ascii="Arial" w:cs="Arial" w:eastAsia="Arial" w:hAnsi="Arial"/>
          <w:b/>
          <w:bCs/>
          <w:color w:val="1A1A1A"/>
          <w:sz w:val="26"/>
          <w:szCs w:val="26"/>
        </w:rPr>
        <w:t xml:space="preserve">6.3 Monthly funding</w:t>
      </w:r>
    </w:p>
    <w:p>
      <w:pPr>
        <w:spacing w:before="60" w:after="80"/>
      </w:pPr>
      <w:r>
        <w:rPr>
          <w:rFonts w:ascii="Arial" w:cs="Arial" w:eastAsia="Arial" w:hAnsi="Arial"/>
          <w:color w:val="1A1A1A"/>
          <w:sz w:val="22"/>
          <w:szCs w:val="22"/>
        </w:rPr>
        <w:t xml:space="preserve">At the start of each month, the user applies the template. The app pre-fills envelope amounts from the template and the user confirms. Income is entered manually each month (no bank feed). An “unallocated” indicator shows how much income has not yet been assigned to an envelope.</w:t>
      </w:r>
    </w:p>
    <w:p>
      <w:pPr>
        <w:pStyle w:val="Heading2"/>
        <w:spacing w:before="280" w:after="80"/>
      </w:pPr>
      <w:r>
        <w:rPr>
          <w:rFonts w:ascii="Arial" w:cs="Arial" w:eastAsia="Arial" w:hAnsi="Arial"/>
          <w:b/>
          <w:bCs/>
          <w:color w:val="1A1A1A"/>
          <w:sz w:val="26"/>
          <w:szCs w:val="26"/>
        </w:rPr>
        <w:t xml:space="preserve">6.4 Rollover</w:t>
      </w:r>
    </w:p>
    <w:p>
      <w:pPr>
        <w:spacing w:before="60" w:after="80"/>
      </w:pPr>
      <w:r>
        <w:rPr>
          <w:rFonts w:ascii="Arial" w:cs="Arial" w:eastAsia="Arial" w:hAnsi="Arial"/>
          <w:color w:val="1A1A1A"/>
          <w:sz w:val="22"/>
          <w:szCs w:val="22"/>
        </w:rPr>
        <w:t xml:space="preserve">Unspent envelope balances roll over automatically to the next month. This is always on — there is no option to zero out in v1.</w:t>
      </w:r>
    </w:p>
    <w:p>
      <w:pPr>
        <w:pStyle w:val="Heading2"/>
        <w:spacing w:before="280" w:after="80"/>
      </w:pPr>
      <w:r>
        <w:rPr>
          <w:rFonts w:ascii="Arial" w:cs="Arial" w:eastAsia="Arial" w:hAnsi="Arial"/>
          <w:b/>
          <w:bCs/>
          <w:color w:val="1A1A1A"/>
          <w:sz w:val="26"/>
          <w:szCs w:val="26"/>
        </w:rPr>
        <w:t xml:space="preserve">6.5 Transaction inbox</w:t>
      </w:r>
    </w:p>
    <w:p>
      <w:pPr>
        <w:spacing w:before="60" w:after="80"/>
      </w:pPr>
      <w:r>
        <w:rPr>
          <w:rFonts w:ascii="Arial" w:cs="Arial" w:eastAsia="Arial" w:hAnsi="Arial"/>
          <w:color w:val="1A1A1A"/>
          <w:sz w:val="22"/>
          <w:szCs w:val="22"/>
        </w:rPr>
        <w:t xml:space="preserve">Imported or manually entered transactions appear in a shared inbox. Actions available per transaction:</w:t>
      </w:r>
    </w:p>
    <w:p>
      <w:pPr>
        <w:pStyle w:val="ListParagraph"/>
        <w:numPr>
          <w:ilvl w:val="0"/>
          <w:numId w:val="2"/>
        </w:numPr>
        <w:spacing w:before="40" w:after="40"/>
      </w:pPr>
      <w:r>
        <w:rPr>
          <w:rFonts w:ascii="Arial" w:cs="Arial" w:eastAsia="Arial" w:hAnsi="Arial"/>
          <w:color w:val="1A1A1A"/>
          <w:sz w:val="22"/>
          <w:szCs w:val="22"/>
        </w:rPr>
        <w:t xml:space="preserve">Assign to a single envelope</w:t>
      </w:r>
    </w:p>
    <w:p>
      <w:pPr>
        <w:pStyle w:val="ListParagraph"/>
        <w:numPr>
          <w:ilvl w:val="0"/>
          <w:numId w:val="2"/>
        </w:numPr>
        <w:spacing w:before="40" w:after="40"/>
      </w:pPr>
      <w:r>
        <w:rPr>
          <w:rFonts w:ascii="Arial" w:cs="Arial" w:eastAsia="Arial" w:hAnsi="Arial"/>
          <w:color w:val="1A1A1A"/>
          <w:sz w:val="22"/>
          <w:szCs w:val="22"/>
        </w:rPr>
        <w:t xml:space="preserve">Split across multiple envelopes with custom amounts</w:t>
      </w:r>
    </w:p>
    <w:p>
      <w:pPr>
        <w:pStyle w:val="ListParagraph"/>
        <w:numPr>
          <w:ilvl w:val="0"/>
          <w:numId w:val="2"/>
        </w:numPr>
        <w:spacing w:before="40" w:after="40"/>
      </w:pPr>
      <w:r>
        <w:rPr>
          <w:rFonts w:ascii="Arial" w:cs="Arial" w:eastAsia="Arial" w:hAnsi="Arial"/>
          <w:color w:val="1A1A1A"/>
          <w:sz w:val="22"/>
          <w:szCs w:val="22"/>
        </w:rPr>
        <w:t xml:space="preserve">Flag for partner to review</w:t>
      </w:r>
    </w:p>
    <w:p>
      <w:pPr>
        <w:spacing w:before="60" w:after="80"/>
      </w:pPr>
      <w:r>
        <w:rPr>
          <w:rFonts w:ascii="Arial" w:cs="Arial" w:eastAsia="Arial" w:hAnsi="Arial"/>
          <w:color w:val="1A1A1A"/>
          <w:sz w:val="22"/>
          <w:szCs w:val="22"/>
        </w:rPr>
        <w:t xml:space="preserve">Transactions remain in the inbox until assigned. There is no auto-assignment.</w:t>
      </w:r>
    </w:p>
    <w:p>
      <w:pPr>
        <w:pStyle w:val="Heading2"/>
        <w:spacing w:before="280" w:after="80"/>
      </w:pPr>
      <w:r>
        <w:rPr>
          <w:rFonts w:ascii="Arial" w:cs="Arial" w:eastAsia="Arial" w:hAnsi="Arial"/>
          <w:b/>
          <w:bCs/>
          <w:color w:val="1A1A1A"/>
          <w:sz w:val="26"/>
          <w:szCs w:val="26"/>
        </w:rPr>
        <w:t xml:space="preserve">6.6 Credit card handling</w:t>
      </w:r>
    </w:p>
    <w:p>
      <w:pPr>
        <w:spacing w:before="60" w:after="80"/>
      </w:pPr>
      <w:r>
        <w:rPr>
          <w:rFonts w:ascii="Arial" w:cs="Arial" w:eastAsia="Arial" w:hAnsi="Arial"/>
          <w:color w:val="1A1A1A"/>
          <w:sz w:val="22"/>
          <w:szCs w:val="22"/>
        </w:rPr>
        <w:t xml:space="preserve">Credit card purchases reduce the assigned envelope at transaction time. The payment to the credit card is ignored for budgeting purposes. The credit card balance is tracked as a liability in net worth.</w:t>
      </w:r>
    </w:p>
    <w:p>
      <w:pPr>
        <w:pBdr>
          <w:bottom w:val="single" w:color="DDDDDD" w:sz="4" w:space="1"/>
        </w:pBdr>
        <w:spacing w:before="160" w:after="160"/>
      </w:pPr>
    </w:p>
    <w:p>
      <w:pPr>
        <w:pStyle w:val="Heading1"/>
        <w:spacing w:before="360" w:after="120"/>
      </w:pPr>
      <w:r>
        <w:rPr>
          <w:rFonts w:ascii="Arial" w:cs="Arial" w:eastAsia="Arial" w:hAnsi="Arial"/>
          <w:b/>
          <w:bCs/>
          <w:color w:val="1A56A0"/>
          <w:sz w:val="32"/>
          <w:szCs w:val="32"/>
        </w:rPr>
        <w:t xml:space="preserve">7. Net Worth Tracking</w:t>
      </w:r>
    </w:p>
    <w:p>
      <w:pPr>
        <w:pStyle w:val="Heading2"/>
        <w:spacing w:before="280" w:after="80"/>
      </w:pPr>
      <w:r>
        <w:rPr>
          <w:rFonts w:ascii="Arial" w:cs="Arial" w:eastAsia="Arial" w:hAnsi="Arial"/>
          <w:b/>
          <w:bCs/>
          <w:color w:val="1A1A1A"/>
          <w:sz w:val="26"/>
          <w:szCs w:val="26"/>
        </w:rPr>
        <w:t xml:space="preserve">7.1 Account types</w:t>
      </w:r>
    </w:p>
    <w:p>
      <w:pPr>
        <w:pStyle w:val="ListParagraph"/>
        <w:numPr>
          <w:ilvl w:val="0"/>
          <w:numId w:val="2"/>
        </w:numPr>
        <w:spacing w:before="40" w:after="40"/>
      </w:pPr>
      <w:r>
        <w:rPr>
          <w:rFonts w:ascii="Arial" w:cs="Arial" w:eastAsia="Arial" w:hAnsi="Arial"/>
          <w:color w:val="1A1A1A"/>
          <w:sz w:val="22"/>
          <w:szCs w:val="22"/>
        </w:rPr>
        <w:t xml:space="preserve">Checking &amp; savings (assets)</w:t>
      </w:r>
    </w:p>
    <w:p>
      <w:pPr>
        <w:pStyle w:val="ListParagraph"/>
        <w:numPr>
          <w:ilvl w:val="0"/>
          <w:numId w:val="2"/>
        </w:numPr>
        <w:spacing w:before="40" w:after="40"/>
      </w:pPr>
      <w:r>
        <w:rPr>
          <w:rFonts w:ascii="Arial" w:cs="Arial" w:eastAsia="Arial" w:hAnsi="Arial"/>
          <w:color w:val="1A1A1A"/>
          <w:sz w:val="22"/>
          <w:szCs w:val="22"/>
        </w:rPr>
        <w:t xml:space="preserve">Credit cards (liabilities)</w:t>
      </w:r>
    </w:p>
    <w:p>
      <w:pPr>
        <w:pStyle w:val="ListParagraph"/>
        <w:numPr>
          <w:ilvl w:val="0"/>
          <w:numId w:val="2"/>
        </w:numPr>
        <w:spacing w:before="40" w:after="40"/>
      </w:pPr>
      <w:r>
        <w:rPr>
          <w:rFonts w:ascii="Arial" w:cs="Arial" w:eastAsia="Arial" w:hAnsi="Arial"/>
          <w:color w:val="1A1A1A"/>
          <w:sz w:val="22"/>
          <w:szCs w:val="22"/>
        </w:rPr>
        <w:t xml:space="preserve">Investment &amp; retirement accounts (assets)</w:t>
      </w:r>
    </w:p>
    <w:p>
      <w:pPr>
        <w:pStyle w:val="ListParagraph"/>
        <w:numPr>
          <w:ilvl w:val="0"/>
          <w:numId w:val="2"/>
        </w:numPr>
        <w:spacing w:before="40" w:after="40"/>
      </w:pPr>
      <w:r>
        <w:rPr>
          <w:rFonts w:ascii="Arial" w:cs="Arial" w:eastAsia="Arial" w:hAnsi="Arial"/>
          <w:color w:val="1A1A1A"/>
          <w:sz w:val="22"/>
          <w:szCs w:val="22"/>
        </w:rPr>
        <w:t xml:space="preserve">Mortgage &amp; loans (liabilities)</w:t>
      </w:r>
    </w:p>
    <w:p>
      <w:pPr>
        <w:pStyle w:val="Heading2"/>
        <w:spacing w:before="280" w:after="80"/>
      </w:pPr>
      <w:r>
        <w:rPr>
          <w:rFonts w:ascii="Arial" w:cs="Arial" w:eastAsia="Arial" w:hAnsi="Arial"/>
          <w:b/>
          <w:bCs/>
          <w:color w:val="1A1A1A"/>
          <w:sz w:val="26"/>
          <w:szCs w:val="26"/>
        </w:rPr>
        <w:t xml:space="preserve">7.2 Balance entry</w:t>
      </w:r>
    </w:p>
    <w:p>
      <w:pPr>
        <w:spacing w:before="60" w:after="80"/>
      </w:pPr>
      <w:r>
        <w:rPr>
          <w:rFonts w:ascii="Arial" w:cs="Arial" w:eastAsia="Arial" w:hAnsi="Arial"/>
          <w:color w:val="1A1A1A"/>
          <w:sz w:val="22"/>
          <w:szCs w:val="22"/>
        </w:rPr>
        <w:t xml:space="preserve">Since there is no bank sync, account balances are entered manually or updated via CSV import. The user enters a current balance for each account. The app records a timestamped snapshot whenever a balance is updated.</w:t>
      </w:r>
    </w:p>
    <w:p>
      <w:pPr>
        <w:pStyle w:val="Heading2"/>
        <w:spacing w:before="280" w:after="80"/>
      </w:pPr>
      <w:r>
        <w:rPr>
          <w:rFonts w:ascii="Arial" w:cs="Arial" w:eastAsia="Arial" w:hAnsi="Arial"/>
          <w:b/>
          <w:bCs/>
          <w:color w:val="1A1A1A"/>
          <w:sz w:val="26"/>
          <w:szCs w:val="26"/>
        </w:rPr>
        <w:t xml:space="preserve">7.3 History</w:t>
      </w:r>
    </w:p>
    <w:p>
      <w:pPr>
        <w:spacing w:before="60" w:after="80"/>
      </w:pPr>
      <w:r>
        <w:rPr>
          <w:rFonts w:ascii="Arial" w:cs="Arial" w:eastAsia="Arial" w:hAnsi="Arial"/>
          <w:color w:val="1A1A1A"/>
          <w:sz w:val="22"/>
          <w:szCs w:val="22"/>
        </w:rPr>
        <w:t xml:space="preserve">Net worth history is stored locally for all time. A timeline chart displays total net worth with full history available regardless of tier. Assets and liabilities can be shown as separate series.</w:t>
      </w:r>
    </w:p>
    <w:p>
      <w:pPr>
        <w:pBdr>
          <w:bottom w:val="single" w:color="DDDDDD" w:sz="4" w:space="1"/>
        </w:pBdr>
        <w:spacing w:before="160" w:after="160"/>
      </w:pPr>
    </w:p>
    <w:p>
      <w:pPr>
        <w:pStyle w:val="Heading1"/>
        <w:spacing w:before="360" w:after="120"/>
      </w:pPr>
      <w:r>
        <w:rPr>
          <w:rFonts w:ascii="Arial" w:cs="Arial" w:eastAsia="Arial" w:hAnsi="Arial"/>
          <w:b/>
          <w:bCs/>
          <w:color w:val="1A56A0"/>
          <w:sz w:val="32"/>
          <w:szCs w:val="32"/>
        </w:rPr>
        <w:t xml:space="preserve">8. Debt Payoff Tracking</w:t>
      </w:r>
    </w:p>
    <w:p>
      <w:pPr>
        <w:spacing w:before="60" w:after="80"/>
      </w:pPr>
      <w:r>
        <w:rPr>
          <w:rFonts w:ascii="Arial" w:cs="Arial" w:eastAsia="Arial" w:hAnsi="Arial"/>
          <w:color w:val="1A1A1A"/>
          <w:sz w:val="22"/>
          <w:szCs w:val="22"/>
        </w:rPr>
        <w:t xml:space="preserve">Debt accounts (credit cards, loans, mortgage) are listed with their current balance, original balance, and progress toward zero. No payoff method is enforced — the app tracks and visualizes progress only.</w:t>
      </w:r>
    </w:p>
    <w:p>
      <w:pPr>
        <w:pStyle w:val="ListParagraph"/>
        <w:numPr>
          <w:ilvl w:val="0"/>
          <w:numId w:val="2"/>
        </w:numPr>
        <w:spacing w:before="40" w:after="40"/>
      </w:pPr>
      <w:r>
        <w:rPr>
          <w:rFonts w:ascii="Arial" w:cs="Arial" w:eastAsia="Arial" w:hAnsi="Arial"/>
          <w:color w:val="1A1A1A"/>
          <w:sz w:val="22"/>
          <w:szCs w:val="22"/>
        </w:rPr>
        <w:t xml:space="preserve">Balance history chart per debt</w:t>
      </w:r>
    </w:p>
    <w:p>
      <w:pPr>
        <w:pStyle w:val="ListParagraph"/>
        <w:numPr>
          <w:ilvl w:val="0"/>
          <w:numId w:val="2"/>
        </w:numPr>
        <w:spacing w:before="40" w:after="40"/>
      </w:pPr>
      <w:r>
        <w:rPr>
          <w:rFonts w:ascii="Arial" w:cs="Arial" w:eastAsia="Arial" w:hAnsi="Arial"/>
          <w:color w:val="1A1A1A"/>
          <w:sz w:val="22"/>
          <w:szCs w:val="22"/>
        </w:rPr>
        <w:t xml:space="preserve">Progress bar (% paid off from original balance)</w:t>
      </w:r>
    </w:p>
    <w:p>
      <w:pPr>
        <w:pStyle w:val="ListParagraph"/>
        <w:numPr>
          <w:ilvl w:val="0"/>
          <w:numId w:val="2"/>
        </w:numPr>
        <w:spacing w:before="40" w:after="40"/>
      </w:pPr>
      <w:r>
        <w:rPr>
          <w:rFonts w:ascii="Arial" w:cs="Arial" w:eastAsia="Arial" w:hAnsi="Arial"/>
          <w:color w:val="1A1A1A"/>
          <w:sz w:val="22"/>
          <w:szCs w:val="22"/>
        </w:rPr>
        <w:t xml:space="preserve">Estimated payoff date based on current payment pace</w:t>
      </w:r>
    </w:p>
    <w:p>
      <w:pPr>
        <w:pStyle w:val="ListParagraph"/>
        <w:numPr>
          <w:ilvl w:val="0"/>
          <w:numId w:val="2"/>
        </w:numPr>
        <w:spacing w:before="40" w:after="40"/>
      </w:pPr>
      <w:r>
        <w:rPr>
          <w:rFonts w:ascii="Arial" w:cs="Arial" w:eastAsia="Arial" w:hAnsi="Arial"/>
          <w:color w:val="1A1A1A"/>
          <w:sz w:val="22"/>
          <w:szCs w:val="22"/>
        </w:rPr>
        <w:t xml:space="preserve">User-set target payoff date with countdown</w:t>
      </w:r>
    </w:p>
    <w:p>
      <w:pPr>
        <w:pBdr>
          <w:bottom w:val="single" w:color="DDDDDD" w:sz="4" w:space="1"/>
        </w:pBdr>
        <w:spacing w:before="160" w:after="160"/>
      </w:pPr>
    </w:p>
    <w:p>
      <w:pPr>
        <w:pStyle w:val="Heading1"/>
        <w:spacing w:before="360" w:after="120"/>
      </w:pPr>
      <w:r>
        <w:rPr>
          <w:rFonts w:ascii="Arial" w:cs="Arial" w:eastAsia="Arial" w:hAnsi="Arial"/>
          <w:b/>
          <w:bCs/>
          <w:color w:val="1A56A0"/>
          <w:sz w:val="32"/>
          <w:szCs w:val="32"/>
        </w:rPr>
        <w:t xml:space="preserve">9. Reporting</w:t>
      </w:r>
    </w:p>
    <w:p>
      <w:pPr>
        <w:spacing w:before="60" w:after="80"/>
      </w:pPr>
      <w:r>
        <w:rPr>
          <w:rFonts w:ascii="Arial" w:cs="Arial" w:eastAsia="Arial" w:hAnsi="Arial"/>
          <w:color w:val="1A1A1A"/>
          <w:sz w:val="22"/>
          <w:szCs w:val="22"/>
        </w:rPr>
        <w:t xml:space="preserve">All four reports run entirely on local data. No server query required. Reports are available to premium users; free users see a preview.</w:t>
      </w:r>
    </w:p>
    <w:p>
      <w:pPr>
        <w:pStyle w:val="ListParagraph"/>
        <w:numPr>
          <w:ilvl w:val="0"/>
          <w:numId w:val="2"/>
        </w:numPr>
        <w:spacing w:before="40" w:after="40"/>
      </w:pPr>
      <w:r>
        <w:rPr>
          <w:rFonts w:ascii="Arial" w:cs="Arial" w:eastAsia="Arial" w:hAnsi="Arial"/>
          <w:color w:val="1A1A1A"/>
          <w:sz w:val="22"/>
          <w:szCs w:val="22"/>
        </w:rPr>
        <w:t xml:space="preserve">Spending by envelope — monthly bar chart, budgeted vs. actual, filterable by date range</w:t>
      </w:r>
    </w:p>
    <w:p>
      <w:pPr>
        <w:pStyle w:val="ListParagraph"/>
        <w:numPr>
          <w:ilvl w:val="0"/>
          <w:numId w:val="2"/>
        </w:numPr>
        <w:spacing w:before="40" w:after="40"/>
      </w:pPr>
      <w:r>
        <w:rPr>
          <w:rFonts w:ascii="Arial" w:cs="Arial" w:eastAsia="Arial" w:hAnsi="Arial"/>
          <w:color w:val="1A1A1A"/>
          <w:sz w:val="22"/>
          <w:szCs w:val="22"/>
        </w:rPr>
        <w:t xml:space="preserve">Income vs. expenses — monthly comparison with trend line</w:t>
      </w:r>
    </w:p>
    <w:p>
      <w:pPr>
        <w:pStyle w:val="ListParagraph"/>
        <w:numPr>
          <w:ilvl w:val="0"/>
          <w:numId w:val="2"/>
        </w:numPr>
        <w:spacing w:before="40" w:after="40"/>
      </w:pPr>
      <w:r>
        <w:rPr>
          <w:rFonts w:ascii="Arial" w:cs="Arial" w:eastAsia="Arial" w:hAnsi="Arial"/>
          <w:color w:val="1A1A1A"/>
          <w:sz w:val="22"/>
          <w:szCs w:val="22"/>
        </w:rPr>
        <w:t xml:space="preserve">Net worth over time — full history line chart, asset/liability breakdown</w:t>
      </w:r>
    </w:p>
    <w:p>
      <w:pPr>
        <w:pStyle w:val="ListParagraph"/>
        <w:numPr>
          <w:ilvl w:val="0"/>
          <w:numId w:val="2"/>
        </w:numPr>
        <w:spacing w:before="40" w:after="40"/>
      </w:pPr>
      <w:r>
        <w:rPr>
          <w:rFonts w:ascii="Arial" w:cs="Arial" w:eastAsia="Arial" w:hAnsi="Arial"/>
          <w:color w:val="1A1A1A"/>
          <w:sz w:val="22"/>
          <w:szCs w:val="22"/>
        </w:rPr>
        <w:t xml:space="preserve">Debt payoff progress — per-debt balance history and projected payoff</w:t>
      </w:r>
    </w:p>
    <w:p>
      <w:pPr>
        <w:pBdr>
          <w:bottom w:val="single" w:color="DDDDDD" w:sz="4" w:space="1"/>
        </w:pBdr>
        <w:spacing w:before="160" w:after="160"/>
      </w:pPr>
    </w:p>
    <w:p>
      <w:pPr>
        <w:pStyle w:val="Heading1"/>
        <w:spacing w:before="360" w:after="120"/>
      </w:pPr>
      <w:r>
        <w:rPr>
          <w:rFonts w:ascii="Arial" w:cs="Arial" w:eastAsia="Arial" w:hAnsi="Arial"/>
          <w:b/>
          <w:bCs/>
          <w:color w:val="1A56A0"/>
          <w:sz w:val="32"/>
          <w:szCs w:val="32"/>
        </w:rPr>
        <w:t xml:space="preserve">10. Pricing &amp; Licensing</w:t>
      </w:r>
    </w:p>
    <w:p>
      <w:pPr>
        <w:pStyle w:val="Heading2"/>
        <w:spacing w:before="280" w:after="80"/>
      </w:pPr>
      <w:r>
        <w:rPr>
          <w:rFonts w:ascii="Arial" w:cs="Arial" w:eastAsia="Arial" w:hAnsi="Arial"/>
          <w:b/>
          <w:bCs/>
          <w:color w:val="1A1A1A"/>
          <w:sz w:val="26"/>
          <w:szCs w:val="26"/>
        </w:rPr>
        <w:t xml:space="preserve">10.1 Free tier</w:t>
      </w:r>
    </w:p>
    <w:p>
      <w:pPr>
        <w:spacing w:before="60" w:after="80"/>
      </w:pPr>
      <w:r>
        <w:rPr>
          <w:rFonts w:ascii="Arial" w:cs="Arial" w:eastAsia="Arial" w:hAnsi="Arial"/>
          <w:color w:val="1A1A1A"/>
          <w:sz w:val="22"/>
          <w:szCs w:val="22"/>
        </w:rPr>
        <w:t xml:space="preserve">The free tier is fully functional for manual budgeting with no import or reporting. It is not artificially crippled — it represents a genuinely useful product for users who want simplicity.</w:t>
      </w:r>
    </w:p>
    <w:p>
      <w:pPr>
        <w:pStyle w:val="ListParagraph"/>
        <w:numPr>
          <w:ilvl w:val="0"/>
          <w:numId w:val="2"/>
        </w:numPr>
        <w:spacing w:before="40" w:after="40"/>
      </w:pPr>
      <w:r>
        <w:rPr>
          <w:rFonts w:ascii="Arial" w:cs="Arial" w:eastAsia="Arial" w:hAnsi="Arial"/>
          <w:color w:val="1A1A1A"/>
          <w:sz w:val="22"/>
          <w:szCs w:val="22"/>
        </w:rPr>
        <w:t xml:space="preserve">Manual transaction entry</w:t>
      </w:r>
    </w:p>
    <w:p>
      <w:pPr>
        <w:pStyle w:val="ListParagraph"/>
        <w:numPr>
          <w:ilvl w:val="0"/>
          <w:numId w:val="2"/>
        </w:numPr>
        <w:spacing w:before="40" w:after="40"/>
      </w:pPr>
      <w:r>
        <w:rPr>
          <w:rFonts w:ascii="Arial" w:cs="Arial" w:eastAsia="Arial" w:hAnsi="Arial"/>
          <w:color w:val="1A1A1A"/>
          <w:sz w:val="22"/>
          <w:szCs w:val="22"/>
        </w:rPr>
        <w:t xml:space="preserve">Full envelope budgeting with master template</w:t>
      </w:r>
    </w:p>
    <w:p>
      <w:pPr>
        <w:pStyle w:val="ListParagraph"/>
        <w:numPr>
          <w:ilvl w:val="0"/>
          <w:numId w:val="2"/>
        </w:numPr>
        <w:spacing w:before="40" w:after="40"/>
      </w:pPr>
      <w:r>
        <w:rPr>
          <w:rFonts w:ascii="Arial" w:cs="Arial" w:eastAsia="Arial" w:hAnsi="Arial"/>
          <w:color w:val="1A1A1A"/>
          <w:sz w:val="22"/>
          <w:szCs w:val="22"/>
        </w:rPr>
        <w:t xml:space="preserve">Unlimited envelopes</w:t>
      </w:r>
    </w:p>
    <w:p>
      <w:pPr>
        <w:pStyle w:val="ListParagraph"/>
        <w:numPr>
          <w:ilvl w:val="0"/>
          <w:numId w:val="2"/>
        </w:numPr>
        <w:spacing w:before="40" w:after="40"/>
      </w:pPr>
      <w:r>
        <w:rPr>
          <w:rFonts w:ascii="Arial" w:cs="Arial" w:eastAsia="Arial" w:hAnsi="Arial"/>
          <w:color w:val="1A1A1A"/>
          <w:sz w:val="22"/>
          <w:szCs w:val="22"/>
        </w:rPr>
        <w:t xml:space="preserve">Automatic rollover</w:t>
      </w:r>
    </w:p>
    <w:p>
      <w:pPr>
        <w:pStyle w:val="ListParagraph"/>
        <w:numPr>
          <w:ilvl w:val="0"/>
          <w:numId w:val="2"/>
        </w:numPr>
        <w:spacing w:before="40" w:after="40"/>
      </w:pPr>
      <w:r>
        <w:rPr>
          <w:rFonts w:ascii="Arial" w:cs="Arial" w:eastAsia="Arial" w:hAnsi="Arial"/>
          <w:color w:val="1A1A1A"/>
          <w:sz w:val="22"/>
          <w:szCs w:val="22"/>
        </w:rPr>
        <w:t xml:space="preserve">Manual account balance entry for net worth</w:t>
      </w:r>
    </w:p>
    <w:p>
      <w:pPr>
        <w:pStyle w:val="ListParagraph"/>
        <w:numPr>
          <w:ilvl w:val="0"/>
          <w:numId w:val="2"/>
        </w:numPr>
        <w:spacing w:before="40" w:after="40"/>
      </w:pPr>
      <w:r>
        <w:rPr>
          <w:rFonts w:ascii="Arial" w:cs="Arial" w:eastAsia="Arial" w:hAnsi="Arial"/>
          <w:color w:val="1A1A1A"/>
          <w:sz w:val="22"/>
          <w:szCs w:val="22"/>
        </w:rPr>
        <w:t xml:space="preserve">Net worth timeline chart (full history)</w:t>
      </w:r>
    </w:p>
    <w:p>
      <w:pPr>
        <w:pStyle w:val="ListParagraph"/>
        <w:numPr>
          <w:ilvl w:val="0"/>
          <w:numId w:val="2"/>
        </w:numPr>
        <w:spacing w:before="40" w:after="40"/>
      </w:pPr>
      <w:r>
        <w:rPr>
          <w:rFonts w:ascii="Arial" w:cs="Arial" w:eastAsia="Arial" w:hAnsi="Arial"/>
          <w:color w:val="1A1A1A"/>
          <w:sz w:val="22"/>
          <w:szCs w:val="22"/>
        </w:rPr>
        <w:t xml:space="preserve">No CSV import</w:t>
      </w:r>
    </w:p>
    <w:p>
      <w:pPr>
        <w:pStyle w:val="ListParagraph"/>
        <w:numPr>
          <w:ilvl w:val="0"/>
          <w:numId w:val="2"/>
        </w:numPr>
        <w:spacing w:before="40" w:after="40"/>
      </w:pPr>
      <w:r>
        <w:rPr>
          <w:rFonts w:ascii="Arial" w:cs="Arial" w:eastAsia="Arial" w:hAnsi="Arial"/>
          <w:color w:val="1A1A1A"/>
          <w:sz w:val="22"/>
          <w:szCs w:val="22"/>
        </w:rPr>
        <w:t xml:space="preserve">No reports</w:t>
      </w:r>
    </w:p>
    <w:p>
      <w:pPr>
        <w:pStyle w:val="ListParagraph"/>
        <w:numPr>
          <w:ilvl w:val="0"/>
          <w:numId w:val="2"/>
        </w:numPr>
        <w:spacing w:before="40" w:after="40"/>
      </w:pPr>
      <w:r>
        <w:rPr>
          <w:rFonts w:ascii="Arial" w:cs="Arial" w:eastAsia="Arial" w:hAnsi="Arial"/>
          <w:color w:val="1A1A1A"/>
          <w:sz w:val="22"/>
          <w:szCs w:val="22"/>
        </w:rPr>
        <w:t xml:space="preserve">No optional sync</w:t>
      </w:r>
    </w:p>
    <w:p>
      <w:pPr>
        <w:pStyle w:val="Heading2"/>
        <w:spacing w:before="280" w:after="80"/>
      </w:pPr>
      <w:r>
        <w:rPr>
          <w:rFonts w:ascii="Arial" w:cs="Arial" w:eastAsia="Arial" w:hAnsi="Arial"/>
          <w:b/>
          <w:bCs/>
          <w:color w:val="1A1A1A"/>
          <w:sz w:val="26"/>
          <w:szCs w:val="26"/>
        </w:rPr>
        <w:t xml:space="preserve">10.2 Lifetime premium</w:t>
      </w:r>
    </w:p>
    <w:p>
      <w:pPr>
        <w:spacing w:before="60" w:after="80"/>
      </w:pPr>
      <w:r>
        <w:rPr>
          <w:rFonts w:ascii="Arial" w:cs="Arial" w:eastAsia="Arial" w:hAnsi="Arial"/>
          <w:color w:val="1A1A1A"/>
          <w:sz w:val="22"/>
          <w:szCs w:val="22"/>
        </w:rPr>
        <w:t xml:space="preserve">A one-time purchase in the $100–$199 range unlocks the full product permanently. There are no recurring fees, no subscription renewal reminders, and no feature deprecation for non-payers. The price signals confidence in the product’s long-term value.</w:t>
      </w:r>
    </w:p>
    <w:p>
      <w:pPr>
        <w:pStyle w:val="ListParagraph"/>
        <w:numPr>
          <w:ilvl w:val="0"/>
          <w:numId w:val="2"/>
        </w:numPr>
        <w:spacing w:before="40" w:after="40"/>
      </w:pPr>
      <w:r>
        <w:rPr>
          <w:rFonts w:ascii="Arial" w:cs="Arial" w:eastAsia="Arial" w:hAnsi="Arial"/>
          <w:color w:val="1A1A1A"/>
          <w:sz w:val="22"/>
          <w:szCs w:val="22"/>
        </w:rPr>
        <w:t xml:space="preserve">Everything in free tier</w:t>
      </w:r>
    </w:p>
    <w:p>
      <w:pPr>
        <w:pStyle w:val="ListParagraph"/>
        <w:numPr>
          <w:ilvl w:val="0"/>
          <w:numId w:val="2"/>
        </w:numPr>
        <w:spacing w:before="40" w:after="40"/>
      </w:pPr>
      <w:r>
        <w:rPr>
          <w:rFonts w:ascii="Arial" w:cs="Arial" w:eastAsia="Arial" w:hAnsi="Arial"/>
          <w:color w:val="1A1A1A"/>
          <w:sz w:val="22"/>
          <w:szCs w:val="22"/>
        </w:rPr>
        <w:t xml:space="preserve">CSV import with column mapping and bank memory</w:t>
      </w:r>
    </w:p>
    <w:p>
      <w:pPr>
        <w:pStyle w:val="ListParagraph"/>
        <w:numPr>
          <w:ilvl w:val="0"/>
          <w:numId w:val="2"/>
        </w:numPr>
        <w:spacing w:before="40" w:after="40"/>
      </w:pPr>
      <w:r>
        <w:rPr>
          <w:rFonts w:ascii="Arial" w:cs="Arial" w:eastAsia="Arial" w:hAnsi="Arial"/>
          <w:color w:val="1A1A1A"/>
          <w:sz w:val="22"/>
          <w:szCs w:val="22"/>
        </w:rPr>
        <w:t xml:space="preserve">OFX/QFX import (Quicken format)</w:t>
      </w:r>
    </w:p>
    <w:p>
      <w:pPr>
        <w:pStyle w:val="ListParagraph"/>
        <w:numPr>
          <w:ilvl w:val="0"/>
          <w:numId w:val="2"/>
        </w:numPr>
        <w:spacing w:before="40" w:after="40"/>
      </w:pPr>
      <w:r>
        <w:rPr>
          <w:rFonts w:ascii="Arial" w:cs="Arial" w:eastAsia="Arial" w:hAnsi="Arial"/>
          <w:color w:val="1A1A1A"/>
          <w:sz w:val="22"/>
          <w:szCs w:val="22"/>
        </w:rPr>
        <w:t xml:space="preserve">Mint and YNAB CSV migration import</w:t>
      </w:r>
    </w:p>
    <w:p>
      <w:pPr>
        <w:pStyle w:val="ListParagraph"/>
        <w:numPr>
          <w:ilvl w:val="0"/>
          <w:numId w:val="2"/>
        </w:numPr>
        <w:spacing w:before="40" w:after="40"/>
      </w:pPr>
      <w:r>
        <w:rPr>
          <w:rFonts w:ascii="Arial" w:cs="Arial" w:eastAsia="Arial" w:hAnsi="Arial"/>
          <w:color w:val="1A1A1A"/>
          <w:sz w:val="22"/>
          <w:szCs w:val="22"/>
        </w:rPr>
        <w:t xml:space="preserve">All four reports</w:t>
      </w:r>
    </w:p>
    <w:p>
      <w:pPr>
        <w:pStyle w:val="ListParagraph"/>
        <w:numPr>
          <w:ilvl w:val="0"/>
          <w:numId w:val="2"/>
        </w:numPr>
        <w:spacing w:before="40" w:after="40"/>
      </w:pPr>
      <w:r>
        <w:rPr>
          <w:rFonts w:ascii="Arial" w:cs="Arial" w:eastAsia="Arial" w:hAnsi="Arial"/>
          <w:color w:val="1A1A1A"/>
          <w:sz w:val="22"/>
          <w:szCs w:val="22"/>
        </w:rPr>
        <w:t xml:space="preserve">Optional encrypted sync via user-provided cloud storage</w:t>
      </w:r>
    </w:p>
    <w:p>
      <w:pPr>
        <w:pStyle w:val="ListParagraph"/>
        <w:numPr>
          <w:ilvl w:val="0"/>
          <w:numId w:val="2"/>
        </w:numPr>
        <w:spacing w:before="40" w:after="40"/>
      </w:pPr>
      <w:r>
        <w:rPr>
          <w:rFonts w:ascii="Arial" w:cs="Arial" w:eastAsia="Arial" w:hAnsi="Arial"/>
          <w:color w:val="1A1A1A"/>
          <w:sz w:val="22"/>
          <w:szCs w:val="22"/>
        </w:rPr>
        <w:t xml:space="preserve">Data export (encrypted .db, unencrypted .db, CSV)</w:t>
      </w:r>
    </w:p>
    <w:p>
      <w:pPr>
        <w:pStyle w:val="ListParagraph"/>
        <w:numPr>
          <w:ilvl w:val="0"/>
          <w:numId w:val="2"/>
        </w:numPr>
        <w:spacing w:before="40" w:after="40"/>
      </w:pPr>
      <w:r>
        <w:rPr>
          <w:rFonts w:ascii="Arial" w:cs="Arial" w:eastAsia="Arial" w:hAnsi="Arial"/>
          <w:color w:val="1A1A1A"/>
          <w:sz w:val="22"/>
          <w:szCs w:val="22"/>
        </w:rPr>
        <w:t xml:space="preserve">Debt payoff tracking</w:t>
      </w:r>
    </w:p>
    <w:p>
      <w:pPr>
        <w:pStyle w:val="Heading2"/>
        <w:spacing w:before="280" w:after="80"/>
      </w:pPr>
      <w:r>
        <w:rPr>
          <w:rFonts w:ascii="Arial" w:cs="Arial" w:eastAsia="Arial" w:hAnsi="Arial"/>
          <w:b/>
          <w:bCs/>
          <w:color w:val="1A1A1A"/>
          <w:sz w:val="26"/>
          <w:szCs w:val="26"/>
        </w:rPr>
        <w:t xml:space="preserve">10.3 License key mechanism</w:t>
      </w:r>
    </w:p>
    <w:p>
      <w:pPr>
        <w:spacing w:before="60" w:after="80"/>
      </w:pPr>
      <w:r>
        <w:rPr>
          <w:rFonts w:ascii="Arial" w:cs="Arial" w:eastAsia="Arial" w:hAnsi="Arial"/>
          <w:color w:val="1A1A1A"/>
          <w:sz w:val="22"/>
          <w:szCs w:val="22"/>
        </w:rPr>
        <w:t xml:space="preserve">On purchase, the user receives a license key (generated at time of sale). The key is entered once in the app and stored locally. Validation logic runs entirely in the browser — the key encodes the purchase date and a checksum that the app verifies without phoning home.</w:t>
      </w:r>
    </w:p>
    <w:p>
      <w:pPr>
        <w:spacing w:before="60" w:after="80"/>
      </w:pPr>
      <w:r>
        <w:rPr>
          <w:rFonts w:ascii="Arial" w:cs="Arial" w:eastAsia="Arial" w:hAnsi="Arial"/>
          <w:color w:val="1A1A1A"/>
          <w:sz w:val="22"/>
          <w:szCs w:val="22"/>
        </w:rPr>
        <w:t xml:space="preserve">This means the app works offline permanently once activated. There is no license server to go down, no renewal, and no expiry. A key can be transferred to a new device by the user entering it again.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7560"/>
      </w:tblGrid>
      <w:tr>
        <w:tc>
          <w:tcPr>
            <w:tcW w:type="dxa" w:w="1400"/>
            <w:tcBorders>
              <w:top w:val="none" w:color="FFFFFF" w:sz="0"/>
              <w:left w:val="none" w:color="FFFFFF" w:sz="0"/>
              <w:bottom w:val="none" w:color="FFFFFF" w:sz="0"/>
              <w:right w:val="none" w:color="FFFFFF" w:sz="0"/>
            </w:tcBorders>
            <w:shd w:fill="F3E5F5" w:val="clear"/>
            <w:tcMar>
              <w:top w:type="dxa" w:w="120"/>
              <w:left w:type="dxa" w:w="160"/>
              <w:bottom w:type="dxa" w:w="120"/>
              <w:right w:type="dxa" w:w="100"/>
            </w:tcMar>
          </w:tcPr>
          <w:p>
            <w:r>
              <w:rPr>
                <w:rFonts w:ascii="Arial" w:cs="Arial" w:eastAsia="Arial" w:hAnsi="Arial"/>
                <w:b/>
                <w:bCs/>
                <w:color w:val="6A1B9A"/>
                <w:sz w:val="20"/>
                <w:szCs w:val="20"/>
              </w:rPr>
              <w:t xml:space="preserve">Piracy posture</w:t>
            </w:r>
          </w:p>
        </w:tc>
        <w:tc>
          <w:tcPr>
            <w:tcW w:type="dxa" w:w="7560"/>
            <w:tcBorders>
              <w:top w:val="none" w:color="FFFFFF" w:sz="0"/>
              <w:left w:val="none" w:color="FFFFFF" w:sz="0"/>
              <w:bottom w:val="none" w:color="FFFFFF" w:sz="0"/>
              <w:right w:val="none" w:color="FFFFFF" w:sz="0"/>
            </w:tcBorders>
            <w:shd w:fill="F3E5F5" w:val="clear"/>
            <w:tcMar>
              <w:top w:type="dxa" w:w="120"/>
              <w:left w:type="dxa" w:w="100"/>
              <w:bottom w:type="dxa" w:w="120"/>
              <w:right w:type="dxa" w:w="160"/>
            </w:tcMar>
          </w:tcPr>
          <w:p>
            <w:r>
              <w:rPr>
                <w:rFonts w:ascii="Arial" w:cs="Arial" w:eastAsia="Arial" w:hAnsi="Arial"/>
                <w:color w:val="1A1A1A"/>
                <w:sz w:val="21"/>
                <w:szCs w:val="21"/>
              </w:rPr>
              <w:t xml:space="preserve">Local key validation can be circumvented by a determined user. This is an accepted tradeoff. The target audience (couples managing household finances) are not the demographic that pirates personal finance software. Frictionless activation for honest users is more valuable than DRM.</w:t>
            </w:r>
          </w:p>
        </w:tc>
      </w:tr>
    </w:tbl>
    <w:p>
      <w:pPr>
        <w:pBdr>
          <w:bottom w:val="single" w:color="DDDDDD" w:sz="4" w:space="1"/>
        </w:pBdr>
        <w:spacing w:before="160" w:after="160"/>
      </w:pPr>
    </w:p>
    <w:p>
      <w:pPr>
        <w:pStyle w:val="Heading1"/>
        <w:spacing w:before="360" w:after="120"/>
      </w:pPr>
      <w:r>
        <w:rPr>
          <w:rFonts w:ascii="Arial" w:cs="Arial" w:eastAsia="Arial" w:hAnsi="Arial"/>
          <w:b/>
          <w:bCs/>
          <w:color w:val="1A56A0"/>
          <w:sz w:val="32"/>
          <w:szCs w:val="32"/>
        </w:rPr>
        <w:t xml:space="preserve">11. Functional Requirements</w:t>
      </w:r>
    </w:p>
    <w:p>
      <w:pPr>
        <w:spacing w:before="60" w:after="80"/>
      </w:pPr>
      <w:r>
        <w:rPr>
          <w:rFonts w:ascii="Arial" w:cs="Arial" w:eastAsia="Arial" w:hAnsi="Arial"/>
          <w:color w:val="1A1A1A"/>
          <w:sz w:val="22"/>
          <w:szCs w:val="22"/>
        </w:rPr>
        <w:t xml:space="preserve">Priority: P1 = must have for launch · P2 = important, deferrable · P3 = nice to have</w:t>
      </w:r>
    </w:p>
    <w:p>
      <w:pPr>
        <w:spacing w:before="60" w:after="80"/>
      </w:pPr>
      <w:r>
        <w:rPr>
          <w:rFonts w:ascii="Arial" w:cs="Arial" w:eastAsia="Arial" w:hAnsi="Arial"/>
          <w:color w:val="1A1A1A"/>
          <w:sz w:val="22"/>
          <w:szCs w:val="22"/>
        </w:rPr>
        <w:t xml:space="preserve">Tier: Free = available without license · Premium = requires lifetime license · Both = all users</w:t>
      </w:r>
    </w:p>
    <w:p>
      <w:pPr>
        <w:spacing w:before="140"/>
      </w:pPr>
    </w:p>
    <w:p>
      <w:pPr>
        <w:pStyle w:val="Heading2"/>
        <w:spacing w:before="280" w:after="80"/>
      </w:pPr>
      <w:r>
        <w:rPr>
          <w:rFonts w:ascii="Arial" w:cs="Arial" w:eastAsia="Arial" w:hAnsi="Arial"/>
          <w:b/>
          <w:bCs/>
          <w:color w:val="1A1A1A"/>
          <w:sz w:val="26"/>
          <w:szCs w:val="26"/>
        </w:rPr>
        <w:t xml:space="preserve">11.1 Storage &amp; data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300"/>
        <w:gridCol w:w="1000"/>
      </w:tblGrid>
      <w:tr>
        <w:trPr>
          <w:tblHeader/>
        </w:trPr>
        <w:tc>
          <w:tcPr>
            <w:tcW w:type="dxa" w:w="9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ID</w:t>
            </w:r>
          </w:p>
        </w:tc>
        <w:tc>
          <w:tcPr>
            <w:tcW w:type="dxa" w:w="576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Requirement</w:t>
            </w:r>
          </w:p>
        </w:tc>
        <w:tc>
          <w:tcPr>
            <w:tcW w:type="dxa" w:w="13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Tier</w:t>
            </w:r>
          </w:p>
        </w:tc>
        <w:tc>
          <w:tcPr>
            <w:tcW w:type="dxa" w:w="10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Priority</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DATA-01</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All data stored locally using SQLite WASM or IndexedDB</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DATA-02</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Export full database as encrypted .db file</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DATA-03</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Export full database as unencrypted .db file</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P2</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DATA-04</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Export transactions as CSV</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P2</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DATA-05</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Export net worth history as CSV</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P2</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DATA-06</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Import encrypted .db file to restore or sync</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DATA-07</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Detect newer sync file and prompt user to merge or replace</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P2</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DATA-08</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App works fully offline for all budgeting features</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bl>
    <w:p>
      <w:pPr>
        <w:spacing w:before="140"/>
      </w:pPr>
    </w:p>
    <w:p>
      <w:pPr>
        <w:pStyle w:val="Heading2"/>
        <w:spacing w:before="280" w:after="80"/>
      </w:pPr>
      <w:r>
        <w:rPr>
          <w:rFonts w:ascii="Arial" w:cs="Arial" w:eastAsia="Arial" w:hAnsi="Arial"/>
          <w:b/>
          <w:bCs/>
          <w:color w:val="1A1A1A"/>
          <w:sz w:val="26"/>
          <w:szCs w:val="26"/>
        </w:rPr>
        <w:t xml:space="preserve">11.2 License &amp; activation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300"/>
        <w:gridCol w:w="1000"/>
      </w:tblGrid>
      <w:tr>
        <w:trPr>
          <w:tblHeader/>
        </w:trPr>
        <w:tc>
          <w:tcPr>
            <w:tcW w:type="dxa" w:w="9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ID</w:t>
            </w:r>
          </w:p>
        </w:tc>
        <w:tc>
          <w:tcPr>
            <w:tcW w:type="dxa" w:w="576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Requirement</w:t>
            </w:r>
          </w:p>
        </w:tc>
        <w:tc>
          <w:tcPr>
            <w:tcW w:type="dxa" w:w="13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Tier</w:t>
            </w:r>
          </w:p>
        </w:tc>
        <w:tc>
          <w:tcPr>
            <w:tcW w:type="dxa" w:w="10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Priority</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LIC-01</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License key entry field in app settings</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LIC-02</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Key validated locally via checksum (no server call)</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LIC-03</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License key persisted in local storage after activation</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LIC-04</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Key can be re-entered on a new device to reactivate</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LIC-05</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Clear UI distinguishing free vs. premium features with upgrade prompt</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bl>
    <w:p>
      <w:pPr>
        <w:spacing w:before="140"/>
      </w:pPr>
    </w:p>
    <w:p>
      <w:pPr>
        <w:pStyle w:val="Heading2"/>
        <w:spacing w:before="280" w:after="80"/>
      </w:pPr>
      <w:r>
        <w:rPr>
          <w:rFonts w:ascii="Arial" w:cs="Arial" w:eastAsia="Arial" w:hAnsi="Arial"/>
          <w:b/>
          <w:bCs/>
          <w:color w:val="1A1A1A"/>
          <w:sz w:val="26"/>
          <w:szCs w:val="26"/>
        </w:rPr>
        <w:t xml:space="preserve">11.3 CSV &amp; file import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300"/>
        <w:gridCol w:w="1000"/>
      </w:tblGrid>
      <w:tr>
        <w:trPr>
          <w:tblHeader/>
        </w:trPr>
        <w:tc>
          <w:tcPr>
            <w:tcW w:type="dxa" w:w="9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ID</w:t>
            </w:r>
          </w:p>
        </w:tc>
        <w:tc>
          <w:tcPr>
            <w:tcW w:type="dxa" w:w="576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Requirement</w:t>
            </w:r>
          </w:p>
        </w:tc>
        <w:tc>
          <w:tcPr>
            <w:tcW w:type="dxa" w:w="13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Tier</w:t>
            </w:r>
          </w:p>
        </w:tc>
        <w:tc>
          <w:tcPr>
            <w:tcW w:type="dxa" w:w="10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Priority</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IMP-01</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Import generic bank CSV with column mapping UI</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IMP-02</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App remembers column mapping per bank (by user label)</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IMP-03</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Imported transactions land in the inbox for assignment</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IMP-04</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Duplicate detection on import (flag for review, not silent reject)</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IMP-05</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Import OFX / QFX (Quicken) format files</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P2</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IMP-06</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Import Mint CSV export format</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P2</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IMP-07</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Import YNAB CSV export format</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P2</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IMP-08</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Show import summary (rows found, duplicates flagged, rows added)</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bl>
    <w:p>
      <w:pPr>
        <w:spacing w:before="140"/>
      </w:pPr>
    </w:p>
    <w:p>
      <w:pPr>
        <w:pStyle w:val="Heading2"/>
        <w:spacing w:before="280" w:after="80"/>
      </w:pPr>
      <w:r>
        <w:rPr>
          <w:rFonts w:ascii="Arial" w:cs="Arial" w:eastAsia="Arial" w:hAnsi="Arial"/>
          <w:b/>
          <w:bCs/>
          <w:color w:val="1A1A1A"/>
          <w:sz w:val="26"/>
          <w:szCs w:val="26"/>
        </w:rPr>
        <w:t xml:space="preserve">11.4 Optional sync</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300"/>
        <w:gridCol w:w="1000"/>
      </w:tblGrid>
      <w:tr>
        <w:trPr>
          <w:tblHeader/>
        </w:trPr>
        <w:tc>
          <w:tcPr>
            <w:tcW w:type="dxa" w:w="9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ID</w:t>
            </w:r>
          </w:p>
        </w:tc>
        <w:tc>
          <w:tcPr>
            <w:tcW w:type="dxa" w:w="576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Requirement</w:t>
            </w:r>
          </w:p>
        </w:tc>
        <w:tc>
          <w:tcPr>
            <w:tcW w:type="dxa" w:w="13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Tier</w:t>
            </w:r>
          </w:p>
        </w:tc>
        <w:tc>
          <w:tcPr>
            <w:tcW w:type="dxa" w:w="10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Priority</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SYNC-01</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User can configure a sync folder path or cloud provider</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SYNC-02</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App saves encrypted .db to sync location after changes</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SYNC-03</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App checks sync location on open and prompts if newer file found</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SYNC-04</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Sync works with Dropbox, iCloud Drive, Google Drive, OneDrive</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SYNC-05</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Sync is always optional — app never requires it to function</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SYNC-06</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Conflict prompt when timestamps within 24 hours of each other</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P2</w:t>
            </w:r>
          </w:p>
        </w:tc>
      </w:tr>
    </w:tbl>
    <w:p>
      <w:pPr>
        <w:spacing w:before="140"/>
      </w:pPr>
    </w:p>
    <w:p>
      <w:pPr>
        <w:pStyle w:val="Heading2"/>
        <w:spacing w:before="280" w:after="80"/>
      </w:pPr>
      <w:r>
        <w:rPr>
          <w:rFonts w:ascii="Arial" w:cs="Arial" w:eastAsia="Arial" w:hAnsi="Arial"/>
          <w:b/>
          <w:bCs/>
          <w:color w:val="1A1A1A"/>
          <w:sz w:val="26"/>
          <w:szCs w:val="26"/>
        </w:rPr>
        <w:t xml:space="preserve">11.5 Envelope budgeting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300"/>
        <w:gridCol w:w="1000"/>
      </w:tblGrid>
      <w:tr>
        <w:trPr>
          <w:tblHeader/>
        </w:trPr>
        <w:tc>
          <w:tcPr>
            <w:tcW w:type="dxa" w:w="9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ID</w:t>
            </w:r>
          </w:p>
        </w:tc>
        <w:tc>
          <w:tcPr>
            <w:tcW w:type="dxa" w:w="576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Requirement</w:t>
            </w:r>
          </w:p>
        </w:tc>
        <w:tc>
          <w:tcPr>
            <w:tcW w:type="dxa" w:w="13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Tier</w:t>
            </w:r>
          </w:p>
        </w:tc>
        <w:tc>
          <w:tcPr>
            <w:tcW w:type="dxa" w:w="10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Priority</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ENV-01</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Create, rename, reorder, and delete envelopes</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ENV-02</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Organize envelopes in user-defined groups</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ENV-03</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Master template — set envelope amounts once and reuse monthly</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ENV-04</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Apply template to start a new month with editable preview</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ENV-05</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Automatic rollover of unspent balance at month end</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ENV-06</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Visual budgeted / spent / remaining indicator per envelope</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ENV-07</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Income entry field with unallocated funds indicator</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bl>
    <w:p>
      <w:pPr>
        <w:spacing w:before="140"/>
      </w:pPr>
    </w:p>
    <w:p>
      <w:pPr>
        <w:pStyle w:val="Heading2"/>
        <w:spacing w:before="280" w:after="80"/>
      </w:pPr>
      <w:r>
        <w:rPr>
          <w:rFonts w:ascii="Arial" w:cs="Arial" w:eastAsia="Arial" w:hAnsi="Arial"/>
          <w:b/>
          <w:bCs/>
          <w:color w:val="1A1A1A"/>
          <w:sz w:val="26"/>
          <w:szCs w:val="26"/>
        </w:rPr>
        <w:t xml:space="preserve">11.6 Transaction inbox</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300"/>
        <w:gridCol w:w="1000"/>
      </w:tblGrid>
      <w:tr>
        <w:trPr>
          <w:tblHeader/>
        </w:trPr>
        <w:tc>
          <w:tcPr>
            <w:tcW w:type="dxa" w:w="9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ID</w:t>
            </w:r>
          </w:p>
        </w:tc>
        <w:tc>
          <w:tcPr>
            <w:tcW w:type="dxa" w:w="576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Requirement</w:t>
            </w:r>
          </w:p>
        </w:tc>
        <w:tc>
          <w:tcPr>
            <w:tcW w:type="dxa" w:w="13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Tier</w:t>
            </w:r>
          </w:p>
        </w:tc>
        <w:tc>
          <w:tcPr>
            <w:tcW w:type="dxa" w:w="10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Priority</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TXN-01</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Inbox view showing all unassigned transactions</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TXN-02</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Manual transaction entry (date, amount, description)</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TXN-03</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Assign transaction to a single envelope</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TXN-04</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Split transaction across multiple envelopes with custom amounts</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TXN-05</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Flag transaction for partner review</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TXN-06</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Add memo / note to a transaction</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P2</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TXN-07</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Edit or delete a manually entered transaction</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TXN-08</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View assigned transactions per envelope</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bl>
    <w:p>
      <w:pPr>
        <w:spacing w:before="140"/>
      </w:pPr>
    </w:p>
    <w:p>
      <w:pPr>
        <w:pStyle w:val="Heading2"/>
        <w:spacing w:before="280" w:after="80"/>
      </w:pPr>
      <w:r>
        <w:rPr>
          <w:rFonts w:ascii="Arial" w:cs="Arial" w:eastAsia="Arial" w:hAnsi="Arial"/>
          <w:b/>
          <w:bCs/>
          <w:color w:val="1A1A1A"/>
          <w:sz w:val="26"/>
          <w:szCs w:val="26"/>
        </w:rPr>
        <w:t xml:space="preserve">11.7 Net worth</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300"/>
        <w:gridCol w:w="1000"/>
      </w:tblGrid>
      <w:tr>
        <w:trPr>
          <w:tblHeader/>
        </w:trPr>
        <w:tc>
          <w:tcPr>
            <w:tcW w:type="dxa" w:w="9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ID</w:t>
            </w:r>
          </w:p>
        </w:tc>
        <w:tc>
          <w:tcPr>
            <w:tcW w:type="dxa" w:w="576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Requirement</w:t>
            </w:r>
          </w:p>
        </w:tc>
        <w:tc>
          <w:tcPr>
            <w:tcW w:type="dxa" w:w="13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Tier</w:t>
            </w:r>
          </w:p>
        </w:tc>
        <w:tc>
          <w:tcPr>
            <w:tcW w:type="dxa" w:w="10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Priority</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NW-01</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Dashboard showing total assets, liabilities, and net worth</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NW-02</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Manual balance entry per account with timestamped snapshot</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NW-03</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Net worth timeline chart — full history, all tiers</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NW-04</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Filter chart by 3 months, 1 year, all time</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P2</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NW-05</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Asset vs. liability breakdown as separate chart series</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P2</w:t>
            </w:r>
          </w:p>
        </w:tc>
      </w:tr>
    </w:tbl>
    <w:p>
      <w:pPr>
        <w:spacing w:before="140"/>
      </w:pPr>
    </w:p>
    <w:p>
      <w:pPr>
        <w:pStyle w:val="Heading2"/>
        <w:spacing w:before="280" w:after="80"/>
      </w:pPr>
      <w:r>
        <w:rPr>
          <w:rFonts w:ascii="Arial" w:cs="Arial" w:eastAsia="Arial" w:hAnsi="Arial"/>
          <w:b/>
          <w:bCs/>
          <w:color w:val="1A1A1A"/>
          <w:sz w:val="26"/>
          <w:szCs w:val="26"/>
        </w:rPr>
        <w:t xml:space="preserve">11.8 Debt payoff</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300"/>
        <w:gridCol w:w="1000"/>
      </w:tblGrid>
      <w:tr>
        <w:trPr>
          <w:tblHeader/>
        </w:trPr>
        <w:tc>
          <w:tcPr>
            <w:tcW w:type="dxa" w:w="9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ID</w:t>
            </w:r>
          </w:p>
        </w:tc>
        <w:tc>
          <w:tcPr>
            <w:tcW w:type="dxa" w:w="576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Requirement</w:t>
            </w:r>
          </w:p>
        </w:tc>
        <w:tc>
          <w:tcPr>
            <w:tcW w:type="dxa" w:w="13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Tier</w:t>
            </w:r>
          </w:p>
        </w:tc>
        <w:tc>
          <w:tcPr>
            <w:tcW w:type="dxa" w:w="10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Priority</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DEBT-01</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List all debt accounts with current and original balance</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DEBT-02</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Balance history chart per debt account</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DEBT-03</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Progress bar showing % paid off from original balance</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DEBT-04</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Estimated payoff date based on current payment pace</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P2</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DEBT-05</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User-set target payoff date with countdown</w:t>
            </w:r>
          </w:p>
        </w:tc>
        <w:tc>
          <w:tcPr>
            <w:tcW w:type="dxa" w:w="1300"/>
            <w:tcBorders>
              <w:top w:val="single" w:color="DDDDDD" w:sz="1"/>
              <w:left w:val="single" w:color="DDDDDD" w:sz="1"/>
              <w:bottom w:val="single" w:color="DDDDDD" w:sz="1"/>
              <w:right w:val="single" w:color="DDDDDD" w:sz="1"/>
            </w:tcBorders>
            <w:shd w:fill="F3E5F5" w:val="clear"/>
            <w:tcMar>
              <w:top w:type="dxa" w:w="80"/>
              <w:left w:type="dxa" w:w="80"/>
              <w:bottom w:type="dxa" w:w="80"/>
              <w:right w:type="dxa" w:w="80"/>
            </w:tcMar>
          </w:tcPr>
          <w:p>
            <w:pPr>
              <w:jc w:val="center"/>
            </w:pPr>
            <w:r>
              <w:rPr>
                <w:rFonts w:ascii="Arial" w:cs="Arial" w:eastAsia="Arial" w:hAnsi="Arial"/>
                <w:b/>
                <w:bCs/>
                <w:color w:val="6A1B9A"/>
                <w:sz w:val="20"/>
                <w:szCs w:val="20"/>
              </w:rPr>
              <w:t xml:space="preserve">Both</w:t>
            </w:r>
          </w:p>
        </w:tc>
        <w:tc>
          <w:tcPr>
            <w:tcW w:type="dxa" w:w="1000"/>
            <w:tcBorders>
              <w:top w:val="single" w:color="DDDDDD" w:sz="1"/>
              <w:left w:val="single" w:color="DDDDDD" w:sz="1"/>
              <w:bottom w:val="single" w:color="DDDDDD" w:sz="1"/>
              <w:right w:val="single" w:color="DDDDDD" w:sz="1"/>
            </w:tcBorders>
            <w:shd w:fill="FFF8E1" w:val="clear"/>
            <w:tcMar>
              <w:top w:type="dxa" w:w="80"/>
              <w:left w:type="dxa" w:w="80"/>
              <w:bottom w:type="dxa" w:w="80"/>
              <w:right w:type="dxa" w:w="80"/>
            </w:tcMar>
          </w:tcPr>
          <w:p>
            <w:pPr>
              <w:jc w:val="center"/>
            </w:pPr>
            <w:r>
              <w:rPr>
                <w:rFonts w:ascii="Arial" w:cs="Arial" w:eastAsia="Arial" w:hAnsi="Arial"/>
                <w:b/>
                <w:bCs/>
                <w:color w:val="F57F17"/>
                <w:sz w:val="20"/>
                <w:szCs w:val="20"/>
              </w:rPr>
              <w:t xml:space="preserve">P2</w:t>
            </w:r>
          </w:p>
        </w:tc>
      </w:tr>
    </w:tbl>
    <w:p>
      <w:pPr>
        <w:spacing w:before="140"/>
      </w:pPr>
    </w:p>
    <w:p>
      <w:pPr>
        <w:pStyle w:val="Heading2"/>
        <w:spacing w:before="280" w:after="80"/>
      </w:pPr>
      <w:r>
        <w:rPr>
          <w:rFonts w:ascii="Arial" w:cs="Arial" w:eastAsia="Arial" w:hAnsi="Arial"/>
          <w:b/>
          <w:bCs/>
          <w:color w:val="1A1A1A"/>
          <w:sz w:val="26"/>
          <w:szCs w:val="26"/>
        </w:rPr>
        <w:t xml:space="preserve">11.9 Reporting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300"/>
        <w:gridCol w:w="1000"/>
      </w:tblGrid>
      <w:tr>
        <w:trPr>
          <w:tblHeader/>
        </w:trPr>
        <w:tc>
          <w:tcPr>
            <w:tcW w:type="dxa" w:w="9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ID</w:t>
            </w:r>
          </w:p>
        </w:tc>
        <w:tc>
          <w:tcPr>
            <w:tcW w:type="dxa" w:w="576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Requirement</w:t>
            </w:r>
          </w:p>
        </w:tc>
        <w:tc>
          <w:tcPr>
            <w:tcW w:type="dxa" w:w="13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Tier</w:t>
            </w:r>
          </w:p>
        </w:tc>
        <w:tc>
          <w:tcPr>
            <w:tcW w:type="dxa" w:w="1000"/>
            <w:tcBorders>
              <w:top w:val="single" w:color="DDDDDD" w:sz="1"/>
              <w:left w:val="single" w:color="DDDDDD" w:sz="1"/>
              <w:bottom w:val="single" w:color="DDDDDD" w:sz="1"/>
              <w:right w:val="single" w:color="DDDDDD" w:sz="1"/>
            </w:tcBorders>
            <w:shd w:fill="1A56A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Priority</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RPT-01</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Spending by envelope — monthly bar chart, budgeted vs. actual</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RPT-02</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Income vs. expenses — monthly comparison with trend line</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RPT-03</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Net worth over time — full history line chart</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RPT-04</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Debt payoff progress — per-debt balance chart</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tcPr>
          <w:p>
            <w:pPr>
              <w:jc w:val="center"/>
            </w:pPr>
            <w:r>
              <w:rPr>
                <w:rFonts w:ascii="Arial" w:cs="Arial" w:eastAsia="Arial" w:hAnsi="Arial"/>
                <w:b/>
                <w:bCs/>
                <w:color w:val="B71C1C"/>
                <w:sz w:val="20"/>
                <w:szCs w:val="20"/>
              </w:rPr>
              <w:t xml:space="preserve">P1</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Narrow" w:cs="Arial Narrow" w:eastAsia="Arial Narrow" w:hAnsi="Arial Narrow"/>
                <w:color w:val="666666"/>
                <w:sz w:val="20"/>
                <w:szCs w:val="20"/>
              </w:rPr>
              <w:t xml:space="preserve">RPT-05</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1"/>
                <w:szCs w:val="21"/>
              </w:rPr>
              <w:t xml:space="preserve">Export reports as PDF or CSV</w:t>
            </w:r>
          </w:p>
        </w:tc>
        <w:tc>
          <w:tcPr>
            <w:tcW w:type="dxa" w:w="1300"/>
            <w:tcBorders>
              <w:top w:val="single" w:color="DDDDDD" w:sz="1"/>
              <w:left w:val="single" w:color="DDDDDD" w:sz="1"/>
              <w:bottom w:val="single" w:color="DDDDDD" w:sz="1"/>
              <w:right w:val="single" w:color="DDDDDD" w:sz="1"/>
            </w:tcBorders>
            <w:shd w:fill="E3F2FD" w:val="clear"/>
            <w:tcMar>
              <w:top w:type="dxa" w:w="80"/>
              <w:left w:type="dxa" w:w="80"/>
              <w:bottom w:type="dxa" w:w="80"/>
              <w:right w:type="dxa" w:w="80"/>
            </w:tcMar>
          </w:tcPr>
          <w:p>
            <w:pPr>
              <w:jc w:val="center"/>
            </w:pPr>
            <w:r>
              <w:rPr>
                <w:rFonts w:ascii="Arial" w:cs="Arial" w:eastAsia="Arial" w:hAnsi="Arial"/>
                <w:b/>
                <w:bCs/>
                <w:color w:val="1565C0"/>
                <w:sz w:val="20"/>
                <w:szCs w:val="20"/>
              </w:rPr>
              <w:t xml:space="preserve">Premium</w:t>
            </w:r>
          </w:p>
        </w:tc>
        <w:tc>
          <w:tcPr>
            <w:tcW w:type="dxa" w:w="1000"/>
            <w:tcBorders>
              <w:top w:val="single" w:color="DDDDDD" w:sz="1"/>
              <w:left w:val="single" w:color="DDDDDD" w:sz="1"/>
              <w:bottom w:val="single" w:color="DDDDDD" w:sz="1"/>
              <w:right w:val="single" w:color="DDDDDD" w:sz="1"/>
            </w:tcBorders>
            <w:shd w:fill="F1F8E9" w:val="clear"/>
            <w:tcMar>
              <w:top w:type="dxa" w:w="80"/>
              <w:left w:type="dxa" w:w="80"/>
              <w:bottom w:type="dxa" w:w="80"/>
              <w:right w:type="dxa" w:w="80"/>
            </w:tcMar>
          </w:tcPr>
          <w:p>
            <w:pPr>
              <w:jc w:val="center"/>
            </w:pPr>
            <w:r>
              <w:rPr>
                <w:rFonts w:ascii="Arial" w:cs="Arial" w:eastAsia="Arial" w:hAnsi="Arial"/>
                <w:b/>
                <w:bCs/>
                <w:color w:val="33691E"/>
                <w:sz w:val="20"/>
                <w:szCs w:val="20"/>
              </w:rPr>
              <w:t xml:space="preserve">P3</w:t>
            </w:r>
          </w:p>
        </w:tc>
      </w:tr>
    </w:tbl>
    <w:p>
      <w:pPr>
        <w:pBdr>
          <w:bottom w:val="single" w:color="DDDDDD" w:sz="4" w:space="1"/>
        </w:pBdr>
        <w:spacing w:before="160" w:after="160"/>
      </w:pPr>
    </w:p>
    <w:p>
      <w:pPr>
        <w:pStyle w:val="Heading1"/>
        <w:spacing w:before="360" w:after="120"/>
      </w:pPr>
      <w:r>
        <w:rPr>
          <w:rFonts w:ascii="Arial" w:cs="Arial" w:eastAsia="Arial" w:hAnsi="Arial"/>
          <w:b/>
          <w:bCs/>
          <w:color w:val="1A56A0"/>
          <w:sz w:val="32"/>
          <w:szCs w:val="32"/>
        </w:rPr>
        <w:t xml:space="preserve">12. Non-Functional Requirements</w:t>
      </w:r>
    </w:p>
    <w:p>
      <w:pPr>
        <w:pStyle w:val="Heading2"/>
        <w:spacing w:before="280" w:after="80"/>
      </w:pPr>
      <w:r>
        <w:rPr>
          <w:rFonts w:ascii="Arial" w:cs="Arial" w:eastAsia="Arial" w:hAnsi="Arial"/>
          <w:b/>
          <w:bCs/>
          <w:color w:val="1A1A1A"/>
          <w:sz w:val="26"/>
          <w:szCs w:val="26"/>
        </w:rPr>
        <w:t xml:space="preserve">Performance</w:t>
      </w:r>
    </w:p>
    <w:p>
      <w:pPr>
        <w:pStyle w:val="ListParagraph"/>
        <w:numPr>
          <w:ilvl w:val="0"/>
          <w:numId w:val="2"/>
        </w:numPr>
        <w:spacing w:before="40" w:after="40"/>
      </w:pPr>
      <w:r>
        <w:rPr>
          <w:rFonts w:ascii="Arial" w:cs="Arial" w:eastAsia="Arial" w:hAnsi="Arial"/>
          <w:color w:val="1A1A1A"/>
          <w:sz w:val="22"/>
          <w:szCs w:val="22"/>
        </w:rPr>
        <w:t xml:space="preserve">App loads from cold start in under 3 seconds on a modern browser</w:t>
      </w:r>
    </w:p>
    <w:p>
      <w:pPr>
        <w:pStyle w:val="ListParagraph"/>
        <w:numPr>
          <w:ilvl w:val="0"/>
          <w:numId w:val="2"/>
        </w:numPr>
        <w:spacing w:before="40" w:after="40"/>
      </w:pPr>
      <w:r>
        <w:rPr>
          <w:rFonts w:ascii="Arial" w:cs="Arial" w:eastAsia="Arial" w:hAnsi="Arial"/>
          <w:color w:val="1A1A1A"/>
          <w:sz w:val="22"/>
          <w:szCs w:val="22"/>
        </w:rPr>
        <w:t xml:space="preserve">Transaction inbox renders up to 1,000 items without pagination</w:t>
      </w:r>
    </w:p>
    <w:p>
      <w:pPr>
        <w:pStyle w:val="ListParagraph"/>
        <w:numPr>
          <w:ilvl w:val="0"/>
          <w:numId w:val="2"/>
        </w:numPr>
        <w:spacing w:before="40" w:after="40"/>
      </w:pPr>
      <w:r>
        <w:rPr>
          <w:rFonts w:ascii="Arial" w:cs="Arial" w:eastAsia="Arial" w:hAnsi="Arial"/>
          <w:color w:val="1A1A1A"/>
          <w:sz w:val="22"/>
          <w:szCs w:val="22"/>
        </w:rPr>
        <w:t xml:space="preserve">Net worth chart renders full history (5+ years of snapshots) in under 1 second</w:t>
      </w:r>
    </w:p>
    <w:p>
      <w:pPr>
        <w:pStyle w:val="ListParagraph"/>
        <w:numPr>
          <w:ilvl w:val="0"/>
          <w:numId w:val="2"/>
        </w:numPr>
        <w:spacing w:before="40" w:after="40"/>
      </w:pPr>
      <w:r>
        <w:rPr>
          <w:rFonts w:ascii="Arial" w:cs="Arial" w:eastAsia="Arial" w:hAnsi="Arial"/>
          <w:color w:val="1A1A1A"/>
          <w:sz w:val="22"/>
          <w:szCs w:val="22"/>
        </w:rPr>
        <w:t xml:space="preserve">CSV import processes up to 5,000 rows without UI blocking (use Web Worker)</w:t>
      </w:r>
    </w:p>
    <w:p>
      <w:pPr>
        <w:pStyle w:val="Heading2"/>
        <w:spacing w:before="280" w:after="80"/>
      </w:pPr>
      <w:r>
        <w:rPr>
          <w:rFonts w:ascii="Arial" w:cs="Arial" w:eastAsia="Arial" w:hAnsi="Arial"/>
          <w:b/>
          <w:bCs/>
          <w:color w:val="1A1A1A"/>
          <w:sz w:val="26"/>
          <w:szCs w:val="26"/>
        </w:rPr>
        <w:t xml:space="preserve">Security</w:t>
      </w:r>
    </w:p>
    <w:p>
      <w:pPr>
        <w:pStyle w:val="ListParagraph"/>
        <w:numPr>
          <w:ilvl w:val="0"/>
          <w:numId w:val="2"/>
        </w:numPr>
        <w:spacing w:before="40" w:after="40"/>
      </w:pPr>
      <w:r>
        <w:rPr>
          <w:rFonts w:ascii="Arial" w:cs="Arial" w:eastAsia="Arial" w:hAnsi="Arial"/>
          <w:color w:val="1A1A1A"/>
          <w:sz w:val="22"/>
          <w:szCs w:val="22"/>
        </w:rPr>
        <w:t xml:space="preserve">Encrypted .db export uses AES-256 with a user-supplied passphrase</w:t>
      </w:r>
    </w:p>
    <w:p>
      <w:pPr>
        <w:pStyle w:val="ListParagraph"/>
        <w:numPr>
          <w:ilvl w:val="0"/>
          <w:numId w:val="2"/>
        </w:numPr>
        <w:spacing w:before="40" w:after="40"/>
      </w:pPr>
      <w:r>
        <w:rPr>
          <w:rFonts w:ascii="Arial" w:cs="Arial" w:eastAsia="Arial" w:hAnsi="Arial"/>
          <w:color w:val="1A1A1A"/>
          <w:sz w:val="22"/>
          <w:szCs w:val="22"/>
        </w:rPr>
        <w:t xml:space="preserve">No financial data is ever transmitted to any server (except user-chosen sync provider)</w:t>
      </w:r>
    </w:p>
    <w:p>
      <w:pPr>
        <w:pStyle w:val="ListParagraph"/>
        <w:numPr>
          <w:ilvl w:val="0"/>
          <w:numId w:val="2"/>
        </w:numPr>
        <w:spacing w:before="40" w:after="40"/>
      </w:pPr>
      <w:r>
        <w:rPr>
          <w:rFonts w:ascii="Arial" w:cs="Arial" w:eastAsia="Arial" w:hAnsi="Arial"/>
          <w:color w:val="1A1A1A"/>
          <w:sz w:val="22"/>
          <w:szCs w:val="22"/>
        </w:rPr>
        <w:t xml:space="preserve">License key validation contains no PII and requires no network call</w:t>
      </w:r>
    </w:p>
    <w:p>
      <w:pPr>
        <w:pStyle w:val="ListParagraph"/>
        <w:numPr>
          <w:ilvl w:val="0"/>
          <w:numId w:val="2"/>
        </w:numPr>
        <w:spacing w:before="40" w:after="40"/>
      </w:pPr>
      <w:r>
        <w:rPr>
          <w:rFonts w:ascii="Arial" w:cs="Arial" w:eastAsia="Arial" w:hAnsi="Arial"/>
          <w:color w:val="1A1A1A"/>
          <w:sz w:val="22"/>
          <w:szCs w:val="22"/>
        </w:rPr>
        <w:t xml:space="preserve">App Content Security Policy prevents any external script execution</w:t>
      </w:r>
    </w:p>
    <w:p>
      <w:pPr>
        <w:pStyle w:val="Heading2"/>
        <w:spacing w:before="280" w:after="80"/>
      </w:pPr>
      <w:r>
        <w:rPr>
          <w:rFonts w:ascii="Arial" w:cs="Arial" w:eastAsia="Arial" w:hAnsi="Arial"/>
          <w:b/>
          <w:bCs/>
          <w:color w:val="1A1A1A"/>
          <w:sz w:val="26"/>
          <w:szCs w:val="26"/>
        </w:rPr>
        <w:t xml:space="preserve">Compatibility</w:t>
      </w:r>
    </w:p>
    <w:p>
      <w:pPr>
        <w:pStyle w:val="ListParagraph"/>
        <w:numPr>
          <w:ilvl w:val="0"/>
          <w:numId w:val="2"/>
        </w:numPr>
        <w:spacing w:before="40" w:after="40"/>
      </w:pPr>
      <w:r>
        <w:rPr>
          <w:rFonts w:ascii="Arial" w:cs="Arial" w:eastAsia="Arial" w:hAnsi="Arial"/>
          <w:color w:val="1A1A1A"/>
          <w:sz w:val="22"/>
          <w:szCs w:val="22"/>
        </w:rPr>
        <w:t xml:space="preserve">Web: Chrome, Safari, Firefox, Edge — latest 2 major versions</w:t>
      </w:r>
    </w:p>
    <w:p>
      <w:pPr>
        <w:pStyle w:val="ListParagraph"/>
        <w:numPr>
          <w:ilvl w:val="0"/>
          <w:numId w:val="2"/>
        </w:numPr>
        <w:spacing w:before="40" w:after="40"/>
      </w:pPr>
      <w:r>
        <w:rPr>
          <w:rFonts w:ascii="Arial" w:cs="Arial" w:eastAsia="Arial" w:hAnsi="Arial"/>
          <w:color w:val="1A1A1A"/>
          <w:sz w:val="22"/>
          <w:szCs w:val="22"/>
        </w:rPr>
        <w:t xml:space="preserve">Mobile browser: iOS Safari 16+, Chrome for Android 12+</w:t>
      </w:r>
    </w:p>
    <w:p>
      <w:pPr>
        <w:pStyle w:val="ListParagraph"/>
        <w:numPr>
          <w:ilvl w:val="0"/>
          <w:numId w:val="2"/>
        </w:numPr>
        <w:spacing w:before="40" w:after="40"/>
      </w:pPr>
      <w:r>
        <w:rPr>
          <w:rFonts w:ascii="Arial" w:cs="Arial" w:eastAsia="Arial" w:hAnsi="Arial"/>
          <w:color w:val="1A1A1A"/>
          <w:sz w:val="22"/>
          <w:szCs w:val="22"/>
        </w:rPr>
        <w:t xml:space="preserve">PWA installable on iOS and Android home screen</w:t>
      </w:r>
    </w:p>
    <w:p>
      <w:pPr>
        <w:pStyle w:val="ListParagraph"/>
        <w:numPr>
          <w:ilvl w:val="0"/>
          <w:numId w:val="2"/>
        </w:numPr>
        <w:spacing w:before="40" w:after="40"/>
      </w:pPr>
      <w:r>
        <w:rPr>
          <w:rFonts w:ascii="Arial" w:cs="Arial" w:eastAsia="Arial" w:hAnsi="Arial"/>
          <w:color w:val="1A1A1A"/>
          <w:sz w:val="22"/>
          <w:szCs w:val="22"/>
        </w:rPr>
        <w:t xml:space="preserve">SQLite WASM requires SharedArrayBuffer — COOP/COEP headers must be set on host</w:t>
      </w:r>
    </w:p>
    <w:p>
      <w:pPr>
        <w:pStyle w:val="Heading2"/>
        <w:spacing w:before="280" w:after="80"/>
      </w:pPr>
      <w:r>
        <w:rPr>
          <w:rFonts w:ascii="Arial" w:cs="Arial" w:eastAsia="Arial" w:hAnsi="Arial"/>
          <w:b/>
          <w:bCs/>
          <w:color w:val="1A1A1A"/>
          <w:sz w:val="26"/>
          <w:szCs w:val="26"/>
        </w:rPr>
        <w:t xml:space="preserve">Reliability</w:t>
      </w:r>
    </w:p>
    <w:p>
      <w:pPr>
        <w:pStyle w:val="ListParagraph"/>
        <w:numPr>
          <w:ilvl w:val="0"/>
          <w:numId w:val="2"/>
        </w:numPr>
        <w:spacing w:before="40" w:after="40"/>
      </w:pPr>
      <w:r>
        <w:rPr>
          <w:rFonts w:ascii="Arial" w:cs="Arial" w:eastAsia="Arial" w:hAnsi="Arial"/>
          <w:color w:val="1A1A1A"/>
          <w:sz w:val="22"/>
          <w:szCs w:val="22"/>
        </w:rPr>
        <w:t xml:space="preserve">Auto-save after every user action — no manual save required</w:t>
      </w:r>
    </w:p>
    <w:p>
      <w:pPr>
        <w:pStyle w:val="ListParagraph"/>
        <w:numPr>
          <w:ilvl w:val="0"/>
          <w:numId w:val="2"/>
        </w:numPr>
        <w:spacing w:before="40" w:after="40"/>
      </w:pPr>
      <w:r>
        <w:rPr>
          <w:rFonts w:ascii="Arial" w:cs="Arial" w:eastAsia="Arial" w:hAnsi="Arial"/>
          <w:color w:val="1A1A1A"/>
          <w:sz w:val="22"/>
          <w:szCs w:val="22"/>
        </w:rPr>
        <w:t xml:space="preserve">Crash recovery: app restores last known good state from local storage on reload</w:t>
      </w:r>
    </w:p>
    <w:p>
      <w:pPr>
        <w:pStyle w:val="ListParagraph"/>
        <w:numPr>
          <w:ilvl w:val="0"/>
          <w:numId w:val="2"/>
        </w:numPr>
        <w:spacing w:before="40" w:after="40"/>
      </w:pPr>
      <w:r>
        <w:rPr>
          <w:rFonts w:ascii="Arial" w:cs="Arial" w:eastAsia="Arial" w:hAnsi="Arial"/>
          <w:color w:val="1A1A1A"/>
          <w:sz w:val="22"/>
          <w:szCs w:val="22"/>
        </w:rPr>
        <w:t xml:space="preserve">User prompted to create a backup before any destructive operation (delete account, clear data)</w:t>
      </w:r>
    </w:p>
    <w:p>
      <w:pPr>
        <w:pBdr>
          <w:bottom w:val="single" w:color="DDDDDD" w:sz="4" w:space="1"/>
        </w:pBdr>
        <w:spacing w:before="160" w:after="160"/>
      </w:pPr>
    </w:p>
    <w:p>
      <w:pPr>
        <w:pStyle w:val="Heading1"/>
        <w:spacing w:before="360" w:after="120"/>
      </w:pPr>
      <w:r>
        <w:rPr>
          <w:rFonts w:ascii="Arial" w:cs="Arial" w:eastAsia="Arial" w:hAnsi="Arial"/>
          <w:b/>
          <w:bCs/>
          <w:color w:val="1A56A0"/>
          <w:sz w:val="32"/>
          <w:szCs w:val="32"/>
        </w:rPr>
        <w:t xml:space="preserve">13. Out of Scope (v1)</w:t>
      </w:r>
    </w:p>
    <w:p>
      <w:pPr>
        <w:pStyle w:val="ListParagraph"/>
        <w:numPr>
          <w:ilvl w:val="0"/>
          <w:numId w:val="2"/>
        </w:numPr>
        <w:spacing w:before="40" w:after="40"/>
      </w:pPr>
      <w:r>
        <w:rPr>
          <w:rFonts w:ascii="Arial" w:cs="Arial" w:eastAsia="Arial" w:hAnsi="Arial"/>
          <w:color w:val="1A1A1A"/>
          <w:sz w:val="22"/>
          <w:szCs w:val="22"/>
        </w:rPr>
        <w:t xml:space="preserve">Bank sync via Plaid or Finicity — replaced by CSV import</w:t>
      </w:r>
    </w:p>
    <w:p>
      <w:pPr>
        <w:pStyle w:val="ListParagraph"/>
        <w:numPr>
          <w:ilvl w:val="0"/>
          <w:numId w:val="2"/>
        </w:numPr>
        <w:spacing w:before="40" w:after="40"/>
      </w:pPr>
      <w:r>
        <w:rPr>
          <w:rFonts w:ascii="Arial" w:cs="Arial" w:eastAsia="Arial" w:hAnsi="Arial"/>
          <w:color w:val="1A1A1A"/>
          <w:sz w:val="22"/>
          <w:szCs w:val="22"/>
        </w:rPr>
        <w:t xml:space="preserve">Cloud-based server, API, or hosted database of any kind</w:t>
      </w:r>
    </w:p>
    <w:p>
      <w:pPr>
        <w:pStyle w:val="ListParagraph"/>
        <w:numPr>
          <w:ilvl w:val="0"/>
          <w:numId w:val="2"/>
        </w:numPr>
        <w:spacing w:before="40" w:after="40"/>
      </w:pPr>
      <w:r>
        <w:rPr>
          <w:rFonts w:ascii="Arial" w:cs="Arial" w:eastAsia="Arial" w:hAnsi="Arial"/>
          <w:color w:val="1A1A1A"/>
          <w:sz w:val="22"/>
          <w:szCs w:val="22"/>
        </w:rPr>
        <w:t xml:space="preserve">Real-time partner sync (WebSockets) — file-based sync only</w:t>
      </w:r>
    </w:p>
    <w:p>
      <w:pPr>
        <w:pStyle w:val="ListParagraph"/>
        <w:numPr>
          <w:ilvl w:val="0"/>
          <w:numId w:val="2"/>
        </w:numPr>
        <w:spacing w:before="40" w:after="40"/>
      </w:pPr>
      <w:r>
        <w:rPr>
          <w:rFonts w:ascii="Arial" w:cs="Arial" w:eastAsia="Arial" w:hAnsi="Arial"/>
          <w:color w:val="1A1A1A"/>
          <w:sz w:val="22"/>
          <w:szCs w:val="22"/>
        </w:rPr>
        <w:t xml:space="preserve">Multiple budget templates per household</w:t>
      </w:r>
    </w:p>
    <w:p>
      <w:pPr>
        <w:pStyle w:val="ListParagraph"/>
        <w:numPr>
          <w:ilvl w:val="0"/>
          <w:numId w:val="2"/>
        </w:numPr>
        <w:spacing w:before="40" w:after="40"/>
      </w:pPr>
      <w:r>
        <w:rPr>
          <w:rFonts w:ascii="Arial" w:cs="Arial" w:eastAsia="Arial" w:hAnsi="Arial"/>
          <w:color w:val="1A1A1A"/>
          <w:sz w:val="22"/>
          <w:szCs w:val="22"/>
        </w:rPr>
        <w:t xml:space="preserve">Debt payoff method coaching (snowball / avalanche)</w:t>
      </w:r>
    </w:p>
    <w:p>
      <w:pPr>
        <w:pStyle w:val="ListParagraph"/>
        <w:numPr>
          <w:ilvl w:val="0"/>
          <w:numId w:val="2"/>
        </w:numPr>
        <w:spacing w:before="40" w:after="40"/>
      </w:pPr>
      <w:r>
        <w:rPr>
          <w:rFonts w:ascii="Arial" w:cs="Arial" w:eastAsia="Arial" w:hAnsi="Arial"/>
          <w:color w:val="1A1A1A"/>
          <w:sz w:val="22"/>
          <w:szCs w:val="22"/>
        </w:rPr>
        <w:t xml:space="preserve">In-app purchase flow — payment handled externally (Gumroad, Paddle, etc.), key delivered by email</w:t>
      </w:r>
    </w:p>
    <w:p>
      <w:pPr>
        <w:pStyle w:val="ListParagraph"/>
        <w:numPr>
          <w:ilvl w:val="0"/>
          <w:numId w:val="2"/>
        </w:numPr>
        <w:spacing w:before="40" w:after="40"/>
      </w:pPr>
      <w:r>
        <w:rPr>
          <w:rFonts w:ascii="Arial" w:cs="Arial" w:eastAsia="Arial" w:hAnsi="Arial"/>
          <w:color w:val="1A1A1A"/>
          <w:sz w:val="22"/>
          <w:szCs w:val="22"/>
        </w:rPr>
        <w:t xml:space="preserve">Family or multi-member households beyond couples</w:t>
      </w:r>
    </w:p>
    <w:p>
      <w:pPr>
        <w:pStyle w:val="ListParagraph"/>
        <w:numPr>
          <w:ilvl w:val="0"/>
          <w:numId w:val="2"/>
        </w:numPr>
        <w:spacing w:before="40" w:after="40"/>
      </w:pPr>
      <w:r>
        <w:rPr>
          <w:rFonts w:ascii="Arial" w:cs="Arial" w:eastAsia="Arial" w:hAnsi="Arial"/>
          <w:color w:val="1A1A1A"/>
          <w:sz w:val="22"/>
          <w:szCs w:val="22"/>
        </w:rPr>
        <w:t xml:space="preserve">AI-powered categorization or spending insights</w:t>
      </w:r>
    </w:p>
    <w:p>
      <w:pPr>
        <w:pStyle w:val="ListParagraph"/>
        <w:numPr>
          <w:ilvl w:val="0"/>
          <w:numId w:val="2"/>
        </w:numPr>
        <w:spacing w:before="40" w:after="40"/>
      </w:pPr>
      <w:r>
        <w:rPr>
          <w:rFonts w:ascii="Arial" w:cs="Arial" w:eastAsia="Arial" w:hAnsi="Arial"/>
          <w:color w:val="1A1A1A"/>
          <w:sz w:val="22"/>
          <w:szCs w:val="22"/>
        </w:rPr>
        <w:t xml:space="preserve">Native desktop app (Electron) — browser PWA serves this purpose in v1</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Envelope Budget App — PRD v2.0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A0"/>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2026-03-30T10:46:20.753Z</dcterms:created>
  <dcterms:modified xsi:type="dcterms:W3CDTF">2026-03-30T10:46:20.753Z</dcterms:modified>
</cp:coreProperties>
</file>

<file path=docProps/custom.xml><?xml version="1.0" encoding="utf-8"?>
<Properties xmlns="http://schemas.openxmlformats.org/officeDocument/2006/custom-properties" xmlns:vt="http://schemas.openxmlformats.org/officeDocument/2006/docPropsVTypes"/>
</file>