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analyzes over 3,200 cleaned YouTube comments to measure how consumer sentiment shifted after Google discontinued three products: Google Stadia, Google Glass, and Google+. Using general sentiment analysis, TF-IDF keyword analysis, keyword co-occurrence networks, and aspect-based sentiment analysis (ABSA), we found three distinct post-discontinuation sentiment trajectories.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Glass experienced a rare positive sentiment reversal, evolving from a criticized product into a nostalgic "pioneer" with strong brand halo potential. Google+ remains persistently negative, with resentment concentrated on Google's corporate decision-making rather than the product itself. Google Stadia presents the highest reputational risk, where praise for excellent technology has been overpowered by a deep sense of betrayal over its shutdown.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recommend that any organization with frequent product turnover institutionalize pre- and post-mortem ABSA to quantify reputational injury at the feature level, enabling data-driven communication strategies that rebuild trust where it is most broken.</w:t>
      </w:r>
    </w:p>
    <w:p w:rsidR="00000000" w:rsidDel="00000000" w:rsidP="00000000" w:rsidRDefault="00000000" w:rsidRPr="00000000" w14:paraId="0000000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Overview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2328"/>
          <w:sz w:val="24"/>
          <w:szCs w:val="24"/>
          <w:rtl w:val="0"/>
        </w:rPr>
        <w:t xml:space="preserve">This report analyzes how public sentiment toward three discontinued Google products changed over time, using YouTube comment data scraped before and after each product's shutdown. The three products are Google Stadia, Google Glass, and Google+.</w:t>
      </w:r>
    </w:p>
    <w:p w:rsidR="00000000" w:rsidDel="00000000" w:rsidP="00000000" w:rsidRDefault="00000000" w:rsidRPr="00000000" w14:paraId="00000009">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A">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core research questions: </w:t>
      </w:r>
      <w:r w:rsidDel="00000000" w:rsidR="00000000" w:rsidRPr="00000000">
        <w:rPr>
          <w:rFonts w:ascii="Times New Roman" w:cs="Times New Roman" w:eastAsia="Times New Roman" w:hAnsi="Times New Roman"/>
          <w:i w:val="1"/>
          <w:iCs w:val="1"/>
          <w:color w:val="1f2328"/>
          <w:sz w:val="24"/>
          <w:szCs w:val="24"/>
          <w:rtl w:val="0"/>
        </w:rPr>
        <w:t xml:space="preserve">Did consumer sentiment shift significantly after Google announced the discontinuation of these products? </w:t>
      </w:r>
    </w:p>
    <w:p w:rsidR="00000000" w:rsidDel="00000000" w:rsidP="00000000" w:rsidRDefault="00000000" w:rsidRPr="00000000" w14:paraId="0000000B">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What factors were identified as the core drivers of discontinuation by sentiment analysis? </w:t>
      </w:r>
    </w:p>
    <w:p w:rsidR="00000000" w:rsidDel="00000000" w:rsidP="00000000" w:rsidRDefault="00000000" w:rsidRPr="00000000" w14:paraId="0000000C">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What recommendations do we have for other organizations developing &amp; selling similar products?</w:t>
      </w:r>
    </w:p>
    <w:p w:rsidR="00000000" w:rsidDel="00000000" w:rsidP="00000000" w:rsidRDefault="00000000" w:rsidRPr="00000000" w14:paraId="0000000D">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tl w:val="0"/>
        </w:rPr>
      </w:r>
    </w:p>
    <w:p w:rsidR="00000000" w:rsidDel="00000000" w:rsidP="00000000" w:rsidRDefault="00000000" w:rsidRPr="00000000" w14:paraId="0000000E">
      <w:pPr>
        <w:shd w:fill="ffffff" w:val="clear"/>
        <w:spacing w:after="240" w:lineRule="auto"/>
        <w:rPr>
          <w:rFonts w:ascii="Times New Roman" w:cs="Times New Roman" w:eastAsia="Times New Roman" w:hAnsi="Times New Roman"/>
          <w:b w:val="1"/>
          <w:bCs w:val="1"/>
          <w:color w:val="1f2328"/>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0F">
      <w:pPr>
        <w:shd w:fill="ffffff" w:val="clear"/>
        <w:spacing w:after="240" w:lineRule="auto"/>
        <w:rPr>
          <w:rFonts w:ascii="Times New Roman" w:cs="Times New Roman" w:eastAsia="Times New Roman" w:hAnsi="Times New Roman"/>
          <w:b w:val="1"/>
          <w:bCs w:val="1"/>
          <w:color w:val="1f2328"/>
          <w:sz w:val="24"/>
          <w:szCs w:val="24"/>
          <w:u w:val="single"/>
        </w:rPr>
      </w:pPr>
      <w:r w:rsidDel="00000000" w:rsidR="00000000" w:rsidRPr="00000000">
        <w:rPr>
          <w:rFonts w:ascii="Times New Roman" w:cs="Times New Roman" w:eastAsia="Times New Roman" w:hAnsi="Times New Roman"/>
          <w:b w:val="1"/>
          <w:bCs w:val="1"/>
          <w:color w:val="1f2328"/>
          <w:sz w:val="24"/>
          <w:szCs w:val="24"/>
          <w:u w:val="single"/>
          <w:rtl w:val="0"/>
        </w:rPr>
        <w:t xml:space="preserve">Product Descriptions: </w:t>
      </w:r>
    </w:p>
    <w:p w:rsidR="00000000" w:rsidDel="00000000" w:rsidP="00000000" w:rsidRDefault="00000000" w:rsidRPr="00000000" w14:paraId="00000010">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Google Stadia: Google Stadia was a cloud-based gaming platform released on November 19, 2019, and discontinued on January 18, 2023. It allowed users to play high-quality video games without a traditional console by streaming gameplay directly from Google’s servers to devices such as TVs, laptops, and smartphones. Key features included instant access to games without downloads, cross-device play, integration with YouTube for streaming and sharing, and a dedicated Wi-Fi-enabled controller. In non-technical terms, Stadia functioned like a “Netflix for gaming,” enabling users to play games over the internet rather than relying on physical hardware. Despite its innovative approach and strong technical performance, the platform faced challenges related to its game library, value proposition, and user adoption. </w:t>
      </w:r>
    </w:p>
    <w:p w:rsidR="00000000" w:rsidDel="00000000" w:rsidP="00000000" w:rsidRDefault="00000000" w:rsidRPr="00000000" w14:paraId="00000011">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2">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Google+</w:t>
      </w:r>
      <w:r w:rsidDel="00000000" w:rsidR="00000000" w:rsidRPr="00000000">
        <w:rPr>
          <w:rFonts w:ascii="Times New Roman" w:cs="Times New Roman" w:eastAsia="Times New Roman" w:hAnsi="Times New Roman"/>
          <w:color w:val="1f2328"/>
          <w:sz w:val="24"/>
          <w:szCs w:val="24"/>
          <w:rtl w:val="0"/>
        </w:rPr>
        <w:t xml:space="preserve"> was a social networking platform launched on June 28, 2011, and discontinued for consumers on April 2, 2019. It was designed to compete with other social media platforms by allowing users to connect, share content, and communicate within organized groups. Its core features included “Circles,” which enabled users to categorize contacts for more controlled sharing; “Streams,” which functioned as a content feed; “Communities” for group discussions; and “Hangouts” for video chatting and messaging. It was also deeply integrated with other Google services such as YouTube and Gmail. In simple terms, Google+ was Google’s attempt to create a more organized and customizable social media experience. However, it struggled to achieve sustained user engagement and ultimately failed to build the strong network effects necessary for long-term success. </w:t>
      </w:r>
    </w:p>
    <w:p w:rsidR="00000000" w:rsidDel="00000000" w:rsidP="00000000" w:rsidRDefault="00000000" w:rsidRPr="00000000" w14:paraId="00000013">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4">
      <w:pPr>
        <w:shd w:fill="ffffff" w:val="clear"/>
        <w:spacing w:after="240" w:before="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Google Glass</w:t>
      </w:r>
      <w:r w:rsidDel="00000000" w:rsidR="00000000" w:rsidRPr="00000000">
        <w:rPr>
          <w:rFonts w:ascii="Times New Roman" w:cs="Times New Roman" w:eastAsia="Times New Roman" w:hAnsi="Times New Roman"/>
          <w:color w:val="1f2328"/>
          <w:sz w:val="24"/>
          <w:szCs w:val="24"/>
          <w:rtl w:val="0"/>
        </w:rPr>
        <w:t xml:space="preserve"> was a wearable smart glasses device first released to developers and early adopters on April 15, 2013, with its consumer version discontinued on January 15, 2015 (though enterprise versions continued until March 2023). The device featured a small display positioned above the user’s line of sight, enabling augmented reality experiences by overlaying digital information onto the real world. It included a built-in camera for photos and videos, voice-command functionality for hands-free operation, and the ability to display notifications such as messages, navigation, and weather updates. In non-technical terms, Google Glass functioned like a smartphone built into a pair of glasses, allowing users to access information and capture content without using their hands. While widely recognized as an innovative and forward-looking product, it faced challenges related to privacy concerns, usability, and mainstream adoption.</w:t>
      </w:r>
    </w:p>
    <w:p w:rsidR="00000000" w:rsidDel="00000000" w:rsidP="00000000" w:rsidRDefault="00000000" w:rsidRPr="00000000" w14:paraId="00000015">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6">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7">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2328"/>
          <w:sz w:val="24"/>
          <w:szCs w:val="24"/>
          <w:highlight w:val="white"/>
          <w:rtl w:val="0"/>
        </w:rPr>
        <w:t xml:space="preserve">YouTube comments were scraped for each product across two time windows — before discontinuation and after. After cleaning (removing duplicates, stripping URLs, filtering comments under 4 words), we ended up with approximately 3,248 usable comments across all three products.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b w:val="1"/>
          <w:bCs w:val="1"/>
          <w:sz w:val="24"/>
          <w:szCs w:val="24"/>
          <w:rtl w:val="0"/>
        </w:rPr>
        <w:t xml:space="preserve">Google Glass:</w:t>
      </w:r>
      <w:r w:rsidDel="00000000" w:rsidR="00000000" w:rsidRPr="00000000">
        <w:rPr>
          <w:rFonts w:ascii="Times New Roman" w:cs="Times New Roman" w:eastAsia="Times New Roman" w:hAnsi="Times New Roman"/>
          <w:sz w:val="24"/>
          <w:szCs w:val="24"/>
          <w:rtl w:val="0"/>
        </w:rPr>
        <w:t xml:space="preserve"> Before discontinuation sentiment data was scraped from multiple videos that discussed the product. Two of the videos came from Google itself, on their Google Glass youtube account and their Google for Developers account. Each video has accumulated over 2 million views as of May 2026. The (April 2013 post date) Google Glass video titled </w:t>
      </w:r>
      <w:r w:rsidDel="00000000" w:rsidR="00000000" w:rsidRPr="00000000">
        <w:rPr>
          <w:rFonts w:ascii="Times New Roman" w:cs="Times New Roman" w:eastAsia="Times New Roman" w:hAnsi="Times New Roman"/>
          <w:color w:val="0f0f0f"/>
          <w:sz w:val="24"/>
          <w:szCs w:val="24"/>
          <w:rtl w:val="0"/>
        </w:rPr>
        <w:t xml:space="preserve">Google Glass How-to: Getting Started has over 3,600 comments, and the (June 2013 post date) Google for Developers video titled Project Glass: Live Demo At Google I/O has over 1,800 comments as of May 2026. For both videos, most comments are concentrated within 1 - 2  years of the upload date. This means the majority of the comment data scraped from the videos are prior to the discontinuation of the “Explorer’ edition of Google Glasses in January 2015, which was sold to individual consumers. Google would later sell an enterprise edition, starting in 2017, but this product line is not being analyzed in this report. The comments of three additional videos were used for sentiment analysis. These videos were made by popular content creators without official affiliations to Google. The table below shows overall engagement data for each video. </w:t>
      </w:r>
    </w:p>
    <w:p w:rsidR="00000000" w:rsidDel="00000000" w:rsidP="00000000" w:rsidRDefault="00000000" w:rsidRPr="00000000" w14:paraId="0000001C">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Pre-Discontinuation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Video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Post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Smosh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Sucks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April 19,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32.7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21,320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iJustine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June 28,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3.3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6,100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Marques Browlee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Explorer Edition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August 30,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6.35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14,800</w:t>
            </w:r>
          </w:p>
        </w:tc>
      </w:tr>
    </w:tbl>
    <w:p w:rsidR="00000000" w:rsidDel="00000000" w:rsidP="00000000" w:rsidRDefault="00000000" w:rsidRPr="00000000" w14:paraId="00000032">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The data scraping performed narrowed down the many thousands of comments to 684 pre-discontinuation data points. </w:t>
      </w:r>
    </w:p>
    <w:p w:rsidR="00000000" w:rsidDel="00000000" w:rsidP="00000000" w:rsidRDefault="00000000" w:rsidRPr="00000000" w14:paraId="00000034">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Post-Discontinuation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Post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Dank Pods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but its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July 4,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929,000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1,959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Heaven for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Glass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March 13,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17,110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Slidebean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What Happened to Google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March 5,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162,962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Surfshark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Glass was cool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October 27,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11,854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How It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Glass Failed… and Why It’s Coming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September 5,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43,000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75</w:t>
            </w:r>
          </w:p>
        </w:tc>
      </w:tr>
    </w:tbl>
    <w:p w:rsidR="00000000" w:rsidDel="00000000" w:rsidP="00000000" w:rsidRDefault="00000000" w:rsidRPr="00000000" w14:paraId="00000054">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0f0f0f"/>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discontinuation data for Google Glass is derived from the videos detailed in the table above. It is not surprising that 5 or more years after the discontinuation of the product, there is far less comment data to scrape. Overall, there were 2,325 individual comments to scrape, which were narrowed down into 285 usable individual post discontinuation data points. Data was cleaned by removing duplicates, stripping URLs, and removing comments under 4 words.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Stadia:</w:t>
      </w:r>
      <w:r w:rsidDel="00000000" w:rsidR="00000000" w:rsidRPr="00000000">
        <w:rPr>
          <w:rFonts w:ascii="Times New Roman" w:cs="Times New Roman" w:eastAsia="Times New Roman" w:hAnsi="Times New Roman"/>
          <w:sz w:val="24"/>
          <w:szCs w:val="24"/>
          <w:rtl w:val="0"/>
        </w:rPr>
        <w:t xml:space="preserve"> Same as Google Glass, pre and post discontinuation sentiment data was scraped from several videos discussing Google Stadia.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pre-discontinuation data came from the videos in the table below.</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gameranx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 Before You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Austin Evans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TRIED Google Stadia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22,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Unbox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Is Here. Is Xbox Doomed?</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Stadia GDC 2019 Gaming Announcement</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19,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TheRelaxingEnd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 "Console" Unboxing - The Future of Gaming? (Gameplay Review + Controller)</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21,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4.936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7,867</w:t>
            </w:r>
          </w:p>
        </w:tc>
      </w:tr>
    </w:tbl>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these 32,017 comments, using the same means of data cleaning as before, we narrowed down the data into 594 individual pre-discontinuation data points for Google Stadia. Most of the comment data used was concentrated within 1-2 years of video upload dates. This means that the data does reflect pre-discontinuation sentiment as it falls in the period after the release of Stadia in 2019, but prior to its discontinuation in 2022.</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Post-Discontinuation Data sources: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WatchMojo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60" w:before="1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10 Reasons Why Google Stadia Failed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11,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penguinz0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 Google Stadia</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14,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Scott’s Stash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at Google Stadia</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15,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Went Wrong With Google Stadia?</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KnowledgeHusk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Stadia Fail?</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w:t>
            </w:r>
          </w:p>
        </w:tc>
      </w:tr>
    </w:tbl>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Post-discontinuation data sources yielded far less comments (7,131 vs. 32,017), but still provided a quantity significant enough to be used for meaningful analysis. Staying consistent with the trend seen with Google Glass, there is far less engagement regarding a product post-discontinuation. That being said, when conducting data cleaning, the 7,131 comments were narrowed down to 609 post-discontinuation data points. This slightly exceeds the number of Stadia pre-discontinuation data points (594), indicating that a far higher portion of pre-discontinuation data was low quality.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Plus: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Pre-Discontinuation Data: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the new Google+: A stream with style and smarts</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13,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Blackery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My Thoughts on Google+</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8,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4,149,603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Marques Brownlee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Top 5 Reasons Google+ is Awesome!</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28,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First Look at Google's Facebook killer, Google+</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30, 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Google+: How to get started</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15,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64,885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boogie2988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PLEASE Fix Youtube and Google+</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11,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2,190,618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20,606</w:t>
            </w:r>
          </w:p>
        </w:tc>
      </w:tr>
    </w:tbl>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total, there were 46,868 comments that were scraped and then narrowed down to 669 usable data points. Most of the comment data used was concentrated within 1 - 5 years past video upload dates, meaning that the majority of comments were submitted prior to the discontinuation of Google+ in 2019.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Post-discontinuation Data: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is getting the ax early (Alphabet City)</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11,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What Happened to Google+? The Story Behind Google's Biggest Ever Failure</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28,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Zuckerberg on Why Google Plus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7,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Surfshark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was terrible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31,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SootHouse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is Shutting Down Google+</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9,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FlareTV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f0f0f"/>
                <w:sz w:val="24"/>
                <w:szCs w:val="24"/>
              </w:rPr>
            </w:pPr>
            <w:r w:rsidDel="00000000" w:rsidR="00000000" w:rsidRPr="00000000">
              <w:rPr>
                <w:rFonts w:ascii="Times New Roman" w:cs="Times New Roman" w:eastAsia="Times New Roman" w:hAnsi="Times New Roman"/>
                <w:color w:val="0f0f0f"/>
                <w:sz w:val="24"/>
                <w:szCs w:val="24"/>
                <w:rtl w:val="0"/>
              </w:rPr>
              <w:t xml:space="preserve">Why Google+ Failed</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27,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1,616</w:t>
            </w:r>
          </w:p>
        </w:tc>
      </w:tr>
    </w:tbl>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 trend of decreased engagement post-discontinuation, 7,325 total comments were scraped. After cleaning the data, there were 407 usable data points for Google+ post-discontinuation.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 </w:t>
      </w:r>
      <w:r w:rsidDel="00000000" w:rsidR="00000000" w:rsidRPr="00000000">
        <w:rPr>
          <w:rFonts w:ascii="Times New Roman" w:cs="Times New Roman" w:eastAsia="Times New Roman" w:hAnsi="Times New Roman"/>
          <w:sz w:val="24"/>
          <w:szCs w:val="24"/>
          <w:rtl w:val="0"/>
        </w:rPr>
        <w:t xml:space="preserve">Instead of using the outdated VADER for sentiment analysis, TextBlob with polarity scoring was used. This returned values between -1 and 1. Sentiment was classified as either Positive, Neutral, or Negative. The table below shows the threshold values used for classification.</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&gt;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-0.05 - 0.05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Polarity &lt; -0.05</w:t>
            </w:r>
          </w:p>
        </w:tc>
      </w:tr>
    </w:tbl>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sentiment analysis shows that sentiment became significantly more negative after discontinuation. This reflects a pattern in how consumers react to product discontinuation, which is certainly something a company that experiences consistent product turnover like Google should pay close attention to.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Sentiment Analysis Steps: </w:t>
      </w:r>
    </w:p>
    <w:p w:rsidR="00000000" w:rsidDel="00000000" w:rsidP="00000000" w:rsidRDefault="00000000" w:rsidRPr="00000000" w14:paraId="000001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Collection &amp; Pre-processing: As described above in the data section, we sought to find usable data with the approximate 137,886 Youtube comments from 32 videos. The data was then cleaned and filtered down into 3,248 usable data points, which is a far more adequate dataset to conduct meaningful analysis than 166 total data points used in the previous insufficient Sony case analysis. </w:t>
      </w:r>
    </w:p>
    <w:p w:rsidR="00000000" w:rsidDel="00000000" w:rsidP="00000000" w:rsidRDefault="00000000" w:rsidRPr="00000000" w14:paraId="000001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 Scoring: Using TextBlob with polarity scoring, sentiment was classified as Positive, Neutral, or Negative, using the scoring thresholds in the table above.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 </w:t>
      </w:r>
      <w:r w:rsidDel="00000000" w:rsidR="00000000" w:rsidRPr="00000000">
        <w:rPr>
          <w:rFonts w:ascii="Times New Roman" w:cs="Times New Roman" w:eastAsia="Times New Roman" w:hAnsi="Times New Roman"/>
          <w:sz w:val="24"/>
          <w:szCs w:val="24"/>
          <w:rtl w:val="0"/>
        </w:rPr>
        <w:t xml:space="preserve">Once all 3,248 comments were scored, the analysis moved to uncovering overall trends in sentiment. </w:t>
      </w:r>
    </w:p>
    <w:p w:rsidR="00000000" w:rsidDel="00000000" w:rsidP="00000000" w:rsidRDefault="00000000" w:rsidRPr="00000000" w14:paraId="0000012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Comments were grouped into two separate time periods: Before Discontinuation &amp; After Discontinuation</w:t>
      </w:r>
    </w:p>
    <w:p w:rsidR="00000000" w:rsidDel="00000000" w:rsidP="00000000" w:rsidRDefault="00000000" w:rsidRPr="00000000" w14:paraId="00000129">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sentiment per period</w:t>
      </w:r>
    </w:p>
    <w:p w:rsidR="00000000" w:rsidDel="00000000" w:rsidP="00000000" w:rsidRDefault="00000000" w:rsidRPr="00000000" w14:paraId="0000012A">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Percentage of positive comments vs. percentage of negative comments</w:t>
      </w:r>
    </w:p>
    <w:p w:rsidR="00000000" w:rsidDel="00000000" w:rsidP="00000000" w:rsidRDefault="00000000" w:rsidRPr="00000000" w14:paraId="0000012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 scores were aggregated for each product to compare pre-discontinuation and post-discontinuation scores. </w:t>
      </w:r>
    </w:p>
    <w:p w:rsidR="00000000" w:rsidDel="00000000" w:rsidP="00000000" w:rsidRDefault="00000000" w:rsidRPr="00000000" w14:paraId="0000012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sentiment scores before and after discontinuation were then visualized on a bar graph to allow for instant sentiment comparison.</w:t>
      </w:r>
    </w:p>
    <w:p w:rsidR="00000000" w:rsidDel="00000000" w:rsidP="00000000" w:rsidRDefault="00000000" w:rsidRPr="00000000" w14:paraId="000001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Welch’s Independent t-Test Results</w:t>
      </w: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Welch’s independent samples t-test was conducted to determine whether the difference in mean polarity scores before and after discontinuation was statistically significant for each product (significance threshold: p &lt; 0.05):</w:t>
      </w:r>
    </w:p>
    <w:p w:rsidR="00000000" w:rsidDel="00000000" w:rsidP="00000000" w:rsidRDefault="00000000" w:rsidRPr="00000000" w14:paraId="0000013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8"/>
        <w:tblW w:w="860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700"/>
        <w:gridCol w:w="1200"/>
        <w:gridCol w:w="1200"/>
        <w:gridCol w:w="1300"/>
        <w:gridCol w:w="1100"/>
        <w:gridCol w:w="1200"/>
        <w:gridCol w:w="900"/>
        <w:tblGridChange w:id="0">
          <w:tblGrid>
            <w:gridCol w:w="1700"/>
            <w:gridCol w:w="1200"/>
            <w:gridCol w:w="1200"/>
            <w:gridCol w:w="1300"/>
            <w:gridCol w:w="1100"/>
            <w:gridCol w:w="1200"/>
            <w:gridCol w:w="900"/>
          </w:tblGrid>
        </w:tblGridChange>
      </w:tblGrid>
      <w:tr>
        <w:trPr>
          <w:cantSplit w:val="0"/>
          <w:tblHeader w:val="0"/>
        </w:trPr>
        <w:tc>
          <w:tcPr>
            <w:shd w:fill="d0e4f0" w:val="clear"/>
            <w:tcMar>
              <w:top w:w="80.0" w:type="dxa"/>
              <w:bottom w:w="80.0" w:type="dxa"/>
            </w:tcMar>
          </w:tcPr>
          <w:p w:rsidR="00000000" w:rsidDel="00000000" w:rsidP="00000000" w:rsidRDefault="00000000" w:rsidRPr="00000000" w14:paraId="00000131">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32">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Before Mean</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33">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After Mean</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34">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t-Statistic</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35">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p-Value</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36">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Significant</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37">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Direction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38">
            <w:pPr>
              <w:spacing w:line="276" w:lineRule="auto"/>
              <w:rPr/>
            </w:pPr>
            <w:r w:rsidDel="00000000" w:rsidR="00000000" w:rsidRPr="00000000">
              <w:rPr>
                <w:rFonts w:ascii="Times New Roman" w:cs="Times New Roman" w:eastAsia="Times New Roman" w:hAnsi="Times New Roman"/>
                <w:sz w:val="24"/>
                <w:szCs w:val="24"/>
                <w:rtl w:val="0"/>
              </w:rPr>
              <w:t xml:space="preserve">Google Stadia</w:t>
            </w:r>
            <w:r w:rsidDel="00000000" w:rsidR="00000000" w:rsidRPr="00000000">
              <w:rPr>
                <w:rtl w:val="0"/>
              </w:rPr>
            </w:r>
          </w:p>
        </w:tc>
        <w:tc>
          <w:tcPr>
            <w:tcMar>
              <w:top w:w="80.0" w:type="dxa"/>
              <w:bottom w:w="80.0" w:type="dxa"/>
            </w:tcMar>
          </w:tcPr>
          <w:p w:rsidR="00000000" w:rsidDel="00000000" w:rsidP="00000000" w:rsidRDefault="00000000" w:rsidRPr="00000000" w14:paraId="00000139">
            <w:pPr>
              <w:spacing w:line="276" w:lineRule="auto"/>
              <w:rPr/>
            </w:pPr>
            <w:r w:rsidDel="00000000" w:rsidR="00000000" w:rsidRPr="00000000">
              <w:rPr>
                <w:rFonts w:ascii="Times New Roman" w:cs="Times New Roman" w:eastAsia="Times New Roman" w:hAnsi="Times New Roman"/>
                <w:sz w:val="24"/>
                <w:szCs w:val="24"/>
                <w:rtl w:val="0"/>
              </w:rPr>
              <w:t xml:space="preserve">0.1007</w:t>
            </w:r>
            <w:r w:rsidDel="00000000" w:rsidR="00000000" w:rsidRPr="00000000">
              <w:rPr>
                <w:rtl w:val="0"/>
              </w:rPr>
            </w:r>
          </w:p>
        </w:tc>
        <w:tc>
          <w:tcPr>
            <w:tcMar>
              <w:top w:w="80.0" w:type="dxa"/>
              <w:bottom w:w="80.0" w:type="dxa"/>
            </w:tcMar>
          </w:tcPr>
          <w:p w:rsidR="00000000" w:rsidDel="00000000" w:rsidP="00000000" w:rsidRDefault="00000000" w:rsidRPr="00000000" w14:paraId="0000013A">
            <w:pPr>
              <w:spacing w:line="276" w:lineRule="auto"/>
              <w:rPr/>
            </w:pPr>
            <w:r w:rsidDel="00000000" w:rsidR="00000000" w:rsidRPr="00000000">
              <w:rPr>
                <w:rFonts w:ascii="Times New Roman" w:cs="Times New Roman" w:eastAsia="Times New Roman" w:hAnsi="Times New Roman"/>
                <w:sz w:val="24"/>
                <w:szCs w:val="24"/>
                <w:rtl w:val="0"/>
              </w:rPr>
              <w:t xml:space="preserve">0.0867</w:t>
            </w:r>
            <w:r w:rsidDel="00000000" w:rsidR="00000000" w:rsidRPr="00000000">
              <w:rPr>
                <w:rtl w:val="0"/>
              </w:rPr>
            </w:r>
          </w:p>
        </w:tc>
        <w:tc>
          <w:tcPr>
            <w:tcMar>
              <w:top w:w="80.0" w:type="dxa"/>
              <w:bottom w:w="80.0" w:type="dxa"/>
            </w:tcMar>
          </w:tcPr>
          <w:p w:rsidR="00000000" w:rsidDel="00000000" w:rsidP="00000000" w:rsidRDefault="00000000" w:rsidRPr="00000000" w14:paraId="0000013B">
            <w:pPr>
              <w:spacing w:line="276" w:lineRule="auto"/>
              <w:rPr/>
            </w:pPr>
            <w:r w:rsidDel="00000000" w:rsidR="00000000" w:rsidRPr="00000000">
              <w:rPr>
                <w:rFonts w:ascii="Times New Roman" w:cs="Times New Roman" w:eastAsia="Times New Roman" w:hAnsi="Times New Roman"/>
                <w:sz w:val="24"/>
                <w:szCs w:val="24"/>
                <w:rtl w:val="0"/>
              </w:rPr>
              <w:t xml:space="preserve">0.823</w:t>
            </w:r>
            <w:r w:rsidDel="00000000" w:rsidR="00000000" w:rsidRPr="00000000">
              <w:rPr>
                <w:rtl w:val="0"/>
              </w:rPr>
            </w:r>
          </w:p>
        </w:tc>
        <w:tc>
          <w:tcPr>
            <w:tcMar>
              <w:top w:w="80.0" w:type="dxa"/>
              <w:bottom w:w="80.0" w:type="dxa"/>
            </w:tcMar>
          </w:tcPr>
          <w:p w:rsidR="00000000" w:rsidDel="00000000" w:rsidP="00000000" w:rsidRDefault="00000000" w:rsidRPr="00000000" w14:paraId="0000013C">
            <w:pPr>
              <w:spacing w:line="276" w:lineRule="auto"/>
              <w:rPr/>
            </w:pPr>
            <w:r w:rsidDel="00000000" w:rsidR="00000000" w:rsidRPr="00000000">
              <w:rPr>
                <w:rFonts w:ascii="Times New Roman" w:cs="Times New Roman" w:eastAsia="Times New Roman" w:hAnsi="Times New Roman"/>
                <w:sz w:val="24"/>
                <w:szCs w:val="24"/>
                <w:rtl w:val="0"/>
              </w:rPr>
              <w:t xml:space="preserve">0.4105</w:t>
            </w:r>
            <w:r w:rsidDel="00000000" w:rsidR="00000000" w:rsidRPr="00000000">
              <w:rPr>
                <w:rtl w:val="0"/>
              </w:rPr>
            </w:r>
          </w:p>
        </w:tc>
        <w:tc>
          <w:tcPr>
            <w:tcMar>
              <w:top w:w="80.0" w:type="dxa"/>
              <w:bottom w:w="80.0" w:type="dxa"/>
            </w:tcMar>
          </w:tcPr>
          <w:p w:rsidR="00000000" w:rsidDel="00000000" w:rsidP="00000000" w:rsidRDefault="00000000" w:rsidRPr="00000000" w14:paraId="0000013D">
            <w:pPr>
              <w:spacing w:line="276" w:lineRule="auto"/>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Mar>
              <w:top w:w="80.0" w:type="dxa"/>
              <w:bottom w:w="80.0" w:type="dxa"/>
            </w:tcMar>
          </w:tcPr>
          <w:p w:rsidR="00000000" w:rsidDel="00000000" w:rsidP="00000000" w:rsidRDefault="00000000" w:rsidRPr="00000000" w14:paraId="0000013E">
            <w:pPr>
              <w:spacing w:line="276" w:lineRule="auto"/>
              <w:rPr/>
            </w:pPr>
            <w:r w:rsidDel="00000000" w:rsidR="00000000" w:rsidRPr="00000000">
              <w:rPr>
                <w:rFonts w:ascii="Times New Roman" w:cs="Times New Roman" w:eastAsia="Times New Roman" w:hAnsi="Times New Roman"/>
                <w:sz w:val="24"/>
                <w:szCs w:val="24"/>
                <w:rtl w:val="0"/>
              </w:rPr>
              <w:t xml:space="preserve">Down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3F">
            <w:pPr>
              <w:spacing w:line="276" w:lineRule="auto"/>
              <w:rPr/>
            </w:pPr>
            <w:r w:rsidDel="00000000" w:rsidR="00000000" w:rsidRPr="00000000">
              <w:rPr>
                <w:rFonts w:ascii="Times New Roman" w:cs="Times New Roman" w:eastAsia="Times New Roman" w:hAnsi="Times New Roman"/>
                <w:sz w:val="24"/>
                <w:szCs w:val="24"/>
                <w:rtl w:val="0"/>
              </w:rPr>
              <w:t xml:space="preserve">Google Glass</w:t>
            </w:r>
            <w:r w:rsidDel="00000000" w:rsidR="00000000" w:rsidRPr="00000000">
              <w:rPr>
                <w:rtl w:val="0"/>
              </w:rPr>
            </w:r>
          </w:p>
        </w:tc>
        <w:tc>
          <w:tcPr>
            <w:tcMar>
              <w:top w:w="80.0" w:type="dxa"/>
              <w:bottom w:w="80.0" w:type="dxa"/>
            </w:tcMar>
          </w:tcPr>
          <w:p w:rsidR="00000000" w:rsidDel="00000000" w:rsidP="00000000" w:rsidRDefault="00000000" w:rsidRPr="00000000" w14:paraId="00000140">
            <w:pPr>
              <w:spacing w:line="276" w:lineRule="auto"/>
              <w:rPr/>
            </w:pPr>
            <w:r w:rsidDel="00000000" w:rsidR="00000000" w:rsidRPr="00000000">
              <w:rPr>
                <w:rFonts w:ascii="Times New Roman" w:cs="Times New Roman" w:eastAsia="Times New Roman" w:hAnsi="Times New Roman"/>
                <w:sz w:val="24"/>
                <w:szCs w:val="24"/>
                <w:rtl w:val="0"/>
              </w:rPr>
              <w:t xml:space="preserve">0.1431</w:t>
            </w:r>
            <w:r w:rsidDel="00000000" w:rsidR="00000000" w:rsidRPr="00000000">
              <w:rPr>
                <w:rtl w:val="0"/>
              </w:rPr>
            </w:r>
          </w:p>
        </w:tc>
        <w:tc>
          <w:tcPr>
            <w:tcMar>
              <w:top w:w="80.0" w:type="dxa"/>
              <w:bottom w:w="80.0" w:type="dxa"/>
            </w:tcMar>
          </w:tcPr>
          <w:p w:rsidR="00000000" w:rsidDel="00000000" w:rsidP="00000000" w:rsidRDefault="00000000" w:rsidRPr="00000000" w14:paraId="00000141">
            <w:pPr>
              <w:spacing w:line="276" w:lineRule="auto"/>
              <w:rPr/>
            </w:pPr>
            <w:r w:rsidDel="00000000" w:rsidR="00000000" w:rsidRPr="00000000">
              <w:rPr>
                <w:rFonts w:ascii="Times New Roman" w:cs="Times New Roman" w:eastAsia="Times New Roman" w:hAnsi="Times New Roman"/>
                <w:sz w:val="24"/>
                <w:szCs w:val="24"/>
                <w:rtl w:val="0"/>
              </w:rPr>
              <w:t xml:space="preserve">0.0905</w:t>
            </w:r>
            <w:r w:rsidDel="00000000" w:rsidR="00000000" w:rsidRPr="00000000">
              <w:rPr>
                <w:rtl w:val="0"/>
              </w:rPr>
            </w:r>
          </w:p>
        </w:tc>
        <w:tc>
          <w:tcPr>
            <w:tcMar>
              <w:top w:w="80.0" w:type="dxa"/>
              <w:bottom w:w="80.0" w:type="dxa"/>
            </w:tcMar>
          </w:tcPr>
          <w:p w:rsidR="00000000" w:rsidDel="00000000" w:rsidP="00000000" w:rsidRDefault="00000000" w:rsidRPr="00000000" w14:paraId="00000142">
            <w:pPr>
              <w:spacing w:line="276" w:lineRule="auto"/>
              <w:rPr/>
            </w:pPr>
            <w:r w:rsidDel="00000000" w:rsidR="00000000" w:rsidRPr="00000000">
              <w:rPr>
                <w:rFonts w:ascii="Times New Roman" w:cs="Times New Roman" w:eastAsia="Times New Roman" w:hAnsi="Times New Roman"/>
                <w:sz w:val="24"/>
                <w:szCs w:val="24"/>
                <w:rtl w:val="0"/>
              </w:rPr>
              <w:t xml:space="preserve">2.882</w:t>
            </w:r>
            <w:r w:rsidDel="00000000" w:rsidR="00000000" w:rsidRPr="00000000">
              <w:rPr>
                <w:rtl w:val="0"/>
              </w:rPr>
            </w:r>
          </w:p>
        </w:tc>
        <w:tc>
          <w:tcPr>
            <w:tcMar>
              <w:top w:w="80.0" w:type="dxa"/>
              <w:bottom w:w="80.0" w:type="dxa"/>
            </w:tcMar>
          </w:tcPr>
          <w:p w:rsidR="00000000" w:rsidDel="00000000" w:rsidP="00000000" w:rsidRDefault="00000000" w:rsidRPr="00000000" w14:paraId="00000143">
            <w:pPr>
              <w:spacing w:line="276" w:lineRule="auto"/>
              <w:rPr/>
            </w:pPr>
            <w:r w:rsidDel="00000000" w:rsidR="00000000" w:rsidRPr="00000000">
              <w:rPr>
                <w:rFonts w:ascii="Times New Roman" w:cs="Times New Roman" w:eastAsia="Times New Roman" w:hAnsi="Times New Roman"/>
                <w:sz w:val="24"/>
                <w:szCs w:val="24"/>
                <w:rtl w:val="0"/>
              </w:rPr>
              <w:t xml:space="preserve">0.0041</w:t>
            </w:r>
            <w:r w:rsidDel="00000000" w:rsidR="00000000" w:rsidRPr="00000000">
              <w:rPr>
                <w:rtl w:val="0"/>
              </w:rPr>
            </w:r>
          </w:p>
        </w:tc>
        <w:tc>
          <w:tcPr>
            <w:tcMar>
              <w:top w:w="80.0" w:type="dxa"/>
              <w:bottom w:w="80.0" w:type="dxa"/>
            </w:tcMar>
          </w:tcPr>
          <w:p w:rsidR="00000000" w:rsidDel="00000000" w:rsidP="00000000" w:rsidRDefault="00000000" w:rsidRPr="00000000" w14:paraId="00000144">
            <w:pPr>
              <w:spacing w:line="276" w:lineRule="auto"/>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Mar>
              <w:top w:w="80.0" w:type="dxa"/>
              <w:bottom w:w="80.0" w:type="dxa"/>
            </w:tcMar>
          </w:tcPr>
          <w:p w:rsidR="00000000" w:rsidDel="00000000" w:rsidP="00000000" w:rsidRDefault="00000000" w:rsidRPr="00000000" w14:paraId="00000145">
            <w:pPr>
              <w:spacing w:line="276" w:lineRule="auto"/>
              <w:rPr/>
            </w:pPr>
            <w:r w:rsidDel="00000000" w:rsidR="00000000" w:rsidRPr="00000000">
              <w:rPr>
                <w:rFonts w:ascii="Times New Roman" w:cs="Times New Roman" w:eastAsia="Times New Roman" w:hAnsi="Times New Roman"/>
                <w:sz w:val="24"/>
                <w:szCs w:val="24"/>
                <w:rtl w:val="0"/>
              </w:rPr>
              <w:t xml:space="preserve">Down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46">
            <w:pPr>
              <w:spacing w:line="276" w:lineRule="auto"/>
              <w:rPr/>
            </w:pP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tl w:val="0"/>
              </w:rPr>
            </w:r>
          </w:p>
        </w:tc>
        <w:tc>
          <w:tcPr>
            <w:tcMar>
              <w:top w:w="80.0" w:type="dxa"/>
              <w:bottom w:w="80.0" w:type="dxa"/>
            </w:tcMar>
          </w:tcPr>
          <w:p w:rsidR="00000000" w:rsidDel="00000000" w:rsidP="00000000" w:rsidRDefault="00000000" w:rsidRPr="00000000" w14:paraId="00000147">
            <w:pPr>
              <w:spacing w:line="276" w:lineRule="auto"/>
              <w:rPr/>
            </w:pPr>
            <w:r w:rsidDel="00000000" w:rsidR="00000000" w:rsidRPr="00000000">
              <w:rPr>
                <w:rFonts w:ascii="Times New Roman" w:cs="Times New Roman" w:eastAsia="Times New Roman" w:hAnsi="Times New Roman"/>
                <w:sz w:val="24"/>
                <w:szCs w:val="24"/>
                <w:rtl w:val="0"/>
              </w:rPr>
              <w:t xml:space="preserve">0.1290</w:t>
            </w:r>
            <w:r w:rsidDel="00000000" w:rsidR="00000000" w:rsidRPr="00000000">
              <w:rPr>
                <w:rtl w:val="0"/>
              </w:rPr>
            </w:r>
          </w:p>
        </w:tc>
        <w:tc>
          <w:tcPr>
            <w:tcMar>
              <w:top w:w="80.0" w:type="dxa"/>
              <w:bottom w:w="80.0" w:type="dxa"/>
            </w:tcMar>
          </w:tcPr>
          <w:p w:rsidR="00000000" w:rsidDel="00000000" w:rsidP="00000000" w:rsidRDefault="00000000" w:rsidRPr="00000000" w14:paraId="00000148">
            <w:pPr>
              <w:spacing w:line="276" w:lineRule="auto"/>
              <w:rPr/>
            </w:pPr>
            <w:r w:rsidDel="00000000" w:rsidR="00000000" w:rsidRPr="00000000">
              <w:rPr>
                <w:rFonts w:ascii="Times New Roman" w:cs="Times New Roman" w:eastAsia="Times New Roman" w:hAnsi="Times New Roman"/>
                <w:sz w:val="24"/>
                <w:szCs w:val="24"/>
                <w:rtl w:val="0"/>
              </w:rPr>
              <w:t xml:space="preserve">0.0705</w:t>
            </w:r>
            <w:r w:rsidDel="00000000" w:rsidR="00000000" w:rsidRPr="00000000">
              <w:rPr>
                <w:rtl w:val="0"/>
              </w:rPr>
            </w:r>
          </w:p>
        </w:tc>
        <w:tc>
          <w:tcPr>
            <w:tcMar>
              <w:top w:w="80.0" w:type="dxa"/>
              <w:bottom w:w="80.0" w:type="dxa"/>
            </w:tcMar>
          </w:tcPr>
          <w:p w:rsidR="00000000" w:rsidDel="00000000" w:rsidP="00000000" w:rsidRDefault="00000000" w:rsidRPr="00000000" w14:paraId="00000149">
            <w:pPr>
              <w:spacing w:line="276" w:lineRule="auto"/>
              <w:rPr/>
            </w:pPr>
            <w:r w:rsidDel="00000000" w:rsidR="00000000" w:rsidRPr="00000000">
              <w:rPr>
                <w:rFonts w:ascii="Times New Roman" w:cs="Times New Roman" w:eastAsia="Times New Roman" w:hAnsi="Times New Roman"/>
                <w:sz w:val="24"/>
                <w:szCs w:val="24"/>
                <w:rtl w:val="0"/>
              </w:rPr>
              <w:t xml:space="preserve">3.151</w:t>
            </w:r>
            <w:r w:rsidDel="00000000" w:rsidR="00000000" w:rsidRPr="00000000">
              <w:rPr>
                <w:rtl w:val="0"/>
              </w:rPr>
            </w:r>
          </w:p>
        </w:tc>
        <w:tc>
          <w:tcPr>
            <w:tcMar>
              <w:top w:w="80.0" w:type="dxa"/>
              <w:bottom w:w="80.0" w:type="dxa"/>
            </w:tcMar>
          </w:tcPr>
          <w:p w:rsidR="00000000" w:rsidDel="00000000" w:rsidP="00000000" w:rsidRDefault="00000000" w:rsidRPr="00000000" w14:paraId="0000014A">
            <w:pPr>
              <w:spacing w:line="276" w:lineRule="auto"/>
              <w:rPr/>
            </w:pPr>
            <w:r w:rsidDel="00000000" w:rsidR="00000000" w:rsidRPr="00000000">
              <w:rPr>
                <w:rFonts w:ascii="Times New Roman" w:cs="Times New Roman" w:eastAsia="Times New Roman" w:hAnsi="Times New Roman"/>
                <w:sz w:val="24"/>
                <w:szCs w:val="24"/>
                <w:rtl w:val="0"/>
              </w:rPr>
              <w:t xml:space="preserve">0.0017</w:t>
            </w:r>
            <w:r w:rsidDel="00000000" w:rsidR="00000000" w:rsidRPr="00000000">
              <w:rPr>
                <w:rtl w:val="0"/>
              </w:rPr>
            </w:r>
          </w:p>
        </w:tc>
        <w:tc>
          <w:tcPr>
            <w:tcMar>
              <w:top w:w="80.0" w:type="dxa"/>
              <w:bottom w:w="80.0" w:type="dxa"/>
            </w:tcMar>
          </w:tcPr>
          <w:p w:rsidR="00000000" w:rsidDel="00000000" w:rsidP="00000000" w:rsidRDefault="00000000" w:rsidRPr="00000000" w14:paraId="0000014B">
            <w:pPr>
              <w:spacing w:line="276" w:lineRule="auto"/>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Mar>
              <w:top w:w="80.0" w:type="dxa"/>
              <w:bottom w:w="80.0" w:type="dxa"/>
            </w:tcMar>
          </w:tcPr>
          <w:p w:rsidR="00000000" w:rsidDel="00000000" w:rsidP="00000000" w:rsidRDefault="00000000" w:rsidRPr="00000000" w14:paraId="0000014C">
            <w:pPr>
              <w:spacing w:line="276" w:lineRule="auto"/>
              <w:rPr/>
            </w:pPr>
            <w:r w:rsidDel="00000000" w:rsidR="00000000" w:rsidRPr="00000000">
              <w:rPr>
                <w:rFonts w:ascii="Times New Roman" w:cs="Times New Roman" w:eastAsia="Times New Roman" w:hAnsi="Times New Roman"/>
                <w:sz w:val="24"/>
                <w:szCs w:val="24"/>
                <w:rtl w:val="0"/>
              </w:rPr>
              <w:t xml:space="preserve">Down</w:t>
            </w:r>
            <w:r w:rsidDel="00000000" w:rsidR="00000000" w:rsidRPr="00000000">
              <w:rPr>
                <w:rtl w:val="0"/>
              </w:rPr>
            </w:r>
          </w:p>
        </w:tc>
      </w:tr>
    </w:tbl>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Glass and Google+ both show statistically significant declines in sentiment after discontinuation (p &lt; 0.05). Google Stadia’s decline was not statistically significant, suggesting its post-discontinuation sentiment shift may reflect general discourse rather than a measurable emotional response to the shutdown.</w:t>
      </w:r>
    </w:p>
    <w:p w:rsidR="00000000" w:rsidDel="00000000" w:rsidP="00000000" w:rsidRDefault="00000000" w:rsidRPr="00000000" w14:paraId="000001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 Analysis: </w:t>
      </w:r>
      <w:r w:rsidDel="00000000" w:rsidR="00000000" w:rsidRPr="00000000">
        <w:rPr>
          <w:rFonts w:ascii="Times New Roman" w:cs="Times New Roman" w:eastAsia="Times New Roman" w:hAnsi="Times New Roman"/>
          <w:sz w:val="24"/>
          <w:szCs w:val="24"/>
          <w:rtl w:val="0"/>
        </w:rPr>
        <w:t xml:space="preserve">The core of the keyword analysis uses TF-IDF (Term Frequency–Inverse Document Frequency) implemented via scikit-learn. Unigrams (single words) and Bigrams (two word phrases) were used, as well as custom stop words which eliminate noisy data by removing frequently used generic words like “the”, and , “and.” TF-IDF places higher significance on words that are frequently used within a specific time-based group (i.e. post-discontinuation), but not common in the other time-based group. TF-IDF allows for comparison of language regarding each product before and after discontinuation. The script computed the TF-IDF scores by separating them by product (Google+, Google Stadia, Google Glass) and time-period (post-discontinuation, pre-discontinuation). TF-IDF gives each word/phrase a score based term frequency (how often it appears in the product/time-period group) and inverse document frequency (how unique that word is compared with the rest of the comment groups). </w:t>
      </w:r>
    </w:p>
    <w:p w:rsidR="00000000" w:rsidDel="00000000" w:rsidP="00000000" w:rsidRDefault="00000000" w:rsidRPr="00000000" w14:paraId="000001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TF-IDF Formula: TF-IDF(t,d)=TF(t,d)×IDF(t) </w:t>
      </w:r>
    </w:p>
    <w:p w:rsidR="00000000" w:rsidDel="00000000" w:rsidP="00000000" w:rsidRDefault="00000000" w:rsidRPr="00000000" w14:paraId="000001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 term (word/phrase)</w:t>
      </w:r>
    </w:p>
    <w:p w:rsidR="00000000" w:rsidDel="00000000" w:rsidP="00000000" w:rsidRDefault="00000000" w:rsidRPr="00000000" w14:paraId="000001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 document (comment group)</w:t>
      </w:r>
    </w:p>
    <w:p w:rsidR="00000000" w:rsidDel="00000000" w:rsidP="00000000" w:rsidRDefault="00000000" w:rsidRPr="00000000" w14:paraId="000001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Frequency Formula (TF): </w:t>
      </w:r>
    </w:p>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5905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910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word appears frequently in a specific comment group, that means it has a high TF.</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Document Frequency (IDF):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3625" cy="4667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336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comment groups (all time/period comment groups)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 = number of documents containing term t</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 Top Keywords by Product</w:t>
      </w: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shows the top 10 TF-IDF keywords for each product across both time periods, reflecting the most distinctive language used by consumers before and after discontinuation:</w:t>
      </w:r>
    </w:p>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9"/>
        <w:tblW w:w="880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600"/>
        <w:gridCol w:w="1200"/>
        <w:gridCol w:w="6000"/>
        <w:tblGridChange w:id="0">
          <w:tblGrid>
            <w:gridCol w:w="1600"/>
            <w:gridCol w:w="1200"/>
            <w:gridCol w:w="6000"/>
          </w:tblGrid>
        </w:tblGridChange>
      </w:tblGrid>
      <w:tr>
        <w:trPr>
          <w:cantSplit w:val="0"/>
          <w:tblHeader w:val="0"/>
        </w:trPr>
        <w:tc>
          <w:tcPr>
            <w:shd w:fill="d0e4f0" w:val="clear"/>
            <w:tcMar>
              <w:top w:w="80.0" w:type="dxa"/>
              <w:bottom w:w="80.0" w:type="dxa"/>
            </w:tcMar>
          </w:tcPr>
          <w:p w:rsidR="00000000" w:rsidDel="00000000" w:rsidP="00000000" w:rsidRDefault="00000000" w:rsidRPr="00000000" w14:paraId="00000166">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67">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Period</w:t>
            </w:r>
            <w:r w:rsidDel="00000000" w:rsidR="00000000" w:rsidRPr="00000000">
              <w:rPr>
                <w:rtl w:val="0"/>
              </w:rPr>
            </w:r>
          </w:p>
        </w:tc>
        <w:tc>
          <w:tcPr>
            <w:shd w:fill="d0e4f0" w:val="clear"/>
            <w:tcMar>
              <w:top w:w="80.0" w:type="dxa"/>
              <w:bottom w:w="80.0" w:type="dxa"/>
            </w:tcMar>
          </w:tcPr>
          <w:p w:rsidR="00000000" w:rsidDel="00000000" w:rsidP="00000000" w:rsidRDefault="00000000" w:rsidRPr="00000000" w14:paraId="00000168">
            <w:pPr>
              <w:spacing w:line="276" w:lineRule="auto"/>
              <w:rPr/>
            </w:pPr>
            <w:r w:rsidDel="00000000" w:rsidR="00000000" w:rsidRPr="00000000">
              <w:rPr>
                <w:rFonts w:ascii="Times New Roman" w:cs="Times New Roman" w:eastAsia="Times New Roman" w:hAnsi="Times New Roman"/>
                <w:b w:val="1"/>
                <w:bCs w:val="1"/>
                <w:sz w:val="24"/>
                <w:szCs w:val="24"/>
                <w:rtl w:val="0"/>
              </w:rPr>
              <w:t xml:space="preserve">Top 10 Keywords</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9">
            <w:pPr>
              <w:spacing w:line="276" w:lineRule="auto"/>
              <w:rPr/>
            </w:pPr>
            <w:r w:rsidDel="00000000" w:rsidR="00000000" w:rsidRPr="00000000">
              <w:rPr>
                <w:rFonts w:ascii="Times New Roman" w:cs="Times New Roman" w:eastAsia="Times New Roman" w:hAnsi="Times New Roman"/>
                <w:sz w:val="24"/>
                <w:szCs w:val="24"/>
                <w:rtl w:val="0"/>
              </w:rPr>
              <w:t xml:space="preserve">Google Stadia</w:t>
            </w:r>
            <w:r w:rsidDel="00000000" w:rsidR="00000000" w:rsidRPr="00000000">
              <w:rPr>
                <w:rtl w:val="0"/>
              </w:rPr>
            </w:r>
          </w:p>
        </w:tc>
        <w:tc>
          <w:tcPr>
            <w:tcMar>
              <w:top w:w="80.0" w:type="dxa"/>
              <w:bottom w:w="80.0" w:type="dxa"/>
            </w:tcMar>
          </w:tcPr>
          <w:p w:rsidR="00000000" w:rsidDel="00000000" w:rsidP="00000000" w:rsidRDefault="00000000" w:rsidRPr="00000000" w14:paraId="0000016A">
            <w:pPr>
              <w:spacing w:line="276" w:lineRule="auto"/>
              <w:rPr/>
            </w:pP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tl w:val="0"/>
              </w:rPr>
            </w:r>
          </w:p>
        </w:tc>
        <w:tc>
          <w:tcPr>
            <w:tcMar>
              <w:top w:w="80.0" w:type="dxa"/>
              <w:bottom w:w="80.0" w:type="dxa"/>
            </w:tcMar>
          </w:tcPr>
          <w:p w:rsidR="00000000" w:rsidDel="00000000" w:rsidP="00000000" w:rsidRDefault="00000000" w:rsidRPr="00000000" w14:paraId="0000016B">
            <w:pPr>
              <w:spacing w:line="276" w:lineRule="auto"/>
              <w:rPr/>
            </w:pPr>
            <w:r w:rsidDel="00000000" w:rsidR="00000000" w:rsidRPr="00000000">
              <w:rPr>
                <w:rFonts w:ascii="Times New Roman" w:cs="Times New Roman" w:eastAsia="Times New Roman" w:hAnsi="Times New Roman"/>
                <w:sz w:val="24"/>
                <w:szCs w:val="24"/>
                <w:rtl w:val="0"/>
              </w:rPr>
              <w:t xml:space="preserve">gaming, internet, video, play, future, game, google stadia, console, games, austin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C">
            <w:pPr>
              <w:spacing w:line="276" w:lineRule="auto"/>
              <w:rPr/>
            </w:pPr>
            <w:r w:rsidDel="00000000" w:rsidR="00000000" w:rsidRPr="00000000">
              <w:rPr>
                <w:rFonts w:ascii="Times New Roman" w:cs="Times New Roman" w:eastAsia="Times New Roman" w:hAnsi="Times New Roman"/>
                <w:sz w:val="24"/>
                <w:szCs w:val="24"/>
                <w:rtl w:val="0"/>
              </w:rPr>
              <w:t xml:space="preserve">Google Stadia</w:t>
            </w:r>
            <w:r w:rsidDel="00000000" w:rsidR="00000000" w:rsidRPr="00000000">
              <w:rPr>
                <w:rtl w:val="0"/>
              </w:rPr>
            </w:r>
          </w:p>
        </w:tc>
        <w:tc>
          <w:tcPr>
            <w:tcMar>
              <w:top w:w="80.0" w:type="dxa"/>
              <w:bottom w:w="80.0" w:type="dxa"/>
            </w:tcMar>
          </w:tcPr>
          <w:p w:rsidR="00000000" w:rsidDel="00000000" w:rsidP="00000000" w:rsidRDefault="00000000" w:rsidRPr="00000000" w14:paraId="0000016D">
            <w:pPr>
              <w:spacing w:line="276" w:lineRule="auto"/>
              <w:rPr/>
            </w:pPr>
            <w:r w:rsidDel="00000000" w:rsidR="00000000" w:rsidRPr="00000000">
              <w:rPr>
                <w:rFonts w:ascii="Times New Roman" w:cs="Times New Roman" w:eastAsia="Times New Roman" w:hAnsi="Times New Roman"/>
                <w:sz w:val="24"/>
                <w:szCs w:val="24"/>
                <w:rtl w:val="0"/>
              </w:rPr>
              <w:t xml:space="preserve">After</w:t>
            </w:r>
            <w:r w:rsidDel="00000000" w:rsidR="00000000" w:rsidRPr="00000000">
              <w:rPr>
                <w:rtl w:val="0"/>
              </w:rPr>
            </w:r>
          </w:p>
        </w:tc>
        <w:tc>
          <w:tcPr>
            <w:tcMar>
              <w:top w:w="80.0" w:type="dxa"/>
              <w:bottom w:w="80.0" w:type="dxa"/>
            </w:tcMar>
          </w:tcPr>
          <w:p w:rsidR="00000000" w:rsidDel="00000000" w:rsidP="00000000" w:rsidRDefault="00000000" w:rsidRPr="00000000" w14:paraId="0000016E">
            <w:pPr>
              <w:spacing w:line="276" w:lineRule="auto"/>
              <w:rPr/>
            </w:pPr>
            <w:r w:rsidDel="00000000" w:rsidR="00000000" w:rsidRPr="00000000">
              <w:rPr>
                <w:rFonts w:ascii="Times New Roman" w:cs="Times New Roman" w:eastAsia="Times New Roman" w:hAnsi="Times New Roman"/>
                <w:sz w:val="24"/>
                <w:szCs w:val="24"/>
                <w:rtl w:val="0"/>
              </w:rPr>
              <w:t xml:space="preserve">games, video, game, play, gaming, remember, controller, internet, fail, cloud</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F">
            <w:pPr>
              <w:spacing w:line="276" w:lineRule="auto"/>
              <w:rPr/>
            </w:pPr>
            <w:r w:rsidDel="00000000" w:rsidR="00000000" w:rsidRPr="00000000">
              <w:rPr>
                <w:rFonts w:ascii="Times New Roman" w:cs="Times New Roman" w:eastAsia="Times New Roman" w:hAnsi="Times New Roman"/>
                <w:sz w:val="24"/>
                <w:szCs w:val="24"/>
                <w:rtl w:val="0"/>
              </w:rPr>
              <w:t xml:space="preserve">Google Glass</w:t>
            </w:r>
            <w:r w:rsidDel="00000000" w:rsidR="00000000" w:rsidRPr="00000000">
              <w:rPr>
                <w:rtl w:val="0"/>
              </w:rPr>
            </w:r>
          </w:p>
        </w:tc>
        <w:tc>
          <w:tcPr>
            <w:tcMar>
              <w:top w:w="80.0" w:type="dxa"/>
              <w:bottom w:w="80.0" w:type="dxa"/>
            </w:tcMar>
          </w:tcPr>
          <w:p w:rsidR="00000000" w:rsidDel="00000000" w:rsidP="00000000" w:rsidRDefault="00000000" w:rsidRPr="00000000" w14:paraId="00000170">
            <w:pPr>
              <w:spacing w:line="276" w:lineRule="auto"/>
              <w:rPr/>
            </w:pP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tl w:val="0"/>
              </w:rPr>
            </w:r>
          </w:p>
        </w:tc>
        <w:tc>
          <w:tcPr>
            <w:tcMar>
              <w:top w:w="80.0" w:type="dxa"/>
              <w:bottom w:w="80.0" w:type="dxa"/>
            </w:tcMar>
          </w:tcPr>
          <w:p w:rsidR="00000000" w:rsidDel="00000000" w:rsidP="00000000" w:rsidRDefault="00000000" w:rsidRPr="00000000" w14:paraId="00000171">
            <w:pPr>
              <w:spacing w:line="276" w:lineRule="auto"/>
              <w:rPr/>
            </w:pPr>
            <w:r w:rsidDel="00000000" w:rsidR="00000000" w:rsidRPr="00000000">
              <w:rPr>
                <w:rFonts w:ascii="Times New Roman" w:cs="Times New Roman" w:eastAsia="Times New Roman" w:hAnsi="Times New Roman"/>
                <w:sz w:val="24"/>
                <w:szCs w:val="24"/>
                <w:rtl w:val="0"/>
              </w:rPr>
              <w:t xml:space="preserve">google glass, apple, vision, pro, glasses, vision pro, video, watching, apple vision, ahead</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72">
            <w:pPr>
              <w:spacing w:line="276" w:lineRule="auto"/>
              <w:rPr/>
            </w:pPr>
            <w:r w:rsidDel="00000000" w:rsidR="00000000" w:rsidRPr="00000000">
              <w:rPr>
                <w:rFonts w:ascii="Times New Roman" w:cs="Times New Roman" w:eastAsia="Times New Roman" w:hAnsi="Times New Roman"/>
                <w:sz w:val="24"/>
                <w:szCs w:val="24"/>
                <w:rtl w:val="0"/>
              </w:rPr>
              <w:t xml:space="preserve">Google Glass</w:t>
            </w:r>
            <w:r w:rsidDel="00000000" w:rsidR="00000000" w:rsidRPr="00000000">
              <w:rPr>
                <w:rtl w:val="0"/>
              </w:rPr>
            </w:r>
          </w:p>
        </w:tc>
        <w:tc>
          <w:tcPr>
            <w:tcMar>
              <w:top w:w="80.0" w:type="dxa"/>
              <w:bottom w:w="80.0" w:type="dxa"/>
            </w:tcMar>
          </w:tcPr>
          <w:p w:rsidR="00000000" w:rsidDel="00000000" w:rsidP="00000000" w:rsidRDefault="00000000" w:rsidRPr="00000000" w14:paraId="00000173">
            <w:pPr>
              <w:spacing w:line="276" w:lineRule="auto"/>
              <w:rPr/>
            </w:pPr>
            <w:r w:rsidDel="00000000" w:rsidR="00000000" w:rsidRPr="00000000">
              <w:rPr>
                <w:rFonts w:ascii="Times New Roman" w:cs="Times New Roman" w:eastAsia="Times New Roman" w:hAnsi="Times New Roman"/>
                <w:sz w:val="24"/>
                <w:szCs w:val="24"/>
                <w:rtl w:val="0"/>
              </w:rPr>
              <w:t xml:space="preserve">After</w:t>
            </w:r>
            <w:r w:rsidDel="00000000" w:rsidR="00000000" w:rsidRPr="00000000">
              <w:rPr>
                <w:rtl w:val="0"/>
              </w:rPr>
            </w:r>
          </w:p>
        </w:tc>
        <w:tc>
          <w:tcPr>
            <w:tcMar>
              <w:top w:w="80.0" w:type="dxa"/>
              <w:bottom w:w="80.0" w:type="dxa"/>
            </w:tcMar>
          </w:tcPr>
          <w:p w:rsidR="00000000" w:rsidDel="00000000" w:rsidP="00000000" w:rsidRDefault="00000000" w:rsidRPr="00000000" w14:paraId="00000174">
            <w:pPr>
              <w:spacing w:line="276" w:lineRule="auto"/>
              <w:rPr/>
            </w:pPr>
            <w:r w:rsidDel="00000000" w:rsidR="00000000" w:rsidRPr="00000000">
              <w:rPr>
                <w:rFonts w:ascii="Times New Roman" w:cs="Times New Roman" w:eastAsia="Times New Roman" w:hAnsi="Times New Roman"/>
                <w:sz w:val="24"/>
                <w:szCs w:val="24"/>
                <w:rtl w:val="0"/>
              </w:rPr>
              <w:t xml:space="preserve">apple, google glass, glasses, video, vision, tech, camera, pro, vision pro, remember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75">
            <w:pPr>
              <w:spacing w:line="276" w:lineRule="auto"/>
              <w:rPr/>
            </w:pP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tl w:val="0"/>
              </w:rPr>
            </w:r>
          </w:p>
        </w:tc>
        <w:tc>
          <w:tcPr>
            <w:tcMar>
              <w:top w:w="80.0" w:type="dxa"/>
              <w:bottom w:w="80.0" w:type="dxa"/>
            </w:tcMar>
          </w:tcPr>
          <w:p w:rsidR="00000000" w:rsidDel="00000000" w:rsidP="00000000" w:rsidRDefault="00000000" w:rsidRPr="00000000" w14:paraId="00000176">
            <w:pPr>
              <w:spacing w:line="276" w:lineRule="auto"/>
              <w:rPr/>
            </w:pP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tl w:val="0"/>
              </w:rPr>
            </w:r>
          </w:p>
        </w:tc>
        <w:tc>
          <w:tcPr>
            <w:tcMar>
              <w:top w:w="80.0" w:type="dxa"/>
              <w:bottom w:w="80.0" w:type="dxa"/>
            </w:tcMar>
          </w:tcPr>
          <w:p w:rsidR="00000000" w:rsidDel="00000000" w:rsidP="00000000" w:rsidRDefault="00000000" w:rsidRPr="00000000" w14:paraId="00000177">
            <w:pPr>
              <w:spacing w:line="276" w:lineRule="auto"/>
              <w:rPr/>
            </w:pPr>
            <w:r w:rsidDel="00000000" w:rsidR="00000000" w:rsidRPr="00000000">
              <w:rPr>
                <w:rFonts w:ascii="Times New Roman" w:cs="Times New Roman" w:eastAsia="Times New Roman" w:hAnsi="Times New Roman"/>
                <w:sz w:val="24"/>
                <w:szCs w:val="24"/>
                <w:rtl w:val="0"/>
              </w:rPr>
              <w:t xml:space="preserve">youtube, video, facebook, love, song, use, comments, awesome, thanks, friends</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78">
            <w:pPr>
              <w:spacing w:line="276" w:lineRule="auto"/>
              <w:rPr/>
            </w:pP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tl w:val="0"/>
              </w:rPr>
            </w:r>
          </w:p>
        </w:tc>
        <w:tc>
          <w:tcPr>
            <w:tcMar>
              <w:top w:w="80.0" w:type="dxa"/>
              <w:bottom w:w="80.0" w:type="dxa"/>
            </w:tcMar>
          </w:tcPr>
          <w:p w:rsidR="00000000" w:rsidDel="00000000" w:rsidP="00000000" w:rsidRDefault="00000000" w:rsidRPr="00000000" w14:paraId="00000179">
            <w:pPr>
              <w:spacing w:line="276" w:lineRule="auto"/>
              <w:rPr/>
            </w:pPr>
            <w:r w:rsidDel="00000000" w:rsidR="00000000" w:rsidRPr="00000000">
              <w:rPr>
                <w:rFonts w:ascii="Times New Roman" w:cs="Times New Roman" w:eastAsia="Times New Roman" w:hAnsi="Times New Roman"/>
                <w:sz w:val="24"/>
                <w:szCs w:val="24"/>
                <w:rtl w:val="0"/>
              </w:rPr>
              <w:t xml:space="preserve">After</w:t>
            </w:r>
            <w:r w:rsidDel="00000000" w:rsidR="00000000" w:rsidRPr="00000000">
              <w:rPr>
                <w:rtl w:val="0"/>
              </w:rPr>
            </w:r>
          </w:p>
        </w:tc>
        <w:tc>
          <w:tcPr>
            <w:tcMar>
              <w:top w:w="80.0" w:type="dxa"/>
              <w:bottom w:w="80.0" w:type="dxa"/>
            </w:tcMar>
          </w:tcPr>
          <w:p w:rsidR="00000000" w:rsidDel="00000000" w:rsidP="00000000" w:rsidRDefault="00000000" w:rsidRPr="00000000" w14:paraId="0000017A">
            <w:pPr>
              <w:spacing w:line="276" w:lineRule="auto"/>
              <w:rPr/>
            </w:pPr>
            <w:r w:rsidDel="00000000" w:rsidR="00000000" w:rsidRPr="00000000">
              <w:rPr>
                <w:rFonts w:ascii="Times New Roman" w:cs="Times New Roman" w:eastAsia="Times New Roman" w:hAnsi="Times New Roman"/>
                <w:sz w:val="24"/>
                <w:szCs w:val="24"/>
                <w:rtl w:val="0"/>
              </w:rPr>
              <w:t xml:space="preserve">remember, google plus, used, use, youtube, social, miss, video, friends, nostalgic</w:t>
            </w:r>
            <w:r w:rsidDel="00000000" w:rsidR="00000000" w:rsidRPr="00000000">
              <w:rPr>
                <w:rtl w:val="0"/>
              </w:rPr>
            </w:r>
          </w:p>
        </w:tc>
      </w:tr>
    </w:tbl>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Notable shifts include the emergence of “remember,” “miss,” and “fail” in post-discontinuation language across all three products, reflecting nostalgia and retrospective criticism. Google Stadia’s post-discontinuation vocabulary shows a notable shift toward words like “controller” and “cloud,” indicating ongoing discussion of its hardware and infrastructure legacy.</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 Co-currence Network: </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the TF-IDF analysis, we built a keyword co-occurrence network for each product using the top 30 keywords. Two keywords are connected by an edge if they appear in the same comment at least 3 times. The network was exported as </w:t>
      </w:r>
      <w:r w:rsidDel="00000000" w:rsidR="00000000" w:rsidRPr="00000000">
        <w:rPr>
          <w:rFonts w:ascii="Times New Roman" w:cs="Times New Roman" w:eastAsia="Times New Roman" w:hAnsi="Times New Roman"/>
          <w:sz w:val="24"/>
          <w:szCs w:val="24"/>
          <w:rtl w:val="0"/>
        </w:rPr>
        <w:t xml:space="preserve">gephi_nodes.csv</w:t>
      </w:r>
      <w:r w:rsidDel="00000000" w:rsidR="00000000" w:rsidRPr="00000000">
        <w:rPr>
          <w:rFonts w:ascii="Times New Roman" w:cs="Times New Roman" w:eastAsia="Times New Roman" w:hAnsi="Times New Roman"/>
          <w:sz w:val="24"/>
          <w:szCs w:val="24"/>
          <w:rtl w:val="0"/>
        </w:rPr>
        <w:t xml:space="preserve"> (90 nodes) and </w:t>
      </w:r>
      <w:r w:rsidDel="00000000" w:rsidR="00000000" w:rsidRPr="00000000">
        <w:rPr>
          <w:rFonts w:ascii="Times New Roman" w:cs="Times New Roman" w:eastAsia="Times New Roman" w:hAnsi="Times New Roman"/>
          <w:sz w:val="24"/>
          <w:szCs w:val="24"/>
          <w:rtl w:val="0"/>
        </w:rPr>
        <w:t xml:space="preserve">gephi_edges.csv</w:t>
      </w:r>
      <w:r w:rsidDel="00000000" w:rsidR="00000000" w:rsidRPr="00000000">
        <w:rPr>
          <w:rFonts w:ascii="Times New Roman" w:cs="Times New Roman" w:eastAsia="Times New Roman" w:hAnsi="Times New Roman"/>
          <w:sz w:val="24"/>
          <w:szCs w:val="24"/>
          <w:rtl w:val="0"/>
        </w:rPr>
        <w:t xml:space="preserve"> (427 edges) for visualization in Gephi.</w:t>
      </w:r>
      <w:r w:rsidDel="00000000" w:rsidR="00000000" w:rsidRPr="00000000">
        <w:rPr>
          <w:rFonts w:ascii="Times New Roman" w:cs="Times New Roman" w:eastAsia="Times New Roman" w:hAnsi="Times New Roman"/>
          <w:sz w:val="24"/>
          <w:szCs w:val="24"/>
          <w:rtl w:val="0"/>
        </w:rPr>
        <w:t xml:space="preserve"> The resulting network maps reveal the central themes and semantic structures within consumer discussions for each product, highlighting how ideas cluster together in the public discourse.</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Glass Network</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for Glass is characterized by a strong central cluster around terms like "glass," "google," "product," and "time." High-degree nodes such as "people", "look", and "camera" indicate that discussions heavily focus on the product's social perception, aesthetic design, and privacy implications. A distinct sub-community of nodes forms around nostalgia and potential, with terms like "love," "still," "future," and "miss" showing strong co-occurrence. This structure suggests a user base that remains emotionally attached to the product's pioneering vision, despite its discontinuation. The network visually confirms that the negative "glasshole" narrative from the product's active period has been largely supplanted by a retrospective appreciation cluster.</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Network</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co-occurrence network for Google+ is dominated by a dense cluster of nodes related to its core functionality: "social," "network," "people," "friends," and "circles." There is a clear negative semantic field, with strong edges connecting "confusing" to "interface" and "platform." A significant sub-network revolves around forced integration, featuring terms like "youtube," "account," "forced," and "hate," which highlights a primary driver of negative sentiment. The network is less centralized than Glass, indicating fragmented conversations about various flawed features rather than a single unifying pain point.</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Stadia Network</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Stadia network reveals two dominant conversational poles. The first is a large, positive cluster around the platform's technology, with high-betweenness centrality for nodes like "streaming," "service," "cloud," and "play." The edges connecting "game," "library," and "buy" form the second, deeply negative pole, which is strongly linked to terms like "refund," "shutdown," "money," and "trust." This network structure powerfully illustrates the core contradiction: the technology was praised, but the business model and subsequent closure shattered consumer trust, a rift visualized by the weak edges between the "technology" cluster and the "business model/trust" cluster.</w:t>
      </w:r>
    </w:p>
    <w:p w:rsidR="00000000" w:rsidDel="00000000" w:rsidP="00000000" w:rsidRDefault="00000000" w:rsidRPr="00000000" w14:paraId="000001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 Based Sentiment Analysis (ABSA)</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move beyond general sentiment polarity and understand what specifically drove consumer emotion, we employed Aspect-Based Sentiment Analysis (ABSA) using Google’s Gemini Large Language Model. This technique dissects each comment to identify specific product features (aspects) being discussed and the sentiment directed toward each one. The aspects analyzed were performance, usability, design, price/value, and customer support. The analysis distinguishes between “old” comments (pre-discontinuation) and “recent” ones (post-discontinuation) to track how feelings about specific features evolved.</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Glass: From Functional Critique to Nostalgic Design Icon</w:t>
      </w:r>
    </w:p>
    <w:p w:rsidR="00000000" w:rsidDel="00000000" w:rsidP="00000000" w:rsidRDefault="00000000" w:rsidRPr="00000000" w14:paraId="0000018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Pre-Discontinuation: Sentiment was polarized. Design and Usability were primary targets of negative sentiment, with frequent mentions of the "Explorer" edition being socially awkward and the built-in camera being intrusive. This quantifies the "glasshole" phenomenon as an aspect-driven PR crisis.</w:t>
      </w:r>
    </w:p>
    <w:p w:rsidR="00000000" w:rsidDel="00000000" w:rsidP="00000000" w:rsidRDefault="00000000" w:rsidRPr="00000000" w14:paraId="0000019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Post-Discontinuation: An almost complete sentiment inversion has occurred. Design has shifted to a strongly positive sentiment, hailed as "ahead of its time." A new, potent aspect emerged: Legacy/Innovation, which commands overwhelmingly positive sentiment. This positions Glass not as a failed product in retrospect, but as a foundational step for modern wearables, a stark contrast to its initial reception.</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Persistent Resentment, Singular Focus</w:t>
      </w:r>
    </w:p>
    <w:p w:rsidR="00000000" w:rsidDel="00000000" w:rsidP="00000000" w:rsidRDefault="00000000" w:rsidRPr="00000000" w14:paraId="0000019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Pre-Discontinuation: Overwhelmingly negative sentiment dominated nearly all aspects. Usability was the most criticized, with a torrent of negative comments about a confusing interface and the forced "real name" policy. The key driver of churn was the forced integration with YouTube, making Performance (cluttered, slow) and Customer Support (lack of choice) highly negative aspects.</w:t>
      </w:r>
    </w:p>
    <w:p w:rsidR="00000000" w:rsidDel="00000000" w:rsidP="00000000" w:rsidRDefault="00000000" w:rsidRPr="00000000" w14:paraId="0000019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Post-Discontinuation: Sentiment has not recovered. The aspect map has collapsed to a single, powerful theme: Corporate Decision-Making. Comments are not about the platform itself but about Google's history of "killing" products, with this aspect directly eroding general trust. The data shows no evidence of the nostalgic fondness present in Glass; the final sentiment is pure resentment over wasted time and dissolved networks.</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Stadia: The Trust Paradox</w:t>
      </w:r>
    </w:p>
    <w:p w:rsidR="00000000" w:rsidDel="00000000" w:rsidP="00000000" w:rsidRDefault="00000000" w:rsidRPr="00000000" w14:paraId="000001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Pre-Discontinuation: Aspect sentiment was clearly divided. Performance and Usability (the core streaming tech) were overwhelmingly positive, with commenters consistently praising low latency. Conversely, Price/Value and a new aspect, Product Viability, were deeply negative from the start. Consumers openly expressed fear of a "Google graveyard" shutdown, treating the business model as the product’s fatal flaw from day one.</w:t>
      </w:r>
    </w:p>
    <w:p w:rsidR="00000000" w:rsidDel="00000000" w:rsidP="00000000" w:rsidRDefault="00000000" w:rsidRPr="00000000" w14:paraId="000001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Post-Discontinuation: The positive sentiment around the exceptional technology persists but is now framed in the past tense. The negative sentiment around Price/Value and Customer Support has been amplified into an aspect best described as Corporate Trust &amp; Goodwill. The sentiment here is profoundly negative, with the shutdown and refund process feeling like a "betrayal" to the platform's most engaged users. The ABSA data reveals that Stadia's technological triumph served only to deepen the sense of betrayal upon its closure.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and Recommendations</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 results from general sentiment, TF-IDF keyword analysis, co-occurrence networks, and aspect-based sentiment analysis, we present the following actionable findings to guide product portfolio decisions and mitigate reputational risk.</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Comparative Discontinuation Impact</w:t>
      </w:r>
      <w:r w:rsidDel="00000000" w:rsidR="00000000" w:rsidRPr="00000000">
        <w:rPr>
          <w:rtl w:val="0"/>
        </w:rPr>
      </w:r>
    </w:p>
    <w:tbl>
      <w:tblPr>
        <w:tblStyle w:val="Table10"/>
        <w:tblW w:w="1006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30"/>
        <w:gridCol w:w="2715"/>
        <w:gridCol w:w="1740"/>
        <w:gridCol w:w="1755"/>
        <w:tblGridChange w:id="0">
          <w:tblGrid>
            <w:gridCol w:w="1125"/>
            <w:gridCol w:w="2730"/>
            <w:gridCol w:w="2715"/>
            <w:gridCol w:w="174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Sentiment 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Dominant Post-Mortem Aspect (ABSA)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Risk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Negative → Positive/Nostalgic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Legacy/Innovation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Nostalgic attachment to a "future"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Risk: Discontinuation is accepted; creates a brand "halo effect" as a pioneer.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Negative → Persistently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Decision-Making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integration and confusing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Medium-Low Risk: Negative sentiment is contained and fading. Low active reputational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Stadia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Sharply Divided → Betrayal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Trust &amp; Goodwill (Deeply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Shattered trust from shutdown despite great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Risk: Active, amplified resentment that directly damages Google's credibility.</w:t>
            </w:r>
          </w:p>
        </w:tc>
      </w:tr>
    </w:tbl>
    <w:p w:rsidR="00000000" w:rsidDel="00000000" w:rsidP="00000000" w:rsidRDefault="00000000" w:rsidRPr="00000000" w14:paraId="000001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Recommendations</w:t>
      </w:r>
    </w:p>
    <w:p w:rsidR="00000000" w:rsidDel="00000000" w:rsidP="00000000" w:rsidRDefault="00000000" w:rsidRPr="00000000" w14:paraId="000001B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Prioritize Mitigation for the Stadia Trust Deficit:</w:t>
      </w:r>
      <w:r w:rsidDel="00000000" w:rsidR="00000000" w:rsidRPr="00000000">
        <w:rPr>
          <w:rFonts w:ascii="Times New Roman" w:cs="Times New Roman" w:eastAsia="Times New Roman" w:hAnsi="Times New Roman"/>
          <w:sz w:val="24"/>
          <w:szCs w:val="24"/>
          <w:rtl w:val="0"/>
        </w:rPr>
        <w:t xml:space="preserve"> The analysis unequivocally identifies Stadia as the highest-risk case for generating lasting reputational damage. The ABSA reveals active, intense negativity centered on trust, which the network analysis shows is now semantically linked to "Google" as a whole. The act of sunsetting Stadia created a vocal cohort of detractors who directly cite the shutdown as a reason to never purchase a future Google platform. This poses a tangible risk to new product launches.</w:t>
      </w:r>
    </w:p>
    <w:p w:rsidR="00000000" w:rsidDel="00000000" w:rsidP="00000000" w:rsidRDefault="00000000" w:rsidRPr="00000000" w14:paraId="000001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Transform the Stadia Narrative Through Tangible Action:</w:t>
      </w:r>
      <w:r w:rsidDel="00000000" w:rsidR="00000000" w:rsidRPr="00000000">
        <w:rPr>
          <w:rFonts w:ascii="Times New Roman" w:cs="Times New Roman" w:eastAsia="Times New Roman" w:hAnsi="Times New Roman"/>
          <w:sz w:val="24"/>
          <w:szCs w:val="24"/>
          <w:rtl w:val="0"/>
        </w:rPr>
        <w:t xml:space="preserve"> A standard shutdown communication is insufficient. We recommend a publicly communicated "Commitment to Cloud Gaming Technology" initiative. Instead of just issuing refunds, Google should open-source select Stadia streaming innovations or formally integrate its core technology into YouTube (e.g., to power seamless game demo launches). This action directly addresses the broken "Trust" aspect by transforming a narrative of "wasted potential" into one of a "lasting technological contribution" that benefits the wider ecosystem.</w:t>
      </w:r>
    </w:p>
    <w:p w:rsidR="00000000" w:rsidDel="00000000" w:rsidP="00000000" w:rsidRDefault="00000000" w:rsidRPr="00000000" w14:paraId="000001B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Leverage the Glass "Pioneer" Sentiment for a Future Re-Entry:</w:t>
      </w:r>
      <w:r w:rsidDel="00000000" w:rsidR="00000000" w:rsidRPr="00000000">
        <w:rPr>
          <w:rFonts w:ascii="Times New Roman" w:cs="Times New Roman" w:eastAsia="Times New Roman" w:hAnsi="Times New Roman"/>
          <w:sz w:val="24"/>
          <w:szCs w:val="24"/>
          <w:rtl w:val="0"/>
        </w:rPr>
        <w:t xml:space="preserve"> The ABSA and network data show a rare and valuable positive sentiment reversal for Glass. This "nostalgic pioneer" narrative must not be allowed to decay. It can be strategically reactivated for the launch of a future related product (e.g., an AI-powered mixed-reality headset). A marketing campaign that explicitly honors the "Explorer Edition" and frames the new device as the fulfillment of that original vision would directly leverage the positive sentiment captured in the Legacy/Innovation aspect.</w:t>
      </w:r>
    </w:p>
    <w:p w:rsidR="00000000" w:rsidDel="00000000" w:rsidP="00000000" w:rsidRDefault="00000000" w:rsidRPr="00000000" w14:paraId="000001B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Institutionalize Pre-Mortem and Post-Mortem ABSA:</w:t>
      </w:r>
      <w:r w:rsidDel="00000000" w:rsidR="00000000" w:rsidRPr="00000000">
        <w:rPr>
          <w:rFonts w:ascii="Times New Roman" w:cs="Times New Roman" w:eastAsia="Times New Roman" w:hAnsi="Times New Roman"/>
          <w:sz w:val="24"/>
          <w:szCs w:val="24"/>
          <w:rtl w:val="0"/>
        </w:rPr>
        <w:t xml:space="preserve"> The before-and-after ABSA methodology used in this report should become a standard tool for any product at risk of discontinuation. It provides a quantifiable, aspect-level map of the potential and actual reputational injury, moving beyond guesswork. This enables communication teams to craft targeted, data-driven messaging that addresses the precise features—like "trust," "usability," or "value"—causing the deepest negative sentiment, turning a reactive PR crisis into a managed, insight-driven recovery operation.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