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line="620"/>
      </w:pPr>
      <w:r>
        <w:rPr>
          <w:rFonts w:ascii="Calibri" w:cs="Calibri" w:eastAsia="Calibri" w:hAnsi="Calibri"/>
          <w:b/>
          <w:bCs/>
          <w:color w:val="44A8D9"/>
          <w:sz w:val="52"/>
          <w:szCs w:val="52"/>
        </w:rPr>
        <w:t xml:space="preserve">3HUE</w:t>
      </w:r>
    </w:p>
    <w:p>
      <w:pPr>
        <w:spacing w:after="520" w:before="0"/>
      </w:pPr>
      <w:r>
        <w:rPr>
          <w:rFonts w:ascii="Calibri" w:cs="Calibri" w:eastAsia="Calibri" w:hAnsi="Calibri"/>
          <w:b/>
          <w:bCs/>
          <w:color w:val="6B7A8C"/>
          <w:sz w:val="18"/>
          <w:szCs w:val="18"/>
        </w:rPr>
        <w:t xml:space="preserve">EXECUTIVE CONSULTING</w:t>
      </w:r>
    </w:p>
    <w:p>
      <w:pPr>
        <w:spacing w:after="40" w:before="0" w:line="700"/>
      </w:pPr>
      <w:r>
        <w:rPr>
          <w:rFonts w:ascii="Calibri" w:cs="Calibri" w:eastAsia="Calibri" w:hAnsi="Calibri"/>
          <w:b/>
          <w:bCs/>
          <w:color w:val="14202E"/>
          <w:sz w:val="56"/>
          <w:szCs w:val="56"/>
        </w:rPr>
        <w:t xml:space="preserve">Marketing Intelligence Report</w:t>
      </w:r>
    </w:p>
    <w:p>
      <w:pPr>
        <w:spacing w:after="340" w:before="0" w:line="700"/>
      </w:pPr>
      <w:r>
        <w:rPr>
          <w:rFonts w:ascii="Calibri" w:cs="Calibri" w:eastAsia="Calibri" w:hAnsi="Calibri"/>
          <w:b/>
          <w:bCs/>
          <w:color w:val="2F86B3"/>
          <w:sz w:val="56"/>
          <w:szCs w:val="56"/>
        </w:rPr>
        <w:t xml:space="preserve">2026</w:t>
      </w:r>
    </w:p>
    <w:p>
      <w:pPr>
        <w:pBdr>
          <w:bottom w:val="single" w:color="44A8D9" w:sz="12" w:space="6"/>
        </w:pBdr>
        <w:spacing w:after="300" w:before="0"/>
      </w:pPr>
      <w:r>
        <w:rPr>
          <w:rFonts w:ascii="Calibri" w:cs="Calibri" w:eastAsia="Calibri" w:hAnsi="Calibri"/>
          <w:color w:val="3D4A5A"/>
          <w:sz w:val="2"/>
          <w:szCs w:val="2"/>
        </w:rPr>
        <w:t xml:space="preserve"/>
      </w:r>
    </w:p>
    <w:p>
      <w:pPr>
        <w:spacing w:after="200" w:before="0" w:line="300"/>
      </w:pPr>
      <w:r>
        <w:rPr>
          <w:rFonts w:ascii="Calibri" w:cs="Calibri" w:eastAsia="Calibri" w:hAnsi="Calibri"/>
          <w:color w:val="3D4A5A"/>
          <w:sz w:val="23"/>
          <w:szCs w:val="23"/>
        </w:rPr>
        <w:t xml:space="preserve">The complete research record behind 3HUE’s go-to-market: why organizations stall on security and AI governance maturity, who buys and at what moment, what to say to them, how the brand and the website actually perform, where the demand is, and everything built to turn it into pipeline.</w:t>
      </w:r>
    </w:p>
    <w:p>
      <w:pPr>
        <w:spacing w:after="0" w:before="400"/>
      </w:pPr>
      <w:r>
        <w:rPr>
          <w:rFonts w:ascii="Calibri" w:cs="Calibri" w:eastAsia="Calibri" w:hAnsi="Calibri"/>
          <w:color w:val="6B7A8C"/>
          <w:sz w:val="18"/>
          <w:szCs w:val="18"/>
        </w:rPr>
        <w:t xml:space="preserve">Prepared for  </w:t>
      </w:r>
      <w:r>
        <w:rPr>
          <w:rFonts w:ascii="Calibri" w:cs="Calibri" w:eastAsia="Calibri" w:hAnsi="Calibri"/>
          <w:b/>
          <w:bCs/>
          <w:color w:val="14202E"/>
          <w:sz w:val="18"/>
          <w:szCs w:val="18"/>
        </w:rPr>
        <w:t xml:space="preserve">Nate, 3HUE marketing</w:t>
      </w:r>
    </w:p>
    <w:p>
      <w:pPr>
        <w:spacing w:after="0" w:before="60"/>
      </w:pPr>
      <w:r>
        <w:rPr>
          <w:rFonts w:ascii="Calibri" w:cs="Calibri" w:eastAsia="Calibri" w:hAnsi="Calibri"/>
          <w:color w:val="6B7A8C"/>
          <w:sz w:val="18"/>
          <w:szCs w:val="18"/>
        </w:rPr>
        <w:t xml:space="preserve">Shareable with  </w:t>
      </w:r>
      <w:r>
        <w:rPr>
          <w:rFonts w:ascii="Calibri" w:cs="Calibri" w:eastAsia="Calibri" w:hAnsi="Calibri"/>
          <w:color w:val="3D4A5A"/>
          <w:sz w:val="18"/>
          <w:szCs w:val="18"/>
        </w:rPr>
        <w:t xml:space="preserve">Andrew Ramirez and the marketing team</w:t>
      </w:r>
    </w:p>
    <w:p>
      <w:pPr>
        <w:spacing w:after="0" w:before="60"/>
      </w:pPr>
      <w:r>
        <w:rPr>
          <w:rFonts w:ascii="Calibri" w:cs="Calibri" w:eastAsia="Calibri" w:hAnsi="Calibri"/>
          <w:color w:val="6B7A8C"/>
          <w:sz w:val="18"/>
          <w:szCs w:val="18"/>
        </w:rPr>
        <w:t xml:space="preserve">Compiled  </w:t>
      </w:r>
      <w:r>
        <w:rPr>
          <w:rFonts w:ascii="Calibri" w:cs="Calibri" w:eastAsia="Calibri" w:hAnsi="Calibri"/>
          <w:color w:val="3D4A5A"/>
          <w:sz w:val="18"/>
          <w:szCs w:val="18"/>
        </w:rPr>
        <w:t xml:space="preserve">9 September 2026</w:t>
      </w:r>
      <w:r>
        <w:rPr>
          <w:rFonts w:ascii="Calibri" w:cs="Calibri" w:eastAsia="Calibri" w:hAnsi="Calibri"/>
          <w:color w:val="6B7A8C"/>
          <w:sz w:val="18"/>
          <w:szCs w:val="18"/>
        </w:rPr>
        <w:t xml:space="preserve">   ·   Research conducted  </w:t>
      </w:r>
      <w:r>
        <w:rPr>
          <w:rFonts w:ascii="Calibri" w:cs="Calibri" w:eastAsia="Calibri" w:hAnsi="Calibri"/>
          <w:color w:val="3D4A5A"/>
          <w:sz w:val="18"/>
          <w:szCs w:val="18"/>
        </w:rPr>
        <w:t xml:space="preserve">2–4 September 2026</w:t>
      </w:r>
    </w:p>
    <w:p>
      <w:pPr>
        <w:spacing w:after="0" w:before="520"/>
      </w:pPr>
      <w:r>
        <w:rPr>
          <w:rFonts w:ascii="Calibri" w:cs="Calibri" w:eastAsia="Calibri" w:hAnsi="Calibri"/>
          <w:b/>
          <w:bCs/>
          <w:color w:val="2F86B3"/>
          <w:sz w:val="17"/>
          <w:szCs w:val="17"/>
        </w:rPr>
        <w:t xml:space="preserve">Evidence standard: </w:t>
      </w:r>
      <w:r>
        <w:rPr>
          <w:rFonts w:ascii="Calibri" w:cs="Calibri" w:eastAsia="Calibri" w:hAnsi="Calibri"/>
          <w:color w:val="6B7A8C"/>
          <w:sz w:val="17"/>
          <w:szCs w:val="17"/>
        </w:rPr>
        <w:t xml:space="preserve">every statistic is attributed to a named, dated source and was checked on its own page. Every social exhibit carries its verbatim text and engagement count. Nothing is estimated — where a figure was unavailable it is shown as an em dash. Claims that could not be substantiated are listed in the do-not-use register in Part IX rather than quietly omitted.</w:t>
      </w:r>
    </w:p>
    <w:p>
      <w:r>
        <w:br w:type="page"/>
      </w:r>
    </w:p>
    <w:p>
      <w:pPr>
        <w:spacing w:after="60" w:before="200"/>
      </w:pPr>
      <w:r>
        <w:rPr>
          <w:rFonts w:ascii="Calibri" w:cs="Calibri" w:eastAsia="Calibri" w:hAnsi="Calibri"/>
          <w:b/>
          <w:bCs/>
          <w:color w:val="14202E"/>
          <w:sz w:val="40"/>
          <w:szCs w:val="40"/>
        </w:rPr>
        <w:t xml:space="preserve">Contents</w:t>
      </w:r>
    </w:p>
    <w:p>
      <w:pPr>
        <w:spacing w:after="220" w:before="0"/>
      </w:pPr>
      <w:r>
        <w:rPr>
          <w:rFonts w:ascii="Calibri" w:cs="Calibri" w:eastAsia="Calibri" w:hAnsi="Calibri"/>
          <w:i/>
          <w:iCs/>
          <w:color w:val="6B7A8C"/>
          <w:sz w:val="18"/>
          <w:szCs w:val="18"/>
        </w:rPr>
        <w:t xml:space="preserve">Nine parts, fifty-seven chapters. In Word, use the Navigation pane (View ▸ Navigation) to jump to any heading.</w:t>
      </w:r>
    </w:p>
    <w:p>
      <w:pPr>
        <w:spacing w:after="40" w:before="0"/>
      </w:pPr>
      <w:r>
        <w:rPr>
          <w:rFonts w:ascii="Calibri" w:cs="Calibri" w:eastAsia="Calibri" w:hAnsi="Calibri"/>
          <w:b/>
          <w:bCs/>
          <w:color w:val="14202E"/>
          <w:sz w:val="24"/>
          <w:szCs w:val="24"/>
        </w:rPr>
        <w:t xml:space="preserve">Executive Summary</w:t>
      </w:r>
    </w:p>
    <w:p>
      <w:pPr>
        <w:spacing w:after="60" w:before="200"/>
      </w:pPr>
      <w:r>
        <w:rPr>
          <w:rFonts w:ascii="Calibri" w:cs="Calibri" w:eastAsia="Calibri" w:hAnsi="Calibri"/>
          <w:b/>
          <w:bCs/>
          <w:color w:val="44A8D9"/>
          <w:sz w:val="16"/>
          <w:szCs w:val="16"/>
        </w:rPr>
        <w:t xml:space="preserve">PART I   </w:t>
      </w:r>
      <w:r>
        <w:rPr>
          <w:rFonts w:ascii="Calibri" w:cs="Calibri" w:eastAsia="Calibri" w:hAnsi="Calibri"/>
          <w:b/>
          <w:bCs/>
          <w:color w:val="14202E"/>
          <w:sz w:val="24"/>
          <w:szCs w:val="24"/>
        </w:rPr>
        <w:t xml:space="preserve">The Research Foundation</w:t>
      </w:r>
    </w:p>
    <w:p>
      <w:pPr>
        <w:spacing w:after="26" w:before="0"/>
        <w:ind w:left="520"/>
      </w:pPr>
      <w:r>
        <w:rPr>
          <w:rFonts w:ascii="Calibri" w:cs="Calibri" w:eastAsia="Calibri" w:hAnsi="Calibri"/>
          <w:color w:val="3D4A5A"/>
          <w:sz w:val="19"/>
          <w:szCs w:val="19"/>
        </w:rPr>
        <w:t xml:space="preserve">1. The question, and the answer</w:t>
      </w:r>
    </w:p>
    <w:p>
      <w:pPr>
        <w:spacing w:after="26" w:before="0"/>
        <w:ind w:left="520"/>
      </w:pPr>
      <w:r>
        <w:rPr>
          <w:rFonts w:ascii="Calibri" w:cs="Calibri" w:eastAsia="Calibri" w:hAnsi="Calibri"/>
          <w:color w:val="3D4A5A"/>
          <w:sz w:val="19"/>
          <w:szCs w:val="19"/>
        </w:rPr>
        <w:t xml:space="preserve">2. 3HUE and AiVRIC as the public sees them</w:t>
      </w:r>
    </w:p>
    <w:p>
      <w:pPr>
        <w:spacing w:after="26" w:before="0"/>
        <w:ind w:left="520"/>
      </w:pPr>
      <w:r>
        <w:rPr>
          <w:rFonts w:ascii="Calibri" w:cs="Calibri" w:eastAsia="Calibri" w:hAnsi="Calibri"/>
          <w:color w:val="3D4A5A"/>
          <w:sz w:val="19"/>
          <w:szCs w:val="19"/>
        </w:rPr>
        <w:t xml:space="preserve">3. What the market data says</w:t>
      </w:r>
    </w:p>
    <w:p>
      <w:pPr>
        <w:spacing w:after="26" w:before="0"/>
        <w:ind w:left="520"/>
      </w:pPr>
      <w:r>
        <w:rPr>
          <w:rFonts w:ascii="Calibri" w:cs="Calibri" w:eastAsia="Calibri" w:hAnsi="Calibri"/>
          <w:color w:val="3D4A5A"/>
          <w:sz w:val="19"/>
          <w:szCs w:val="19"/>
        </w:rPr>
        <w:t xml:space="preserve">4. What people are saying, with receipts</w:t>
      </w:r>
    </w:p>
    <w:p>
      <w:pPr>
        <w:spacing w:after="26" w:before="0"/>
        <w:ind w:left="520"/>
      </w:pPr>
      <w:r>
        <w:rPr>
          <w:rFonts w:ascii="Calibri" w:cs="Calibri" w:eastAsia="Calibri" w:hAnsi="Calibri"/>
          <w:color w:val="3D4A5A"/>
          <w:sz w:val="19"/>
          <w:szCs w:val="19"/>
        </w:rPr>
        <w:t xml:space="preserve">5. The words decision makers actually use</w:t>
      </w:r>
    </w:p>
    <w:p>
      <w:pPr>
        <w:spacing w:after="60" w:before="200"/>
      </w:pPr>
      <w:r>
        <w:rPr>
          <w:rFonts w:ascii="Calibri" w:cs="Calibri" w:eastAsia="Calibri" w:hAnsi="Calibri"/>
          <w:b/>
          <w:bCs/>
          <w:color w:val="44A8D9"/>
          <w:sz w:val="16"/>
          <w:szCs w:val="16"/>
        </w:rPr>
        <w:t xml:space="preserve">PART II   </w:t>
      </w:r>
      <w:r>
        <w:rPr>
          <w:rFonts w:ascii="Calibri" w:cs="Calibri" w:eastAsia="Calibri" w:hAnsi="Calibri"/>
          <w:b/>
          <w:bCs/>
          <w:color w:val="14202E"/>
          <w:sz w:val="24"/>
          <w:szCs w:val="24"/>
        </w:rPr>
        <w:t xml:space="preserve">The Customer</w:t>
      </w:r>
    </w:p>
    <w:p>
      <w:pPr>
        <w:spacing w:after="26" w:before="0"/>
        <w:ind w:left="520"/>
      </w:pPr>
      <w:r>
        <w:rPr>
          <w:rFonts w:ascii="Calibri" w:cs="Calibri" w:eastAsia="Calibri" w:hAnsi="Calibri"/>
          <w:color w:val="3D4A5A"/>
          <w:sz w:val="19"/>
          <w:szCs w:val="19"/>
        </w:rPr>
        <w:t xml:space="preserve">6. The three segments</w:t>
      </w:r>
    </w:p>
    <w:p>
      <w:pPr>
        <w:spacing w:after="26" w:before="0"/>
        <w:ind w:left="520"/>
      </w:pPr>
      <w:r>
        <w:rPr>
          <w:rFonts w:ascii="Calibri" w:cs="Calibri" w:eastAsia="Calibri" w:hAnsi="Calibri"/>
          <w:color w:val="3D4A5A"/>
          <w:sz w:val="19"/>
          <w:szCs w:val="19"/>
        </w:rPr>
        <w:t xml:space="preserve">7. The fit model</w:t>
      </w:r>
    </w:p>
    <w:p>
      <w:pPr>
        <w:spacing w:after="26" w:before="0"/>
        <w:ind w:left="520"/>
      </w:pPr>
      <w:r>
        <w:rPr>
          <w:rFonts w:ascii="Calibri" w:cs="Calibri" w:eastAsia="Calibri" w:hAnsi="Calibri"/>
          <w:color w:val="3D4A5A"/>
          <w:sz w:val="19"/>
          <w:szCs w:val="19"/>
        </w:rPr>
        <w:t xml:space="preserve">8. The buying committee</w:t>
      </w:r>
    </w:p>
    <w:p>
      <w:pPr>
        <w:spacing w:after="26" w:before="0"/>
        <w:ind w:left="520"/>
      </w:pPr>
      <w:r>
        <w:rPr>
          <w:rFonts w:ascii="Calibri" w:cs="Calibri" w:eastAsia="Calibri" w:hAnsi="Calibri"/>
          <w:color w:val="3D4A5A"/>
          <w:sz w:val="19"/>
          <w:szCs w:val="19"/>
        </w:rPr>
        <w:t xml:space="preserve">9. Trigger events and how to spot them</w:t>
      </w:r>
    </w:p>
    <w:p>
      <w:pPr>
        <w:spacing w:after="26" w:before="0"/>
        <w:ind w:left="520"/>
      </w:pPr>
      <w:r>
        <w:rPr>
          <w:rFonts w:ascii="Calibri" w:cs="Calibri" w:eastAsia="Calibri" w:hAnsi="Calibri"/>
          <w:color w:val="3D4A5A"/>
          <w:sz w:val="19"/>
          <w:szCs w:val="19"/>
        </w:rPr>
        <w:t xml:space="preserve">10. Who to decline</w:t>
      </w:r>
    </w:p>
    <w:p>
      <w:pPr>
        <w:spacing w:after="60" w:before="200"/>
      </w:pPr>
      <w:r>
        <w:rPr>
          <w:rFonts w:ascii="Calibri" w:cs="Calibri" w:eastAsia="Calibri" w:hAnsi="Calibri"/>
          <w:b/>
          <w:bCs/>
          <w:color w:val="44A8D9"/>
          <w:sz w:val="16"/>
          <w:szCs w:val="16"/>
        </w:rPr>
        <w:t xml:space="preserve">PART III   </w:t>
      </w:r>
      <w:r>
        <w:rPr>
          <w:rFonts w:ascii="Calibri" w:cs="Calibri" w:eastAsia="Calibri" w:hAnsi="Calibri"/>
          <w:b/>
          <w:bCs/>
          <w:color w:val="14202E"/>
          <w:sz w:val="24"/>
          <w:szCs w:val="24"/>
        </w:rPr>
        <w:t xml:space="preserve">The Message</w:t>
      </w:r>
    </w:p>
    <w:p>
      <w:pPr>
        <w:spacing w:after="26" w:before="0"/>
        <w:ind w:left="520"/>
      </w:pPr>
      <w:r>
        <w:rPr>
          <w:rFonts w:ascii="Calibri" w:cs="Calibri" w:eastAsia="Calibri" w:hAnsi="Calibri"/>
          <w:color w:val="3D4A5A"/>
          <w:sz w:val="19"/>
          <w:szCs w:val="19"/>
        </w:rPr>
        <w:t xml:space="preserve">11. The core narrative</w:t>
      </w:r>
    </w:p>
    <w:p>
      <w:pPr>
        <w:spacing w:after="26" w:before="0"/>
        <w:ind w:left="520"/>
      </w:pPr>
      <w:r>
        <w:rPr>
          <w:rFonts w:ascii="Calibri" w:cs="Calibri" w:eastAsia="Calibri" w:hAnsi="Calibri"/>
          <w:color w:val="3D4A5A"/>
          <w:sz w:val="19"/>
          <w:szCs w:val="19"/>
        </w:rPr>
        <w:t xml:space="preserve">12. Positioning statement</w:t>
      </w:r>
    </w:p>
    <w:p>
      <w:pPr>
        <w:spacing w:after="26" w:before="0"/>
        <w:ind w:left="520"/>
      </w:pPr>
      <w:r>
        <w:rPr>
          <w:rFonts w:ascii="Calibri" w:cs="Calibri" w:eastAsia="Calibri" w:hAnsi="Calibri"/>
          <w:color w:val="3D4A5A"/>
          <w:sz w:val="19"/>
          <w:szCs w:val="19"/>
        </w:rPr>
        <w:t xml:space="preserve">13. Three pillars</w:t>
      </w:r>
    </w:p>
    <w:p>
      <w:pPr>
        <w:spacing w:after="26" w:before="0"/>
        <w:ind w:left="520"/>
      </w:pPr>
      <w:r>
        <w:rPr>
          <w:rFonts w:ascii="Calibri" w:cs="Calibri" w:eastAsia="Calibri" w:hAnsi="Calibri"/>
          <w:color w:val="3D4A5A"/>
          <w:sz w:val="19"/>
          <w:szCs w:val="19"/>
        </w:rPr>
        <w:t xml:space="preserve">14. The message by segment</w:t>
      </w:r>
    </w:p>
    <w:p>
      <w:pPr>
        <w:spacing w:after="26" w:before="0"/>
        <w:ind w:left="520"/>
      </w:pPr>
      <w:r>
        <w:rPr>
          <w:rFonts w:ascii="Calibri" w:cs="Calibri" w:eastAsia="Calibri" w:hAnsi="Calibri"/>
          <w:color w:val="3D4A5A"/>
          <w:sz w:val="19"/>
          <w:szCs w:val="19"/>
        </w:rPr>
        <w:t xml:space="preserve">15. Claims library</w:t>
      </w:r>
    </w:p>
    <w:p>
      <w:pPr>
        <w:spacing w:after="26" w:before="0"/>
        <w:ind w:left="520"/>
      </w:pPr>
      <w:r>
        <w:rPr>
          <w:rFonts w:ascii="Calibri" w:cs="Calibri" w:eastAsia="Calibri" w:hAnsi="Calibri"/>
          <w:color w:val="3D4A5A"/>
          <w:sz w:val="19"/>
          <w:szCs w:val="19"/>
        </w:rPr>
        <w:t xml:space="preserve">16. Objection handling</w:t>
      </w:r>
    </w:p>
    <w:p>
      <w:pPr>
        <w:spacing w:after="26" w:before="0"/>
        <w:ind w:left="520"/>
      </w:pPr>
      <w:r>
        <w:rPr>
          <w:rFonts w:ascii="Calibri" w:cs="Calibri" w:eastAsia="Calibri" w:hAnsi="Calibri"/>
          <w:color w:val="3D4A5A"/>
          <w:sz w:val="19"/>
          <w:szCs w:val="19"/>
        </w:rPr>
        <w:t xml:space="preserve">17. Battlecards</w:t>
      </w:r>
    </w:p>
    <w:p>
      <w:pPr>
        <w:spacing w:after="26" w:before="0"/>
        <w:ind w:left="520"/>
      </w:pPr>
      <w:r>
        <w:rPr>
          <w:rFonts w:ascii="Calibri" w:cs="Calibri" w:eastAsia="Calibri" w:hAnsi="Calibri"/>
          <w:color w:val="3D4A5A"/>
          <w:sz w:val="19"/>
          <w:szCs w:val="19"/>
        </w:rPr>
        <w:t xml:space="preserve">18. Words we use, words we don’t</w:t>
      </w:r>
    </w:p>
    <w:p>
      <w:pPr>
        <w:spacing w:after="26" w:before="0"/>
        <w:ind w:left="520"/>
      </w:pPr>
      <w:r>
        <w:rPr>
          <w:rFonts w:ascii="Calibri" w:cs="Calibri" w:eastAsia="Calibri" w:hAnsi="Calibri"/>
          <w:color w:val="3D4A5A"/>
          <w:sz w:val="19"/>
          <w:szCs w:val="19"/>
        </w:rPr>
        <w:t xml:space="preserve">19. Boilerplate</w:t>
      </w:r>
    </w:p>
    <w:p>
      <w:pPr>
        <w:spacing w:after="60" w:before="200"/>
      </w:pPr>
      <w:r>
        <w:rPr>
          <w:rFonts w:ascii="Calibri" w:cs="Calibri" w:eastAsia="Calibri" w:hAnsi="Calibri"/>
          <w:b/>
          <w:bCs/>
          <w:color w:val="44A8D9"/>
          <w:sz w:val="16"/>
          <w:szCs w:val="16"/>
        </w:rPr>
        <w:t xml:space="preserve">PART IV   </w:t>
      </w:r>
      <w:r>
        <w:rPr>
          <w:rFonts w:ascii="Calibri" w:cs="Calibri" w:eastAsia="Calibri" w:hAnsi="Calibri"/>
          <w:b/>
          <w:bCs/>
          <w:color w:val="14202E"/>
          <w:sz w:val="24"/>
          <w:szCs w:val="24"/>
        </w:rPr>
        <w:t xml:space="preserve">The Brand</w:t>
      </w:r>
    </w:p>
    <w:p>
      <w:pPr>
        <w:spacing w:after="26" w:before="0"/>
        <w:ind w:left="520"/>
      </w:pPr>
      <w:r>
        <w:rPr>
          <w:rFonts w:ascii="Calibri" w:cs="Calibri" w:eastAsia="Calibri" w:hAnsi="Calibri"/>
          <w:color w:val="3D4A5A"/>
          <w:sz w:val="19"/>
          <w:szCs w:val="19"/>
        </w:rPr>
        <w:t xml:space="preserve">20. The logo system</w:t>
      </w:r>
    </w:p>
    <w:p>
      <w:pPr>
        <w:spacing w:after="26" w:before="0"/>
        <w:ind w:left="520"/>
      </w:pPr>
      <w:r>
        <w:rPr>
          <w:rFonts w:ascii="Calibri" w:cs="Calibri" w:eastAsia="Calibri" w:hAnsi="Calibri"/>
          <w:color w:val="3D4A5A"/>
          <w:sz w:val="19"/>
          <w:szCs w:val="19"/>
        </w:rPr>
        <w:t xml:space="preserve">21. Colour</w:t>
      </w:r>
    </w:p>
    <w:p>
      <w:pPr>
        <w:spacing w:after="26" w:before="0"/>
        <w:ind w:left="520"/>
      </w:pPr>
      <w:r>
        <w:rPr>
          <w:rFonts w:ascii="Calibri" w:cs="Calibri" w:eastAsia="Calibri" w:hAnsi="Calibri"/>
          <w:color w:val="3D4A5A"/>
          <w:sz w:val="19"/>
          <w:szCs w:val="19"/>
        </w:rPr>
        <w:t xml:space="preserve">22. Typography and interface tokens</w:t>
      </w:r>
    </w:p>
    <w:p>
      <w:pPr>
        <w:spacing w:after="26" w:before="0"/>
        <w:ind w:left="520"/>
      </w:pPr>
      <w:r>
        <w:rPr>
          <w:rFonts w:ascii="Calibri" w:cs="Calibri" w:eastAsia="Calibri" w:hAnsi="Calibri"/>
          <w:color w:val="3D4A5A"/>
          <w:sz w:val="19"/>
          <w:szCs w:val="19"/>
        </w:rPr>
        <w:t xml:space="preserve">23. Usage rules</w:t>
      </w:r>
    </w:p>
    <w:p>
      <w:pPr>
        <w:spacing w:after="26" w:before="0"/>
        <w:ind w:left="520"/>
      </w:pPr>
      <w:r>
        <w:rPr>
          <w:rFonts w:ascii="Calibri" w:cs="Calibri" w:eastAsia="Calibri" w:hAnsi="Calibri"/>
          <w:color w:val="3D4A5A"/>
          <w:sz w:val="19"/>
          <w:szCs w:val="19"/>
        </w:rPr>
        <w:t xml:space="preserve">24. Verbal identity</w:t>
      </w:r>
    </w:p>
    <w:p>
      <w:pPr>
        <w:spacing w:after="26" w:before="0"/>
        <w:ind w:left="520"/>
      </w:pPr>
      <w:r>
        <w:rPr>
          <w:rFonts w:ascii="Calibri" w:cs="Calibri" w:eastAsia="Calibri" w:hAnsi="Calibri"/>
          <w:color w:val="3D4A5A"/>
          <w:sz w:val="19"/>
          <w:szCs w:val="19"/>
        </w:rPr>
        <w:t xml:space="preserve">25. Asset inventory</w:t>
      </w:r>
    </w:p>
    <w:p>
      <w:pPr>
        <w:spacing w:after="26" w:before="0"/>
        <w:ind w:left="520"/>
      </w:pPr>
      <w:r>
        <w:rPr>
          <w:rFonts w:ascii="Calibri" w:cs="Calibri" w:eastAsia="Calibri" w:hAnsi="Calibri"/>
          <w:color w:val="3D4A5A"/>
          <w:sz w:val="19"/>
          <w:szCs w:val="19"/>
        </w:rPr>
        <w:t xml:space="preserve">26. Brand observations</w:t>
      </w:r>
    </w:p>
    <w:p>
      <w:pPr>
        <w:spacing w:after="60" w:before="200"/>
      </w:pPr>
      <w:r>
        <w:rPr>
          <w:rFonts w:ascii="Calibri" w:cs="Calibri" w:eastAsia="Calibri" w:hAnsi="Calibri"/>
          <w:b/>
          <w:bCs/>
          <w:color w:val="44A8D9"/>
          <w:sz w:val="16"/>
          <w:szCs w:val="16"/>
        </w:rPr>
        <w:t xml:space="preserve">PART V   </w:t>
      </w:r>
      <w:r>
        <w:rPr>
          <w:rFonts w:ascii="Calibri" w:cs="Calibri" w:eastAsia="Calibri" w:hAnsi="Calibri"/>
          <w:b/>
          <w:bCs/>
          <w:color w:val="14202E"/>
          <w:sz w:val="24"/>
          <w:szCs w:val="24"/>
        </w:rPr>
        <w:t xml:space="preserve">Demand and Search</w:t>
      </w:r>
    </w:p>
    <w:p>
      <w:pPr>
        <w:spacing w:after="26" w:before="0"/>
        <w:ind w:left="520"/>
      </w:pPr>
      <w:r>
        <w:rPr>
          <w:rFonts w:ascii="Calibri" w:cs="Calibri" w:eastAsia="Calibri" w:hAnsi="Calibri"/>
          <w:color w:val="3D4A5A"/>
          <w:sz w:val="19"/>
          <w:szCs w:val="19"/>
        </w:rPr>
        <w:t xml:space="preserve">27. The website: four faults that block everything</w:t>
      </w:r>
    </w:p>
    <w:p>
      <w:pPr>
        <w:spacing w:after="26" w:before="0"/>
        <w:ind w:left="520"/>
      </w:pPr>
      <w:r>
        <w:rPr>
          <w:rFonts w:ascii="Calibri" w:cs="Calibri" w:eastAsia="Calibri" w:hAnsi="Calibri"/>
          <w:color w:val="3D4A5A"/>
          <w:sz w:val="19"/>
          <w:szCs w:val="19"/>
        </w:rPr>
        <w:t xml:space="preserve">28. The keyword map</w:t>
      </w:r>
    </w:p>
    <w:p>
      <w:pPr>
        <w:spacing w:after="26" w:before="0"/>
        <w:ind w:left="520"/>
      </w:pPr>
      <w:r>
        <w:rPr>
          <w:rFonts w:ascii="Calibri" w:cs="Calibri" w:eastAsia="Calibri" w:hAnsi="Calibri"/>
          <w:color w:val="3D4A5A"/>
          <w:sz w:val="19"/>
          <w:szCs w:val="19"/>
        </w:rPr>
        <w:t xml:space="preserve">29. YouTube demand — with real numbers</w:t>
      </w:r>
    </w:p>
    <w:p>
      <w:pPr>
        <w:spacing w:after="60" w:before="200"/>
      </w:pPr>
      <w:r>
        <w:rPr>
          <w:rFonts w:ascii="Calibri" w:cs="Calibri" w:eastAsia="Calibri" w:hAnsi="Calibri"/>
          <w:b/>
          <w:bCs/>
          <w:color w:val="44A8D9"/>
          <w:sz w:val="16"/>
          <w:szCs w:val="16"/>
        </w:rPr>
        <w:t xml:space="preserve">PART VI   </w:t>
      </w:r>
      <w:r>
        <w:rPr>
          <w:rFonts w:ascii="Calibri" w:cs="Calibri" w:eastAsia="Calibri" w:hAnsi="Calibri"/>
          <w:b/>
          <w:bCs/>
          <w:color w:val="14202E"/>
          <w:sz w:val="24"/>
          <w:szCs w:val="24"/>
        </w:rPr>
        <w:t xml:space="preserve">The Channel Plan</w:t>
      </w:r>
    </w:p>
    <w:p>
      <w:pPr>
        <w:spacing w:after="26" w:before="0"/>
        <w:ind w:left="520"/>
      </w:pPr>
      <w:r>
        <w:rPr>
          <w:rFonts w:ascii="Calibri" w:cs="Calibri" w:eastAsia="Calibri" w:hAnsi="Calibri"/>
          <w:color w:val="3D4A5A"/>
          <w:sz w:val="19"/>
          <w:szCs w:val="19"/>
        </w:rPr>
        <w:t xml:space="preserve">30. The channel</w:t>
      </w:r>
    </w:p>
    <w:p>
      <w:pPr>
        <w:spacing w:after="26" w:before="0"/>
        <w:ind w:left="520"/>
      </w:pPr>
      <w:r>
        <w:rPr>
          <w:rFonts w:ascii="Calibri" w:cs="Calibri" w:eastAsia="Calibri" w:hAnsi="Calibri"/>
          <w:color w:val="3D4A5A"/>
          <w:sz w:val="19"/>
          <w:szCs w:val="19"/>
        </w:rPr>
        <w:t xml:space="preserve">31. The launch slate</w:t>
      </w:r>
    </w:p>
    <w:p>
      <w:pPr>
        <w:spacing w:after="26" w:before="0"/>
        <w:ind w:left="520"/>
      </w:pPr>
      <w:r>
        <w:rPr>
          <w:rFonts w:ascii="Calibri" w:cs="Calibri" w:eastAsia="Calibri" w:hAnsi="Calibri"/>
          <w:color w:val="3D4A5A"/>
          <w:sz w:val="19"/>
          <w:szCs w:val="19"/>
        </w:rPr>
        <w:t xml:space="preserve">32. The twelve-week rollout</w:t>
      </w:r>
    </w:p>
    <w:p>
      <w:pPr>
        <w:spacing w:after="26" w:before="0"/>
        <w:ind w:left="520"/>
      </w:pPr>
      <w:r>
        <w:rPr>
          <w:rFonts w:ascii="Calibri" w:cs="Calibri" w:eastAsia="Calibri" w:hAnsi="Calibri"/>
          <w:color w:val="3D4A5A"/>
          <w:sz w:val="19"/>
          <w:szCs w:val="19"/>
        </w:rPr>
        <w:t xml:space="preserve">33. One shoot, nine assets</w:t>
      </w:r>
    </w:p>
    <w:p>
      <w:pPr>
        <w:spacing w:after="26" w:before="0"/>
        <w:ind w:left="520"/>
      </w:pPr>
      <w:r>
        <w:rPr>
          <w:rFonts w:ascii="Calibri" w:cs="Calibri" w:eastAsia="Calibri" w:hAnsi="Calibri"/>
          <w:color w:val="3D4A5A"/>
          <w:sz w:val="19"/>
          <w:szCs w:val="19"/>
        </w:rPr>
        <w:t xml:space="preserve">34. The linking map</w:t>
      </w:r>
    </w:p>
    <w:p>
      <w:pPr>
        <w:spacing w:after="26" w:before="0"/>
        <w:ind w:left="520"/>
      </w:pPr>
      <w:r>
        <w:rPr>
          <w:rFonts w:ascii="Calibri" w:cs="Calibri" w:eastAsia="Calibri" w:hAnsi="Calibri"/>
          <w:color w:val="3D4A5A"/>
          <w:sz w:val="19"/>
          <w:szCs w:val="19"/>
        </w:rPr>
        <w:t xml:space="preserve">35. What “working” looks like</w:t>
      </w:r>
    </w:p>
    <w:p>
      <w:pPr>
        <w:spacing w:after="60" w:before="200"/>
      </w:pPr>
      <w:r>
        <w:rPr>
          <w:rFonts w:ascii="Calibri" w:cs="Calibri" w:eastAsia="Calibri" w:hAnsi="Calibri"/>
          <w:b/>
          <w:bCs/>
          <w:color w:val="44A8D9"/>
          <w:sz w:val="16"/>
          <w:szCs w:val="16"/>
        </w:rPr>
        <w:t xml:space="preserve">PART VII   </w:t>
      </w:r>
      <w:r>
        <w:rPr>
          <w:rFonts w:ascii="Calibri" w:cs="Calibri" w:eastAsia="Calibri" w:hAnsi="Calibri"/>
          <w:b/>
          <w:bCs/>
          <w:color w:val="14202E"/>
          <w:sz w:val="24"/>
          <w:szCs w:val="24"/>
        </w:rPr>
        <w:t xml:space="preserve">Execution</w:t>
      </w:r>
    </w:p>
    <w:p>
      <w:pPr>
        <w:spacing w:after="26" w:before="0"/>
        <w:ind w:left="520"/>
      </w:pPr>
      <w:r>
        <w:rPr>
          <w:rFonts w:ascii="Calibri" w:cs="Calibri" w:eastAsia="Calibri" w:hAnsi="Calibri"/>
          <w:color w:val="3D4A5A"/>
          <w:sz w:val="19"/>
          <w:szCs w:val="19"/>
        </w:rPr>
        <w:t xml:space="preserve">36. What ships first</w:t>
      </w:r>
    </w:p>
    <w:p>
      <w:pPr>
        <w:spacing w:after="26" w:before="0"/>
        <w:ind w:left="520"/>
      </w:pPr>
      <w:r>
        <w:rPr>
          <w:rFonts w:ascii="Calibri" w:cs="Calibri" w:eastAsia="Calibri" w:hAnsi="Calibri"/>
          <w:color w:val="3D4A5A"/>
          <w:sz w:val="19"/>
          <w:szCs w:val="19"/>
        </w:rPr>
        <w:t xml:space="preserve">37. The lead magnet</w:t>
      </w:r>
    </w:p>
    <w:p>
      <w:pPr>
        <w:spacing w:after="26" w:before="0"/>
        <w:ind w:left="520"/>
      </w:pPr>
      <w:r>
        <w:rPr>
          <w:rFonts w:ascii="Calibri" w:cs="Calibri" w:eastAsia="Calibri" w:hAnsi="Calibri"/>
          <w:color w:val="3D4A5A"/>
          <w:sz w:val="19"/>
          <w:szCs w:val="19"/>
        </w:rPr>
        <w:t xml:space="preserve">38. Landing page copy</w:t>
      </w:r>
    </w:p>
    <w:p>
      <w:pPr>
        <w:spacing w:after="26" w:before="0"/>
        <w:ind w:left="520"/>
      </w:pPr>
      <w:r>
        <w:rPr>
          <w:rFonts w:ascii="Calibri" w:cs="Calibri" w:eastAsia="Calibri" w:hAnsi="Calibri"/>
          <w:color w:val="3D4A5A"/>
          <w:sz w:val="19"/>
          <w:szCs w:val="19"/>
        </w:rPr>
        <w:t xml:space="preserve">39. Founder post series</w:t>
      </w:r>
    </w:p>
    <w:p>
      <w:pPr>
        <w:spacing w:after="26" w:before="0"/>
        <w:ind w:left="520"/>
      </w:pPr>
      <w:r>
        <w:rPr>
          <w:rFonts w:ascii="Calibri" w:cs="Calibri" w:eastAsia="Calibri" w:hAnsi="Calibri"/>
          <w:color w:val="3D4A5A"/>
          <w:sz w:val="19"/>
          <w:szCs w:val="19"/>
        </w:rPr>
        <w:t xml:space="preserve">40. Outreach sequence</w:t>
      </w:r>
    </w:p>
    <w:p>
      <w:pPr>
        <w:spacing w:after="26" w:before="0"/>
        <w:ind w:left="520"/>
      </w:pPr>
      <w:r>
        <w:rPr>
          <w:rFonts w:ascii="Calibri" w:cs="Calibri" w:eastAsia="Calibri" w:hAnsi="Calibri"/>
          <w:color w:val="3D4A5A"/>
          <w:sz w:val="19"/>
          <w:szCs w:val="19"/>
        </w:rPr>
        <w:t xml:space="preserve">41. Discovery script</w:t>
      </w:r>
    </w:p>
    <w:p>
      <w:pPr>
        <w:spacing w:after="26" w:before="0"/>
        <w:ind w:left="520"/>
      </w:pPr>
      <w:r>
        <w:rPr>
          <w:rFonts w:ascii="Calibri" w:cs="Calibri" w:eastAsia="Calibri" w:hAnsi="Calibri"/>
          <w:color w:val="3D4A5A"/>
          <w:sz w:val="19"/>
          <w:szCs w:val="19"/>
        </w:rPr>
        <w:t xml:space="preserve">42. Offer one-pagers</w:t>
      </w:r>
    </w:p>
    <w:p>
      <w:pPr>
        <w:spacing w:after="26" w:before="0"/>
        <w:ind w:left="520"/>
      </w:pPr>
      <w:r>
        <w:rPr>
          <w:rFonts w:ascii="Calibri" w:cs="Calibri" w:eastAsia="Calibri" w:hAnsi="Calibri"/>
          <w:color w:val="3D4A5A"/>
          <w:sz w:val="19"/>
          <w:szCs w:val="19"/>
        </w:rPr>
        <w:t xml:space="preserve">43. Case study rebuild</w:t>
      </w:r>
    </w:p>
    <w:p>
      <w:pPr>
        <w:spacing w:after="26" w:before="0"/>
        <w:ind w:left="520"/>
      </w:pPr>
      <w:r>
        <w:rPr>
          <w:rFonts w:ascii="Calibri" w:cs="Calibri" w:eastAsia="Calibri" w:hAnsi="Calibri"/>
          <w:color w:val="3D4A5A"/>
          <w:sz w:val="19"/>
          <w:szCs w:val="19"/>
        </w:rPr>
        <w:t xml:space="preserve">44. What to measure</w:t>
      </w:r>
    </w:p>
    <w:p>
      <w:pPr>
        <w:spacing w:after="26" w:before="0"/>
        <w:ind w:left="520"/>
      </w:pPr>
      <w:r>
        <w:rPr>
          <w:rFonts w:ascii="Calibri" w:cs="Calibri" w:eastAsia="Calibri" w:hAnsi="Calibri"/>
          <w:color w:val="3D4A5A"/>
          <w:sz w:val="19"/>
          <w:szCs w:val="19"/>
        </w:rPr>
        <w:t xml:space="preserve">45. The capability map</w:t>
      </w:r>
    </w:p>
    <w:p>
      <w:pPr>
        <w:spacing w:after="26" w:before="0"/>
        <w:ind w:left="520"/>
      </w:pPr>
      <w:r>
        <w:rPr>
          <w:rFonts w:ascii="Calibri" w:cs="Calibri" w:eastAsia="Calibri" w:hAnsi="Calibri"/>
          <w:color w:val="3D4A5A"/>
          <w:sz w:val="19"/>
          <w:szCs w:val="19"/>
        </w:rPr>
        <w:t xml:space="preserve">46. The marketing library</w:t>
      </w:r>
    </w:p>
    <w:p>
      <w:pPr>
        <w:spacing w:after="60" w:before="200"/>
      </w:pPr>
      <w:r>
        <w:rPr>
          <w:rFonts w:ascii="Calibri" w:cs="Calibri" w:eastAsia="Calibri" w:hAnsi="Calibri"/>
          <w:b/>
          <w:bCs/>
          <w:color w:val="44A8D9"/>
          <w:sz w:val="16"/>
          <w:szCs w:val="16"/>
        </w:rPr>
        <w:t xml:space="preserve">PART VIII   </w:t>
      </w:r>
      <w:r>
        <w:rPr>
          <w:rFonts w:ascii="Calibri" w:cs="Calibri" w:eastAsia="Calibri" w:hAnsi="Calibri"/>
          <w:b/>
          <w:bCs/>
          <w:color w:val="14202E"/>
          <w:sz w:val="24"/>
          <w:szCs w:val="24"/>
        </w:rPr>
        <w:t xml:space="preserve">The Inherited Documents</w:t>
      </w:r>
    </w:p>
    <w:p>
      <w:pPr>
        <w:spacing w:after="26" w:before="0"/>
        <w:ind w:left="520"/>
      </w:pPr>
      <w:r>
        <w:rPr>
          <w:rFonts w:ascii="Calibri" w:cs="Calibri" w:eastAsia="Calibri" w:hAnsi="Calibri"/>
          <w:color w:val="3D4A5A"/>
          <w:sz w:val="19"/>
          <w:szCs w:val="19"/>
        </w:rPr>
        <w:t xml:space="preserve">47. What the two documents are</w:t>
      </w:r>
    </w:p>
    <w:p>
      <w:pPr>
        <w:spacing w:after="26" w:before="0"/>
        <w:ind w:left="520"/>
      </w:pPr>
      <w:r>
        <w:rPr>
          <w:rFonts w:ascii="Calibri" w:cs="Calibri" w:eastAsia="Calibri" w:hAnsi="Calibri"/>
          <w:color w:val="3D4A5A"/>
          <w:sz w:val="19"/>
          <w:szCs w:val="19"/>
        </w:rPr>
        <w:t xml:space="preserve">48. The standing diagnosis</w:t>
      </w:r>
    </w:p>
    <w:p>
      <w:pPr>
        <w:spacing w:after="26" w:before="0"/>
        <w:ind w:left="520"/>
      </w:pPr>
      <w:r>
        <w:rPr>
          <w:rFonts w:ascii="Calibri" w:cs="Calibri" w:eastAsia="Calibri" w:hAnsi="Calibri"/>
          <w:color w:val="3D4A5A"/>
          <w:sz w:val="19"/>
          <w:szCs w:val="19"/>
        </w:rPr>
        <w:t xml:space="preserve">49. Six things the handover supplied</w:t>
      </w:r>
    </w:p>
    <w:p>
      <w:pPr>
        <w:spacing w:after="26" w:before="0"/>
        <w:ind w:left="520"/>
      </w:pPr>
      <w:r>
        <w:rPr>
          <w:rFonts w:ascii="Calibri" w:cs="Calibri" w:eastAsia="Calibri" w:hAnsi="Calibri"/>
          <w:color w:val="3D4A5A"/>
          <w:sz w:val="19"/>
          <w:szCs w:val="19"/>
        </w:rPr>
        <w:t xml:space="preserve">50. Where the strategy and the research converge</w:t>
      </w:r>
    </w:p>
    <w:p>
      <w:pPr>
        <w:spacing w:after="26" w:before="0"/>
        <w:ind w:left="520"/>
      </w:pPr>
      <w:r>
        <w:rPr>
          <w:rFonts w:ascii="Calibri" w:cs="Calibri" w:eastAsia="Calibri" w:hAnsi="Calibri"/>
          <w:color w:val="3D4A5A"/>
          <w:sz w:val="19"/>
          <w:szCs w:val="19"/>
        </w:rPr>
        <w:t xml:space="preserve">51. Four conflicts, and how each resolves</w:t>
      </w:r>
    </w:p>
    <w:p>
      <w:pPr>
        <w:spacing w:after="26" w:before="0"/>
        <w:ind w:left="520"/>
      </w:pPr>
      <w:r>
        <w:rPr>
          <w:rFonts w:ascii="Calibri" w:cs="Calibri" w:eastAsia="Calibri" w:hAnsi="Calibri"/>
          <w:color w:val="3D4A5A"/>
          <w:sz w:val="19"/>
          <w:szCs w:val="19"/>
        </w:rPr>
        <w:t xml:space="preserve">52. What carries forward from 2024 unchanged</w:t>
      </w:r>
    </w:p>
    <w:p>
      <w:pPr>
        <w:spacing w:after="60" w:before="200"/>
      </w:pPr>
      <w:r>
        <w:rPr>
          <w:rFonts w:ascii="Calibri" w:cs="Calibri" w:eastAsia="Calibri" w:hAnsi="Calibri"/>
          <w:b/>
          <w:bCs/>
          <w:color w:val="44A8D9"/>
          <w:sz w:val="16"/>
          <w:szCs w:val="16"/>
        </w:rPr>
        <w:t xml:space="preserve">PART IX   </w:t>
      </w:r>
      <w:r>
        <w:rPr>
          <w:rFonts w:ascii="Calibri" w:cs="Calibri" w:eastAsia="Calibri" w:hAnsi="Calibri"/>
          <w:b/>
          <w:bCs/>
          <w:color w:val="14202E"/>
          <w:sz w:val="24"/>
          <w:szCs w:val="24"/>
        </w:rPr>
        <w:t xml:space="preserve">Decisions, Open Items and Sources</w:t>
      </w:r>
    </w:p>
    <w:p>
      <w:pPr>
        <w:spacing w:after="26" w:before="0"/>
        <w:ind w:left="520"/>
      </w:pPr>
      <w:r>
        <w:rPr>
          <w:rFonts w:ascii="Calibri" w:cs="Calibri" w:eastAsia="Calibri" w:hAnsi="Calibri"/>
          <w:color w:val="3D4A5A"/>
          <w:sz w:val="19"/>
          <w:szCs w:val="19"/>
        </w:rPr>
        <w:t xml:space="preserve">53. Decisions made</w:t>
      </w:r>
    </w:p>
    <w:p>
      <w:pPr>
        <w:spacing w:after="26" w:before="0"/>
        <w:ind w:left="520"/>
      </w:pPr>
      <w:r>
        <w:rPr>
          <w:rFonts w:ascii="Calibri" w:cs="Calibri" w:eastAsia="Calibri" w:hAnsi="Calibri"/>
          <w:color w:val="3D4A5A"/>
          <w:sz w:val="19"/>
          <w:szCs w:val="19"/>
        </w:rPr>
        <w:t xml:space="preserve">54. Open items</w:t>
      </w:r>
    </w:p>
    <w:p>
      <w:pPr>
        <w:spacing w:after="26" w:before="0"/>
        <w:ind w:left="520"/>
      </w:pPr>
      <w:r>
        <w:rPr>
          <w:rFonts w:ascii="Calibri" w:cs="Calibri" w:eastAsia="Calibri" w:hAnsi="Calibri"/>
          <w:color w:val="3D4A5A"/>
          <w:sz w:val="19"/>
          <w:szCs w:val="19"/>
        </w:rPr>
        <w:t xml:space="preserve">55. The do-not-use register</w:t>
      </w:r>
    </w:p>
    <w:p>
      <w:pPr>
        <w:spacing w:after="26" w:before="0"/>
        <w:ind w:left="520"/>
      </w:pPr>
      <w:r>
        <w:rPr>
          <w:rFonts w:ascii="Calibri" w:cs="Calibri" w:eastAsia="Calibri" w:hAnsi="Calibri"/>
          <w:color w:val="3D4A5A"/>
          <w:sz w:val="19"/>
          <w:szCs w:val="19"/>
        </w:rPr>
        <w:t xml:space="preserve">56. Method and limits</w:t>
      </w:r>
    </w:p>
    <w:p>
      <w:pPr>
        <w:spacing w:after="26" w:before="0"/>
        <w:ind w:left="520"/>
      </w:pPr>
      <w:r>
        <w:rPr>
          <w:rFonts w:ascii="Calibri" w:cs="Calibri" w:eastAsia="Calibri" w:hAnsi="Calibri"/>
          <w:color w:val="3D4A5A"/>
          <w:sz w:val="19"/>
          <w:szCs w:val="19"/>
        </w:rPr>
        <w:t xml:space="preserve">57. Sources</w:t>
      </w:r>
    </w:p>
    <w:p>
      <w:r>
        <w:br w:type="page"/>
      </w:r>
    </w:p>
    <w:p>
      <w:pPr>
        <w:sectPr>
          <w:pgSz w:w="12240" w:h="15840" w:orient="portrait"/>
          <w:pgMar w:top="1080" w:right="1080" w:bottom="1080" w:left="1080" w:header="708" w:footer="708" w:gutter="0"/>
          <w:pgNumType/>
          <w:docGrid w:linePitch="360"/>
        </w:sectPr>
      </w:pPr>
    </w:p>
    <w:p>
      <w:pPr>
        <w:pStyle w:val="Heading1"/>
        <w:spacing w:after="120" w:before="200"/>
      </w:pPr>
      <w:r>
        <w:rPr>
          <w:rFonts w:ascii="Calibri" w:cs="Calibri" w:eastAsia="Calibri" w:hAnsi="Calibri"/>
          <w:b/>
          <w:bCs/>
          <w:color w:val="14202E"/>
          <w:sz w:val="40"/>
          <w:szCs w:val="40"/>
        </w:rPr>
        <w:t xml:space="preserve">Executive Summary</w:t>
      </w:r>
    </w:p>
    <w:p>
      <w:pPr>
        <w:pBdr>
          <w:bottom w:val="single" w:color="D3DCE6" w:sz="6" w:space="1"/>
        </w:pBdr>
        <w:spacing w:after="160" w:before="0"/>
      </w:pPr>
      <w:r>
        <w:rPr>
          <w:rFonts w:ascii="Calibri" w:cs="Calibri" w:eastAsia="Calibri" w:hAnsi="Calibri"/>
          <w:color w:val="3D4A5A"/>
          <w:sz w:val="2"/>
          <w:szCs w:val="2"/>
        </w:rPr>
        <w:t xml:space="preserve"/>
      </w:r>
    </w:p>
    <w:p>
      <w:pPr>
        <w:spacing w:after="120" w:before="0" w:line="276"/>
      </w:pPr>
      <w:r>
        <w:rPr>
          <w:rFonts w:ascii="Calibri" w:cs="Calibri" w:eastAsia="Calibri" w:hAnsi="Calibri"/>
          <w:color w:val="3D4A5A"/>
          <w:sz w:val="21"/>
          <w:szCs w:val="21"/>
        </w:rPr>
        <w:t xml:space="preserve">This report consolidates every piece of research and every framework built for 3HUE marketing between 2 and 9 September 2026. It runs to nine parts. If you read nothing else, read this page.</w:t>
      </w:r>
    </w:p>
    <w:p>
      <w:pPr>
        <w:keepNext/>
        <w:spacing w:after="80" w:before="240"/>
      </w:pPr>
      <w:r>
        <w:rPr>
          <w:rFonts w:ascii="Calibri" w:cs="Calibri" w:eastAsia="Calibri" w:hAnsi="Calibri"/>
          <w:b/>
          <w:bCs/>
          <w:color w:val="2F86B3"/>
          <w:sz w:val="24"/>
          <w:szCs w:val="24"/>
        </w:rPr>
        <w:t xml:space="preserve">1 · The question that started it, and the answer</w:t>
      </w:r>
    </w:p>
    <w:p>
      <w:pPr>
        <w:spacing w:after="120" w:before="0" w:line="276"/>
      </w:pPr>
      <w:r>
        <w:rPr>
          <w:rFonts w:ascii="Calibri" w:cs="Calibri" w:eastAsia="Calibri" w:hAnsi="Calibri"/>
          <w:color w:val="3D4A5A"/>
          <w:sz w:val="20"/>
          <w:szCs w:val="20"/>
        </w:rPr>
        <w:t xml:space="preserve">The brief was: if 3HUE anchors to NIST, ISO, TOGAF, ITIL, COBIT and ISACA guidance, why are more organizations not getting more mature? The answer is that almost nobody argues against the frameworks. Organizations stall because there is nobody to run the program (68% have one or fewer full-time security staff while 93% call it a top priority), because nothing forces a decision until a customer, insurer, investor or regulator makes one (61% were required to hold a certification to win or renew a contract), and because those who do act stop at the certificate (72% still rely on periodic assessments; 78% of recent audit failures had prior breaches).</w:t>
      </w:r>
    </w:p>
    <w:tbl>
      <w:tblPr>
        <w:tblW w:type="dxa" w:w="10080"/>
        <w:tblBorders>
          <w:top w:val="none"/>
          <w:left w:val="single" w:color="2F86B3" w:sz="18"/>
          <w:bottom w:val="none"/>
          <w:right w:val="none"/>
          <w:insideH w:val="none"/>
          <w:insideV w:val="none"/>
        </w:tblBorders>
      </w:tblPr>
      <w:tblGrid>
        <w:gridCol w:w="10080"/>
      </w:tblGrid>
      <w:tr>
        <w:trPr>
          <w:cantSplit/>
        </w:trPr>
        <w:tc>
          <w:tcPr>
            <w:tcW w:type="dxa" w:w="10080"/>
            <w:tcBorders>
              <w:top w:val="none"/>
              <w:left w:val="none"/>
              <w:bottom w:val="none"/>
              <w:right w:val="none"/>
            </w:tcBorders>
            <w:shd w:fill="EEF4F9" w:color="auto" w:val="clear"/>
            <w:tcMar>
              <w:top w:type="dxa" w:w="130"/>
              <w:left w:type="dxa" w:w="180"/>
              <w:bottom w:type="dxa" w:w="130"/>
              <w:right w:type="dxa" w:w="160"/>
            </w:tcMar>
          </w:tcPr>
          <w:p>
            <w:pPr>
              <w:keepNext/>
              <w:spacing w:after="60" w:before="0" w:line="260"/>
            </w:pPr>
            <w:r>
              <w:rPr>
                <w:rFonts w:ascii="Calibri" w:cs="Calibri" w:eastAsia="Calibri" w:hAnsi="Calibri"/>
                <w:b/>
                <w:bCs/>
                <w:color w:val="2F86B3"/>
                <w:sz w:val="19"/>
                <w:szCs w:val="19"/>
              </w:rPr>
              <w:t xml:space="preserve">The consequence for marketing</w:t>
            </w:r>
          </w:p>
          <w:p>
            <w:pPr>
              <w:spacing w:after="40" w:before="0" w:line="265"/>
            </w:pPr>
            <w:r>
              <w:rPr>
                <w:rFonts w:ascii="Calibri" w:cs="Calibri" w:eastAsia="Calibri" w:hAnsi="Calibri"/>
                <w:color w:val="3D4A5A"/>
                <w:sz w:val="19"/>
                <w:szCs w:val="19"/>
              </w:rPr>
              <w:t xml:space="preserve">3HUE is not fighting disbelief in frameworks. It is fighting timing and language. The work is to say the right thing, in the buyer’s words, at the buyer’s moment — which favours exactly what 3HUE already is: a founder-delivered, operated program with continuous evidence.</w:t>
            </w:r>
          </w:p>
        </w:tc>
      </w:tr>
    </w:tbl>
    <w:p>
      <w:pPr>
        <w:keepNext/>
        <w:spacing w:after="80" w:before="240"/>
      </w:pPr>
      <w:r>
        <w:rPr>
          <w:rFonts w:ascii="Calibri" w:cs="Calibri" w:eastAsia="Calibri" w:hAnsi="Calibri"/>
          <w:b/>
          <w:bCs/>
          <w:color w:val="2F86B3"/>
          <w:sz w:val="24"/>
          <w:szCs w:val="24"/>
        </w:rPr>
        <w:t xml:space="preserve">2 · Who to sell to</w:t>
      </w:r>
    </w:p>
    <w:p>
      <w:pPr>
        <w:spacing w:after="120" w:before="0" w:line="276"/>
      </w:pPr>
      <w:r>
        <w:rPr>
          <w:rFonts w:ascii="Calibri" w:cs="Calibri" w:eastAsia="Calibri" w:hAnsi="Calibri"/>
          <w:color w:val="3D4A5A"/>
          <w:sz w:val="20"/>
          <w:szCs w:val="20"/>
        </w:rPr>
        <w:t xml:space="preserve">Three segments, one qualification instrument. The Provable Vendor (B2B software, 50–500 staff, a deal frozen behind SOC 2) takes roughly 60% of effort; The Portfolio (PE and family offices under $25B AUM, where cyber diligence runs at 29% versus 81% for larger funds) takes 25%; The Regulated Operator (community FIs and OT operators with an examiner in the building) takes 15%. The fit model scores eight criteria out of 100, and the first — is there a live, dated forcing function — is worth 25 points on its own.</w:t>
      </w:r>
    </w:p>
    <w:p>
      <w:pPr>
        <w:keepNext/>
        <w:spacing w:after="80" w:before="240"/>
      </w:pPr>
      <w:r>
        <w:rPr>
          <w:rFonts w:ascii="Calibri" w:cs="Calibri" w:eastAsia="Calibri" w:hAnsi="Calibri"/>
          <w:b/>
          <w:bCs/>
          <w:color w:val="2F86B3"/>
          <w:sz w:val="24"/>
          <w:szCs w:val="24"/>
        </w:rPr>
        <w:t xml:space="preserve">3 · The two findings that outrank everything else</w:t>
      </w:r>
    </w:p>
    <w:tbl>
      <w:tblPr>
        <w:tblW w:type="dxa" w:w="10080"/>
        <w:tblBorders>
          <w:top w:val="none"/>
          <w:left w:val="single" w:color="A4462F" w:sz="18"/>
          <w:bottom w:val="none"/>
          <w:right w:val="none"/>
          <w:insideH w:val="none"/>
          <w:insideV w:val="none"/>
        </w:tblBorders>
      </w:tblPr>
      <w:tblGrid>
        <w:gridCol w:w="10080"/>
      </w:tblGrid>
      <w:tr>
        <w:trPr>
          <w:cantSplit/>
        </w:trPr>
        <w:tc>
          <w:tcPr>
            <w:tcW w:type="dxa" w:w="10080"/>
            <w:tcBorders>
              <w:top w:val="none"/>
              <w:left w:val="none"/>
              <w:bottom w:val="none"/>
              <w:right w:val="none"/>
            </w:tcBorders>
            <w:shd w:fill="FBEEEA" w:color="auto" w:val="clear"/>
            <w:tcMar>
              <w:top w:type="dxa" w:w="130"/>
              <w:left w:type="dxa" w:w="180"/>
              <w:bottom w:type="dxa" w:w="130"/>
              <w:right w:type="dxa" w:w="160"/>
            </w:tcMar>
          </w:tcPr>
          <w:p>
            <w:pPr>
              <w:keepNext/>
              <w:spacing w:after="60" w:before="0" w:line="260"/>
            </w:pPr>
            <w:r>
              <w:rPr>
                <w:rFonts w:ascii="Calibri" w:cs="Calibri" w:eastAsia="Calibri" w:hAnsi="Calibri"/>
                <w:b/>
                <w:bCs/>
                <w:color w:val="A4462F"/>
                <w:sz w:val="19"/>
                <w:szCs w:val="19"/>
              </w:rPr>
              <w:t xml:space="preserve">The website has been broken for thirty months, and it blocks everything downstream</w:t>
            </w:r>
          </w:p>
          <w:p>
            <w:pPr>
              <w:spacing w:after="40" w:before="0" w:line="265"/>
            </w:pPr>
            <w:r>
              <w:rPr>
                <w:rFonts w:ascii="Calibri" w:cs="Calibri" w:eastAsia="Calibri" w:hAnsi="Calibri"/>
                <w:color w:val="3D4A5A"/>
                <w:sz w:val="19"/>
                <w:szCs w:val="19"/>
              </w:rPr>
              <w:t xml:space="preserve">A Semrush audit inside the 2024 marketing deck recorded authority score 2, zero organic traffic and two organic keywords. Verified on 4 September 2026: the apex domain and the www subdomain serve two entirely different websites with different positioning; sitemap.xml returns 404; there is no canonical tag, no og:url and zero JSON-LD anywhere; the homepage still advertises “Now accepting Q2 2026 Snapshot engagements,” a quarter that ended on 30 June; and the primary call to action goes straight to Calendly with no landing page, no form and no attribution.</w:t>
            </w:r>
          </w:p>
          <w:p>
            <w:pPr>
              <w:spacing w:after="40" w:before="0" w:line="265"/>
            </w:pPr>
            <w:r>
              <w:rPr>
                <w:rFonts w:ascii="Calibri" w:cs="Calibri" w:eastAsia="Calibri" w:hAnsi="Calibri"/>
                <w:color w:val="3D4A5A"/>
                <w:sz w:val="19"/>
                <w:szCs w:val="19"/>
              </w:rPr>
              <w:t xml:space="preserve">The 2026 GTM deck names the Q2 language as its own highest-priority fix. It is still live. This needs an owner and a date, not more analysis.</w:t>
            </w:r>
          </w:p>
        </w:tc>
      </w:tr>
    </w:tbl>
    <w:tbl>
      <w:tblPr>
        <w:tblW w:type="dxa" w:w="10080"/>
        <w:tblBorders>
          <w:top w:val="none"/>
          <w:left w:val="single" w:color="A8781F" w:sz="18"/>
          <w:bottom w:val="none"/>
          <w:right w:val="none"/>
          <w:insideH w:val="none"/>
          <w:insideV w:val="none"/>
        </w:tblBorders>
      </w:tblPr>
      <w:tblGrid>
        <w:gridCol w:w="10080"/>
      </w:tblGrid>
      <w:tr>
        <w:trPr>
          <w:cantSplit/>
        </w:trPr>
        <w:tc>
          <w:tcPr>
            <w:tcW w:type="dxa" w:w="10080"/>
            <w:tcBorders>
              <w:top w:val="none"/>
              <w:left w:val="none"/>
              <w:bottom w:val="none"/>
              <w:right w:val="none"/>
            </w:tcBorders>
            <w:shd w:fill="FBF4E6" w:color="auto" w:val="clear"/>
            <w:tcMar>
              <w:top w:type="dxa" w:w="130"/>
              <w:left w:type="dxa" w:w="180"/>
              <w:bottom w:type="dxa" w:w="130"/>
              <w:right w:type="dxa" w:w="160"/>
            </w:tcMar>
          </w:tcPr>
          <w:p>
            <w:pPr>
              <w:keepNext/>
              <w:spacing w:after="60" w:before="0" w:line="260"/>
            </w:pPr>
            <w:r>
              <w:rPr>
                <w:rFonts w:ascii="Calibri" w:cs="Calibri" w:eastAsia="Calibri" w:hAnsi="Calibri"/>
                <w:b/>
                <w:bCs/>
                <w:color w:val="A8781F"/>
                <w:sz w:val="19"/>
                <w:szCs w:val="19"/>
              </w:rPr>
              <w:t xml:space="preserve">YouTube demand in this category is career demand, not buyer demand</w:t>
            </w:r>
          </w:p>
          <w:p>
            <w:pPr>
              <w:spacing w:after="40" w:before="0" w:line="265"/>
            </w:pPr>
            <w:r>
              <w:rPr>
                <w:rFonts w:ascii="Calibri" w:cs="Calibri" w:eastAsia="Calibri" w:hAnsi="Calibri"/>
                <w:color w:val="3D4A5A"/>
                <w:sz w:val="19"/>
                <w:szCs w:val="19"/>
              </w:rPr>
              <w:t xml:space="preserve">People search “ISO 27001 lead implementer training” (8,118/mo) because they want a job. A competing AI-governance founder built 16,700 subscribers on CompTIA courses — his top video has 190,553 views and the video stating his actual thesis has 299. Chasing volume builds an audience that cannot buy.</w:t>
            </w:r>
          </w:p>
          <w:p>
            <w:pPr>
              <w:spacing w:after="40" w:before="0" w:line="265"/>
            </w:pPr>
            <w:r>
              <w:rPr>
                <w:rFonts w:ascii="Calibri" w:cs="Calibri" w:eastAsia="Calibri" w:hAnsi="Calibri"/>
                <w:color w:val="3D4A5A"/>
                <w:sz w:val="19"/>
                <w:szCs w:val="19"/>
              </w:rPr>
              <w:t xml:space="preserve">The exception is the one growing term in the category: ISO 42001 at 13,560 searches a month, competition 23.1, and +164% year over year, with every implementation and certification variant sitting under competition 15. That window is open now and is not crowded yet.</w:t>
            </w:r>
          </w:p>
        </w:tc>
      </w:tr>
    </w:tbl>
    <w:p>
      <w:pPr>
        <w:keepNext/>
        <w:spacing w:after="80" w:before="240"/>
      </w:pPr>
      <w:r>
        <w:rPr>
          <w:rFonts w:ascii="Calibri" w:cs="Calibri" w:eastAsia="Calibri" w:hAnsi="Calibri"/>
          <w:b/>
          <w:bCs/>
          <w:color w:val="2F86B3"/>
          <w:sz w:val="24"/>
          <w:szCs w:val="24"/>
        </w:rPr>
        <w:t xml:space="preserve">4 · What is already built</w:t>
      </w:r>
    </w:p>
    <w:p>
      <w:pPr>
        <w:spacing w:after="120" w:before="0" w:line="276"/>
      </w:pPr>
      <w:r>
        <w:rPr>
          <w:rFonts w:ascii="Calibri" w:cs="Calibri" w:eastAsia="Calibri" w:hAnsi="Calibri"/>
          <w:color w:val="3D4A5A"/>
          <w:sz w:val="20"/>
          <w:szCs w:val="20"/>
        </w:rPr>
        <w:t xml:space="preserve">Nine capabilities are complete and documented: the ICP and fit model, claims-substantiation discipline, the visual and verbal identity, usage rules, the messaging framework, competitive battlecards, the discovery script and objection handling. Twelve more are specified but not operating. Thirty-three are gaps, and seven are deliberately skipped — analyst relations, attribution modelling, community building, category design and brand-purpose work are where small teams spend a year and get nothing.</w:t>
      </w:r>
    </w:p>
    <w:p>
      <w:pPr>
        <w:spacing w:after="120" w:before="0" w:line="276"/>
      </w:pPr>
      <w:r>
        <w:rPr>
          <w:rFonts w:ascii="Calibri" w:cs="Calibri" w:eastAsia="Calibri" w:hAnsi="Calibri"/>
          <w:b/>
          <w:bCs/>
          <w:color w:val="14202E"/>
          <w:sz w:val="20"/>
          <w:szCs w:val="20"/>
        </w:rPr>
        <w:t xml:space="preserve">The three gaps that are structural rather than cosmetic: </w:t>
      </w:r>
      <w:r>
        <w:rPr>
          <w:rFonts w:ascii="Calibri" w:cs="Calibri" w:eastAsia="Calibri" w:hAnsi="Calibri"/>
          <w:color w:val="3D4A5A"/>
          <w:sz w:val="20"/>
          <w:szCs w:val="20"/>
        </w:rPr>
        <w:t xml:space="preserve">there is no nurture for the majority of the ICP who are not under a trigger today; there is no narrative pitch deck, so every pitch is rebuilt from memory; and the Snapshot-to-managed-program expansion motion is undefined, which is the difference between a paid assessment practice and a managed services firm with an annuity.</w:t>
      </w:r>
    </w:p>
    <w:p>
      <w:pPr>
        <w:keepNext/>
        <w:spacing w:after="80" w:before="240"/>
      </w:pPr>
      <w:r>
        <w:rPr>
          <w:rFonts w:ascii="Calibri" w:cs="Calibri" w:eastAsia="Calibri" w:hAnsi="Calibri"/>
          <w:b/>
          <w:bCs/>
          <w:color w:val="2F86B3"/>
          <w:sz w:val="24"/>
          <w:szCs w:val="24"/>
        </w:rPr>
        <w:t xml:space="preserve">5 · What needs a human answer</w:t>
      </w:r>
    </w:p>
    <w:tbl>
      <w:tblPr>
        <w:tblW w:type="dxa" w:w="10080"/>
        <w:tblBorders>
          <w:top w:val="single" w:color="D3DCE6" w:sz="2"/>
          <w:left w:val="none"/>
          <w:bottom w:val="single" w:color="D3DCE6" w:sz="2"/>
          <w:right w:val="none"/>
          <w:insideH w:val="single" w:color="D3DCE6" w:sz="2"/>
          <w:insideV w:val="none"/>
        </w:tblBorders>
      </w:tblPr>
      <w:tblGrid>
        <w:gridCol w:w="8266"/>
        <w:gridCol w:w="1814"/>
      </w:tblGrid>
      <w:tr>
        <w:trPr>
          <w:cantSplit/>
          <w:tblHeader/>
        </w:trPr>
        <w:tc>
          <w:tcPr>
            <w:tcW w:type="dxa" w:w="8266"/>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Open item</w:t>
            </w:r>
          </w:p>
        </w:tc>
        <w:tc>
          <w:tcPr>
            <w:tcW w:type="dxa" w:w="1814"/>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jc w:val="center"/>
            </w:pPr>
            <w:r>
              <w:rPr>
                <w:rFonts w:ascii="Calibri" w:cs="Calibri" w:eastAsia="Calibri" w:hAnsi="Calibri"/>
                <w:b/>
                <w:bCs/>
                <w:color w:val="6B7A8C"/>
                <w:sz w:val="16"/>
                <w:szCs w:val="16"/>
              </w:rPr>
              <w:t xml:space="preserve">Type</w:t>
            </w:r>
          </w:p>
        </w:tc>
      </w:tr>
      <w:tr>
        <w:trPr>
          <w:cantSplit/>
        </w:trPr>
        <w:tc>
          <w:tcPr>
            <w:tcW w:type="dxa" w:w="826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A named owner and a date for the website work</w:t>
            </w:r>
          </w:p>
        </w:tc>
        <w:tc>
          <w:tcPr>
            <w:tcW w:type="dxa" w:w="1814"/>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center"/>
            </w:pPr>
            <w:r>
              <w:rPr>
                <w:rFonts w:ascii="Calibri" w:cs="Calibri" w:eastAsia="Calibri" w:hAnsi="Calibri"/>
                <w:b/>
                <w:bCs/>
                <w:color w:val="A4462F"/>
                <w:sz w:val="18"/>
                <w:szCs w:val="18"/>
              </w:rPr>
              <w:t xml:space="preserve">Assign</w:t>
            </w:r>
          </w:p>
        </w:tc>
      </w:tr>
      <w:tr>
        <w:trPr>
          <w:cantSplit/>
        </w:trPr>
        <w:tc>
          <w:tcPr>
            <w:tcW w:type="dxa" w:w="8266"/>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Pricing architecture — it blocks the one-pagers, the pricing page, the proposal template and a keyword target</w:t>
            </w:r>
          </w:p>
        </w:tc>
        <w:tc>
          <w:tcPr>
            <w:tcW w:type="dxa" w:w="1814"/>
            <w:tcBorders>
              <w:top w:val="single" w:color="D3DCE6" w:sz="2"/>
              <w:left w:val="none"/>
              <w:bottom w:val="single" w:color="D3DCE6" w:sz="2"/>
              <w:right w:val="none"/>
            </w:tcBorders>
            <w:tcMar>
              <w:top w:type="dxa" w:w="70"/>
              <w:left w:type="dxa" w:w="100"/>
              <w:bottom w:type="dxa" w:w="70"/>
              <w:right w:type="dxa" w:w="100"/>
            </w:tcMar>
          </w:tcPr>
          <w:p>
            <w:pPr>
              <w:spacing w:after="0" w:before="0" w:line="250"/>
              <w:jc w:val="center"/>
            </w:pPr>
            <w:r>
              <w:rPr>
                <w:rFonts w:ascii="Calibri" w:cs="Calibri" w:eastAsia="Calibri" w:hAnsi="Calibri"/>
                <w:b/>
                <w:bCs/>
                <w:color w:val="A4462F"/>
                <w:sz w:val="18"/>
                <w:szCs w:val="18"/>
              </w:rPr>
              <w:t xml:space="preserve">Decide</w:t>
            </w:r>
          </w:p>
        </w:tc>
      </w:tr>
      <w:tr>
        <w:trPr>
          <w:cantSplit/>
        </w:trPr>
        <w:tc>
          <w:tcPr>
            <w:tcW w:type="dxa" w:w="826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The 3HUE / AiVRIC naming architecture</w:t>
            </w:r>
          </w:p>
        </w:tc>
        <w:tc>
          <w:tcPr>
            <w:tcW w:type="dxa" w:w="1814"/>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center"/>
            </w:pPr>
            <w:r>
              <w:rPr>
                <w:rFonts w:ascii="Calibri" w:cs="Calibri" w:eastAsia="Calibri" w:hAnsi="Calibri"/>
                <w:b/>
                <w:bCs/>
                <w:color w:val="A4462F"/>
                <w:sz w:val="18"/>
                <w:szCs w:val="18"/>
              </w:rPr>
              <w:t xml:space="preserve">Decide</w:t>
            </w:r>
          </w:p>
        </w:tc>
      </w:tr>
      <w:tr>
        <w:trPr>
          <w:cantSplit/>
        </w:trPr>
        <w:tc>
          <w:tcPr>
            <w:tcW w:type="dxa" w:w="8266"/>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Veteran-owned certification status — stated in the 2024 deck, published nowhere, potentially the most under-used asset in the company</w:t>
            </w:r>
          </w:p>
        </w:tc>
        <w:tc>
          <w:tcPr>
            <w:tcW w:type="dxa" w:w="1814"/>
            <w:tcBorders>
              <w:top w:val="single" w:color="D3DCE6" w:sz="2"/>
              <w:left w:val="none"/>
              <w:bottom w:val="single" w:color="D3DCE6" w:sz="2"/>
              <w:right w:val="none"/>
            </w:tcBorders>
            <w:tcMar>
              <w:top w:type="dxa" w:w="70"/>
              <w:left w:type="dxa" w:w="100"/>
              <w:bottom w:type="dxa" w:w="70"/>
              <w:right w:type="dxa" w:w="100"/>
            </w:tcMar>
          </w:tcPr>
          <w:p>
            <w:pPr>
              <w:spacing w:after="0" w:before="0" w:line="250"/>
              <w:jc w:val="center"/>
            </w:pPr>
            <w:r>
              <w:rPr>
                <w:rFonts w:ascii="Calibri" w:cs="Calibri" w:eastAsia="Calibri" w:hAnsi="Calibri"/>
                <w:color w:val="A8781F"/>
                <w:sz w:val="18"/>
                <w:szCs w:val="18"/>
              </w:rPr>
              <w:t xml:space="preserve">Verify</w:t>
            </w:r>
          </w:p>
        </w:tc>
      </w:tr>
      <w:tr>
        <w:trPr>
          <w:cantSplit/>
        </w:trPr>
        <w:tc>
          <w:tcPr>
            <w:tcW w:type="dxa" w:w="826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The founding-year conflict: 2015 on the site and BBB, 2017 on LinkedIn</w:t>
            </w:r>
          </w:p>
        </w:tc>
        <w:tc>
          <w:tcPr>
            <w:tcW w:type="dxa" w:w="1814"/>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center"/>
            </w:pPr>
            <w:r>
              <w:rPr>
                <w:rFonts w:ascii="Calibri" w:cs="Calibri" w:eastAsia="Calibri" w:hAnsi="Calibri"/>
                <w:color w:val="A8781F"/>
                <w:sz w:val="18"/>
                <w:szCs w:val="18"/>
              </w:rPr>
              <w:t xml:space="preserve">Verify</w:t>
            </w:r>
          </w:p>
        </w:tc>
      </w:tr>
      <w:tr>
        <w:trPr>
          <w:cantSplit/>
        </w:trPr>
        <w:tc>
          <w:tcPr>
            <w:tcW w:type="dxa" w:w="8266"/>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Which partner relationships are still live (SentinelOne, Roar, White Dog, HubSpot)</w:t>
            </w:r>
          </w:p>
        </w:tc>
        <w:tc>
          <w:tcPr>
            <w:tcW w:type="dxa" w:w="1814"/>
            <w:tcBorders>
              <w:top w:val="single" w:color="D3DCE6" w:sz="2"/>
              <w:left w:val="none"/>
              <w:bottom w:val="single" w:color="D3DCE6" w:sz="2"/>
              <w:right w:val="none"/>
            </w:tcBorders>
            <w:tcMar>
              <w:top w:type="dxa" w:w="70"/>
              <w:left w:type="dxa" w:w="100"/>
              <w:bottom w:type="dxa" w:w="70"/>
              <w:right w:type="dxa" w:w="100"/>
            </w:tcMar>
          </w:tcPr>
          <w:p>
            <w:pPr>
              <w:spacing w:after="0" w:before="0" w:line="250"/>
              <w:jc w:val="center"/>
            </w:pPr>
            <w:r>
              <w:rPr>
                <w:rFonts w:ascii="Calibri" w:cs="Calibri" w:eastAsia="Calibri" w:hAnsi="Calibri"/>
                <w:color w:val="A8781F"/>
                <w:sz w:val="18"/>
                <w:szCs w:val="18"/>
              </w:rPr>
              <w:t xml:space="preserve">Verify</w:t>
            </w:r>
          </w:p>
        </w:tc>
      </w:tr>
    </w:tbl>
    <w:p>
      <w:pPr>
        <w:spacing w:after="180" w:before="0" w:line="276"/>
      </w:pPr>
      <w:r>
        <w:rPr>
          <w:rFonts w:ascii="Calibri" w:cs="Calibri" w:eastAsia="Calibri" w:hAnsi="Calibri"/>
          <w:color w:val="3D4A5A"/>
          <w:sz w:val="8"/>
          <w:szCs w:val="8"/>
        </w:rPr>
        <w:t xml:space="preserve"/>
      </w:r>
    </w:p>
    <w:p>
      <w:pPr>
        <w:spacing w:after="160" w:before="0" w:line="276"/>
      </w:pPr>
      <w:r>
        <w:rPr>
          <w:rFonts w:ascii="Calibri" w:cs="Calibri" w:eastAsia="Calibri" w:hAnsi="Calibri"/>
          <w:i/>
          <w:iCs/>
          <w:color w:val="6B7A8C"/>
          <w:sz w:val="16"/>
          <w:szCs w:val="16"/>
        </w:rPr>
        <w:t xml:space="preserve">Everything else in this report has been decided under the delegation Andrew has given on marketing direction, and is logged in Part IX rather than escalated.</w:t>
      </w:r>
    </w:p>
    <w:p>
      <w:pPr>
        <w:keepNext/>
        <w:spacing w:after="80" w:before="240"/>
      </w:pPr>
      <w:r>
        <w:rPr>
          <w:rFonts w:ascii="Calibri" w:cs="Calibri" w:eastAsia="Calibri" w:hAnsi="Calibri"/>
          <w:b/>
          <w:bCs/>
          <w:color w:val="2F86B3"/>
          <w:sz w:val="24"/>
          <w:szCs w:val="24"/>
        </w:rPr>
        <w:t xml:space="preserve">How this report is organised</w:t>
      </w:r>
    </w:p>
    <w:tbl>
      <w:tblPr>
        <w:tblW w:type="dxa" w:w="10080"/>
        <w:tblBorders>
          <w:top w:val="single" w:color="D3DCE6" w:sz="2"/>
          <w:left w:val="none"/>
          <w:bottom w:val="single" w:color="D3DCE6" w:sz="2"/>
          <w:right w:val="none"/>
          <w:insideH w:val="single" w:color="D3DCE6" w:sz="2"/>
          <w:insideV w:val="none"/>
        </w:tblBorders>
      </w:tblPr>
      <w:tblGrid>
        <w:gridCol w:w="2621"/>
        <w:gridCol w:w="7459"/>
      </w:tblGrid>
      <w:tr>
        <w:trPr>
          <w:cantSplit/>
          <w:tblHeader/>
        </w:trPr>
        <w:tc>
          <w:tcPr>
            <w:tcW w:type="dxa" w:w="2621"/>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Part</w:t>
            </w:r>
          </w:p>
        </w:tc>
        <w:tc>
          <w:tcPr>
            <w:tcW w:type="dxa" w:w="7459"/>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What is in it</w:t>
            </w:r>
          </w:p>
        </w:tc>
      </w:tr>
      <w:tr>
        <w:trPr>
          <w:cantSplit/>
        </w:trPr>
        <w:tc>
          <w:tcPr>
            <w:tcW w:type="dxa" w:w="262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I · The Research Foundation</w:t>
            </w:r>
          </w:p>
        </w:tc>
        <w:tc>
          <w:tcPr>
            <w:tcW w:type="dxa" w:w="745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The core question and answer, public due diligence on 3HUE and AiVRIC, sixty-plus market statistics with sources, the full social-listening record with verbatim quotes and engagement counts, and the buyer’s own vocabulary.</w:t>
            </w:r>
          </w:p>
        </w:tc>
      </w:tr>
      <w:tr>
        <w:trPr>
          <w:cantSplit/>
        </w:trPr>
        <w:tc>
          <w:tcPr>
            <w:tcW w:type="dxa" w:w="262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II · The Customer</w:t>
            </w:r>
          </w:p>
        </w:tc>
        <w:tc>
          <w:tcPr>
            <w:tcW w:type="dxa" w:w="7459"/>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Three segments, the 100-point fit model, the buying committee, six trigger events with observable signals, and who to decline.</w:t>
            </w:r>
          </w:p>
        </w:tc>
      </w:tr>
      <w:tr>
        <w:trPr>
          <w:cantSplit/>
        </w:trPr>
        <w:tc>
          <w:tcPr>
            <w:tcW w:type="dxa" w:w="262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III · The Message</w:t>
            </w:r>
          </w:p>
        </w:tc>
        <w:tc>
          <w:tcPr>
            <w:tcW w:type="dxa" w:w="745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The five-beat narrative, positioning statement, three pillars, per-segment messaging, the claims library with substantiation status, eight objections, four battlecards, approved vocabulary and boilerplate.</w:t>
            </w:r>
          </w:p>
        </w:tc>
      </w:tr>
      <w:tr>
        <w:trPr>
          <w:cantSplit/>
        </w:trPr>
        <w:tc>
          <w:tcPr>
            <w:tcW w:type="dxa" w:w="262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IV · The Brand</w:t>
            </w:r>
          </w:p>
        </w:tc>
        <w:tc>
          <w:tcPr>
            <w:tcW w:type="dxa" w:w="7459"/>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Logo system, colour with WCAG contrast analysis, typography, interface tokens, usage rules, verbal identity, asset inventory and seven observations requiring a decision.</w:t>
            </w:r>
          </w:p>
        </w:tc>
      </w:tr>
      <w:tr>
        <w:trPr>
          <w:cantSplit/>
        </w:trPr>
        <w:tc>
          <w:tcPr>
            <w:tcW w:type="dxa" w:w="262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V · Demand and Search</w:t>
            </w:r>
          </w:p>
        </w:tc>
        <w:tc>
          <w:tcPr>
            <w:tcW w:type="dxa" w:w="745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The four website faults that block everything, fifteen priority keyword targets, the full SERP map, what not to chase, eight unfilled content gaps, and real YouTube keyword and competitor data.</w:t>
            </w:r>
          </w:p>
        </w:tc>
      </w:tr>
      <w:tr>
        <w:trPr>
          <w:cantSplit/>
        </w:trPr>
        <w:tc>
          <w:tcPr>
            <w:tcW w:type="dxa" w:w="262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VI · The Channel Plan</w:t>
            </w:r>
          </w:p>
        </w:tc>
        <w:tc>
          <w:tcPr>
            <w:tcW w:type="dxa" w:w="7459"/>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Five franchises, a twelve-video launch slate with measured CTR scores, the twelve-week rollout with real dates, the nine-asset content flywheel, the linking map, and honest performance benchmarks.</w:t>
            </w:r>
          </w:p>
        </w:tc>
      </w:tr>
      <w:tr>
        <w:trPr>
          <w:cantSplit/>
        </w:trPr>
        <w:tc>
          <w:tcPr>
            <w:tcW w:type="dxa" w:w="262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VII · Execution</w:t>
            </w:r>
          </w:p>
        </w:tc>
        <w:tc>
          <w:tcPr>
            <w:tcW w:type="dxa" w:w="745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The 90-day ship sequence, the lead magnet, complete landing page copy, six founder posts, a four-touch outreach sequence, the eleven-question discovery script, four offer one-pagers, the case-study rebuild spec, six measures, the 61-capability audit and the marketing library structure.</w:t>
            </w:r>
          </w:p>
        </w:tc>
      </w:tr>
      <w:tr>
        <w:trPr>
          <w:cantSplit/>
        </w:trPr>
        <w:tc>
          <w:tcPr>
            <w:tcW w:type="dxa" w:w="262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VIII · The Inherited Documents</w:t>
            </w:r>
          </w:p>
        </w:tc>
        <w:tc>
          <w:tcPr>
            <w:tcW w:type="dxa" w:w="7459"/>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The 2024 strategy and the 2026–2027 GTM deck reconciled: the standing website diagnosis, six facts only they supplied, seven points of independent convergence, four conflicts resolved, and what carries forward.</w:t>
            </w:r>
          </w:p>
        </w:tc>
      </w:tr>
      <w:tr>
        <w:trPr>
          <w:cantSplit/>
        </w:trPr>
        <w:tc>
          <w:tcPr>
            <w:tcW w:type="dxa" w:w="262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IX · Decisions, Open Items and Sources</w:t>
            </w:r>
          </w:p>
        </w:tc>
        <w:tc>
          <w:tcPr>
            <w:tcW w:type="dxa" w:w="745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Eight decisions logged, seven open items, the consolidated do-not-use register, method and limits, and every source.</w:t>
            </w:r>
          </w:p>
        </w:tc>
      </w:tr>
    </w:tbl>
    <w:p>
      <w:pPr>
        <w:spacing w:after="180" w:before="0" w:line="276"/>
      </w:pPr>
      <w:r>
        <w:rPr>
          <w:rFonts w:ascii="Calibri" w:cs="Calibri" w:eastAsia="Calibri" w:hAnsi="Calibri"/>
          <w:color w:val="3D4A5A"/>
          <w:sz w:val="8"/>
          <w:szCs w:val="8"/>
        </w:rPr>
        <w:t xml:space="preserve"/>
      </w:r>
    </w:p>
    <w:p>
      <w:r>
        <w:br w:type="page"/>
      </w:r>
    </w:p>
    <w:p>
      <w:pPr>
        <w:spacing w:after="40" w:before="200"/>
      </w:pPr>
      <w:r>
        <w:rPr>
          <w:rFonts w:ascii="Calibri" w:cs="Calibri" w:eastAsia="Calibri" w:hAnsi="Calibri"/>
          <w:b/>
          <w:bCs/>
          <w:color w:val="44A8D9"/>
          <w:sz w:val="18"/>
          <w:szCs w:val="18"/>
        </w:rPr>
        <w:t xml:space="preserve">PART I</w:t>
      </w:r>
    </w:p>
    <w:p>
      <w:pPr>
        <w:pStyle w:val="Heading1"/>
        <w:spacing w:after="120" w:before="0"/>
      </w:pPr>
      <w:r>
        <w:rPr>
          <w:rFonts w:ascii="Calibri" w:cs="Calibri" w:eastAsia="Calibri" w:hAnsi="Calibri"/>
          <w:b/>
          <w:bCs/>
          <w:color w:val="14202E"/>
          <w:sz w:val="40"/>
          <w:szCs w:val="40"/>
        </w:rPr>
        <w:t xml:space="preserve">The Research Foundation</w:t>
      </w:r>
    </w:p>
    <w:p>
      <w:pPr>
        <w:spacing w:after="200" w:before="0" w:line="276"/>
      </w:pPr>
      <w:r>
        <w:rPr>
          <w:rFonts w:ascii="Calibri" w:cs="Calibri" w:eastAsia="Calibri" w:hAnsi="Calibri"/>
          <w:color w:val="3D4A5A"/>
          <w:sz w:val="21"/>
          <w:szCs w:val="21"/>
        </w:rPr>
        <w:t xml:space="preserve">Why organizations from small business to enterprise are not maturing against NIST, ISO, SOC 2, ITIL and COBIT even though the playbooks are public and free — and what that means for how 3HUE sells.</w:t>
      </w:r>
    </w:p>
    <w:p>
      <w:pPr>
        <w:pBdr>
          <w:bottom w:val="single" w:color="D3DCE6" w:sz="6" w:space="1"/>
        </w:pBdr>
        <w:spacing w:after="160" w:before="0"/>
      </w:pPr>
      <w:r>
        <w:rPr>
          <w:rFonts w:ascii="Calibri" w:cs="Calibri" w:eastAsia="Calibri" w:hAnsi="Calibri"/>
          <w:color w:val="3D4A5A"/>
          <w:sz w:val="2"/>
          <w:szCs w:val="2"/>
        </w:rPr>
        <w:t xml:space="preserve"/>
      </w:r>
    </w:p>
    <w:p>
      <w:pPr>
        <w:pStyle w:val="Heading2"/>
        <w:keepNext/>
        <w:spacing w:after="40" w:before="340"/>
      </w:pPr>
      <w:r>
        <w:rPr>
          <w:rFonts w:ascii="Calibri" w:cs="Calibri" w:eastAsia="Calibri" w:hAnsi="Calibri"/>
          <w:b/>
          <w:bCs/>
          <w:color w:val="2F86B3"/>
          <w:sz w:val="28"/>
          <w:szCs w:val="28"/>
        </w:rPr>
        <w:t xml:space="preserve">1. The question, and the answer</w:t>
      </w:r>
    </w:p>
    <w:p>
      <w:pPr>
        <w:keepNext/>
        <w:spacing w:after="140" w:before="0" w:line="276"/>
      </w:pPr>
      <w:r>
        <w:rPr>
          <w:rFonts w:ascii="Calibri" w:cs="Calibri" w:eastAsia="Calibri" w:hAnsi="Calibri"/>
          <w:i/>
          <w:iCs/>
          <w:color w:val="6B7A8C"/>
          <w:sz w:val="19"/>
          <w:szCs w:val="19"/>
        </w:rPr>
        <w:t xml:space="preserve">The brief that started this work, and the finding that came back.</w:t>
      </w:r>
    </w:p>
    <w:p>
      <w:pPr>
        <w:spacing w:after="120" w:before="0" w:line="276"/>
      </w:pPr>
      <w:r>
        <w:rPr>
          <w:rFonts w:ascii="Calibri" w:cs="Calibri" w:eastAsia="Calibri" w:hAnsi="Calibri"/>
          <w:b/>
          <w:bCs/>
          <w:color w:val="14202E"/>
          <w:sz w:val="20"/>
          <w:szCs w:val="20"/>
        </w:rPr>
        <w:t xml:space="preserve">The question as posed: </w:t>
      </w:r>
      <w:r>
        <w:rPr>
          <w:rFonts w:ascii="Calibri" w:cs="Calibri" w:eastAsia="Calibri" w:hAnsi="Calibri"/>
          <w:color w:val="3D4A5A"/>
          <w:sz w:val="20"/>
          <w:szCs w:val="20"/>
        </w:rPr>
        <w:t xml:space="preserve">if 3HUE anchors to best practices — NIST, ISO, TOGAF, ITIL, COBIT, ISACA — why are more organizations, from small business to enterprise, not trying to get more mature?</w:t>
      </w:r>
    </w:p>
    <w:p>
      <w:pPr>
        <w:spacing w:after="120" w:before="0" w:line="276"/>
      </w:pPr>
      <w:r>
        <w:rPr>
          <w:rFonts w:ascii="Calibri" w:cs="Calibri" w:eastAsia="Calibri" w:hAnsi="Calibri"/>
          <w:color w:val="3D4A5A"/>
          <w:sz w:val="20"/>
          <w:szCs w:val="20"/>
        </w:rPr>
        <w:t xml:space="preserve">The evidence points to a consistent answer across surveys, forum threads and executive posts. Almost nobody argues against the frameworks. Organizations stall for three reasons that have nothing to do with whether the framework is any good.</w:t>
      </w:r>
    </w:p>
    <w:tbl>
      <w:tblPr>
        <w:tblW w:type="dxa" w:w="10080"/>
        <w:tblBorders>
          <w:top w:val="none"/>
          <w:left w:val="single" w:color="2F86B3" w:sz="18"/>
          <w:bottom w:val="none"/>
          <w:right w:val="none"/>
          <w:insideH w:val="none"/>
          <w:insideV w:val="none"/>
        </w:tblBorders>
      </w:tblPr>
      <w:tblGrid>
        <w:gridCol w:w="10080"/>
      </w:tblGrid>
      <w:tr>
        <w:trPr>
          <w:cantSplit/>
        </w:trPr>
        <w:tc>
          <w:tcPr>
            <w:tcW w:type="dxa" w:w="10080"/>
            <w:tcBorders>
              <w:top w:val="none"/>
              <w:left w:val="none"/>
              <w:bottom w:val="none"/>
              <w:right w:val="none"/>
            </w:tcBorders>
            <w:shd w:fill="EEF4F9" w:color="auto" w:val="clear"/>
            <w:tcMar>
              <w:top w:type="dxa" w:w="130"/>
              <w:left w:type="dxa" w:w="180"/>
              <w:bottom w:type="dxa" w:w="130"/>
              <w:right w:type="dxa" w:w="160"/>
            </w:tcMar>
          </w:tcPr>
          <w:p>
            <w:pPr>
              <w:keepNext/>
              <w:spacing w:after="60" w:before="0" w:line="260"/>
            </w:pPr>
            <w:r>
              <w:rPr>
                <w:rFonts w:ascii="Calibri" w:cs="Calibri" w:eastAsia="Calibri" w:hAnsi="Calibri"/>
                <w:b/>
                <w:bCs/>
                <w:color w:val="2F86B3"/>
                <w:sz w:val="19"/>
                <w:szCs w:val="19"/>
              </w:rPr>
              <w:t xml:space="preserve">The short answer</w:t>
            </w:r>
          </w:p>
          <w:p>
            <w:pPr>
              <w:spacing w:after="40" w:before="0" w:line="265"/>
            </w:pPr>
            <w:r>
              <w:rPr>
                <w:rFonts w:ascii="Calibri" w:cs="Calibri" w:eastAsia="Calibri" w:hAnsi="Calibri"/>
                <w:color w:val="3D4A5A"/>
                <w:sz w:val="19"/>
                <w:szCs w:val="19"/>
              </w:rPr>
              <w:t xml:space="preserve">They stall because there is no one to run the program. They stall because nothing forces a decision until a customer, insurer, investor or regulator makes one. And the organizations that do act usually stop at the certificate and mistake the paperwork for the program.</w:t>
            </w:r>
          </w:p>
          <w:p>
            <w:pPr>
              <w:spacing w:after="40" w:before="0" w:line="265"/>
            </w:pPr>
            <w:r>
              <w:rPr>
                <w:rFonts w:ascii="Calibri" w:cs="Calibri" w:eastAsia="Calibri" w:hAnsi="Calibri"/>
                <w:color w:val="3D4A5A"/>
                <w:sz w:val="19"/>
                <w:szCs w:val="19"/>
              </w:rPr>
              <w:t xml:space="preserve">The frameworks are not the problem. Capacity, timing and paper maturity are.</w:t>
            </w:r>
          </w:p>
        </w:tc>
      </w:tr>
    </w:tbl>
    <w:p>
      <w:pPr>
        <w:pStyle w:val="Heading3"/>
        <w:keepNext/>
        <w:spacing w:after="80" w:before="240"/>
      </w:pPr>
      <w:r>
        <w:rPr>
          <w:rFonts w:ascii="Calibri" w:cs="Calibri" w:eastAsia="Calibri" w:hAnsi="Calibri"/>
          <w:b/>
          <w:bCs/>
          <w:color w:val="14202E"/>
          <w:sz w:val="22"/>
          <w:szCs w:val="22"/>
        </w:rPr>
        <w:t xml:space="preserve">1.1  There is nobody to do the work</w:t>
      </w:r>
    </w:p>
    <w:p>
      <w:pPr>
        <w:spacing w:after="120" w:before="0" w:line="276"/>
      </w:pPr>
      <w:r>
        <w:rPr>
          <w:rFonts w:ascii="Calibri" w:cs="Calibri" w:eastAsia="Calibri" w:hAnsi="Calibri"/>
          <w:color w:val="3D4A5A"/>
          <w:sz w:val="20"/>
          <w:szCs w:val="20"/>
        </w:rPr>
        <w:t xml:space="preserve">93% of organizations call cybersecurity a top priority, yet 68% have one or fewer full-time security people and roughly a third have none. 55% of security teams are understaffed and 65% have open roles. Roughly 35,000 CISOs exist for approximately 359 million businesses. A framework is a job description with no one to fill it.</w:t>
      </w:r>
    </w:p>
    <w:p>
      <w:pPr>
        <w:spacing w:after="160" w:before="0" w:line="276"/>
      </w:pPr>
      <w:r>
        <w:rPr>
          <w:rFonts w:ascii="Calibri" w:cs="Calibri" w:eastAsia="Calibri" w:hAnsi="Calibri"/>
          <w:b/>
          <w:bCs/>
          <w:color w:val="6B7A8C"/>
          <w:sz w:val="16"/>
          <w:szCs w:val="16"/>
        </w:rPr>
        <w:t xml:space="preserve">Source: </w:t>
      </w:r>
      <w:r>
        <w:rPr>
          <w:rFonts w:ascii="Calibri" w:cs="Calibri" w:eastAsia="Calibri" w:hAnsi="Calibri"/>
          <w:color w:val="6B7A8C"/>
          <w:sz w:val="16"/>
          <w:szCs w:val="16"/>
        </w:rPr>
        <w:t xml:space="preserve">Secureframe 2026 Benchmark · ISACA State of Cybersecurity 2025 · Cybersecurity Ventures with Sophos, 2026 CISO Report</w:t>
      </w:r>
    </w:p>
    <w:p>
      <w:pPr>
        <w:pStyle w:val="Heading3"/>
        <w:keepNext/>
        <w:spacing w:after="80" w:before="240"/>
      </w:pPr>
      <w:r>
        <w:rPr>
          <w:rFonts w:ascii="Calibri" w:cs="Calibri" w:eastAsia="Calibri" w:hAnsi="Calibri"/>
          <w:b/>
          <w:bCs/>
          <w:color w:val="14202E"/>
          <w:sz w:val="22"/>
          <w:szCs w:val="22"/>
        </w:rPr>
        <w:t xml:space="preserve">1.2  Maturity is bought at the trigger, not on principle</w:t>
      </w:r>
    </w:p>
    <w:p>
      <w:pPr>
        <w:spacing w:after="120" w:before="0" w:line="276"/>
      </w:pPr>
      <w:r>
        <w:rPr>
          <w:rFonts w:ascii="Calibri" w:cs="Calibri" w:eastAsia="Calibri" w:hAnsi="Calibri"/>
          <w:color w:val="3D4A5A"/>
          <w:sz w:val="20"/>
          <w:szCs w:val="20"/>
        </w:rPr>
        <w:t xml:space="preserve">61% of organizations were required to hold a certification to win or renew a contract; 47% had sales cycles delayed and 38% lost revenue for lacking one. The forum consensus is blunt: “The very first customer required us to get it before we could go live.” Insurers, private-equity diligence and regulators are the other three forcing functions. Absent a trigger, the budget goes elsewhere.</w:t>
      </w:r>
    </w:p>
    <w:p>
      <w:pPr>
        <w:spacing w:after="160" w:before="0" w:line="276"/>
      </w:pPr>
      <w:r>
        <w:rPr>
          <w:rFonts w:ascii="Calibri" w:cs="Calibri" w:eastAsia="Calibri" w:hAnsi="Calibri"/>
          <w:b/>
          <w:bCs/>
          <w:color w:val="6B7A8C"/>
          <w:sz w:val="16"/>
          <w:szCs w:val="16"/>
        </w:rPr>
        <w:t xml:space="preserve">Source: </w:t>
      </w:r>
      <w:r>
        <w:rPr>
          <w:rFonts w:ascii="Calibri" w:cs="Calibri" w:eastAsia="Calibri" w:hAnsi="Calibri"/>
          <w:color w:val="6B7A8C"/>
          <w:sz w:val="16"/>
          <w:szCs w:val="16"/>
        </w:rPr>
        <w:t xml:space="preserve">Secureframe 2026 · Hacker News ISO 27001 thread (125 points) · Kroll PE survey 2026</w:t>
      </w:r>
    </w:p>
    <w:p>
      <w:pPr>
        <w:pStyle w:val="Heading3"/>
        <w:keepNext/>
        <w:spacing w:after="80" w:before="240"/>
      </w:pPr>
      <w:r>
        <w:rPr>
          <w:rFonts w:ascii="Calibri" w:cs="Calibri" w:eastAsia="Calibri" w:hAnsi="Calibri"/>
          <w:b/>
          <w:bCs/>
          <w:color w:val="14202E"/>
          <w:sz w:val="22"/>
          <w:szCs w:val="22"/>
        </w:rPr>
        <w:t xml:space="preserve">1.3  The market has learned that the certificate is not the program</w:t>
      </w:r>
    </w:p>
    <w:p>
      <w:pPr>
        <w:spacing w:after="120" w:before="0" w:line="276"/>
      </w:pPr>
      <w:r>
        <w:rPr>
          <w:rFonts w:ascii="Calibri" w:cs="Calibri" w:eastAsia="Calibri" w:hAnsi="Calibri"/>
          <w:color w:val="3D4A5A"/>
          <w:sz w:val="20"/>
          <w:szCs w:val="20"/>
        </w:rPr>
        <w:t xml:space="preserve">“SOC 2 has devolved from a meaningful security framework into an expensive checkbox exercise” drew 164 reactions and 31 comments on LinkedIn. 72% of organizations still rely on periodic assessments; 78% of those who failed a recent audit had prior breaches. The Delve episode of March 2026 — a funded compliance startup accused of mass-producing near-identical SOC 2 reports, with 5.6 million views on X — made “compliance theater” a mainstream punchline. Buyers now discount paper and want proof that controls operate.</w:t>
      </w:r>
    </w:p>
    <w:p>
      <w:pPr>
        <w:spacing w:after="160" w:before="0" w:line="276"/>
      </w:pPr>
      <w:r>
        <w:rPr>
          <w:rFonts w:ascii="Calibri" w:cs="Calibri" w:eastAsia="Calibri" w:hAnsi="Calibri"/>
          <w:b/>
          <w:bCs/>
          <w:color w:val="6B7A8C"/>
          <w:sz w:val="16"/>
          <w:szCs w:val="16"/>
        </w:rPr>
        <w:t xml:space="preserve">Source: </w:t>
      </w:r>
      <w:r>
        <w:rPr>
          <w:rFonts w:ascii="Calibri" w:cs="Calibri" w:eastAsia="Calibri" w:hAnsi="Calibri"/>
          <w:color w:val="6B7A8C"/>
          <w:sz w:val="16"/>
          <w:szCs w:val="16"/>
        </w:rPr>
        <w:t xml:space="preserve">Maya Kaczorowski on LinkedIn · 2026 State of CCM Report · Thales 2025 Data Threat Report · X, @ohryansbelt</w:t>
      </w:r>
    </w:p>
    <w:p>
      <w:pPr>
        <w:pStyle w:val="Heading3"/>
        <w:keepNext/>
        <w:spacing w:after="80" w:before="240"/>
      </w:pPr>
      <w:r>
        <w:rPr>
          <w:rFonts w:ascii="Calibri" w:cs="Calibri" w:eastAsia="Calibri" w:hAnsi="Calibri"/>
          <w:b/>
          <w:bCs/>
          <w:color w:val="14202E"/>
          <w:sz w:val="22"/>
          <w:szCs w:val="22"/>
        </w:rPr>
        <w:t xml:space="preserve">1.4  Tools are deployed; controls are not operated</w:t>
      </w:r>
    </w:p>
    <w:p>
      <w:pPr>
        <w:spacing w:after="120" w:before="0" w:line="276"/>
      </w:pPr>
      <w:r>
        <w:rPr>
          <w:rFonts w:ascii="Calibri" w:cs="Calibri" w:eastAsia="Calibri" w:hAnsi="Calibri"/>
          <w:color w:val="3D4A5A"/>
          <w:sz w:val="20"/>
          <w:szCs w:val="20"/>
        </w:rPr>
        <w:t xml:space="preserve">86.8% of small businesses have MFA but only 51.1% require it on all key accounts; 88.4% have backups but only 61.4% have tested them. Organizations run an average of 83 security tools from 29 vendors. As one founder put it, most compliance tools “just hand you a longer to-do list.” Governance that is not operated collapses when a regulator, an incident or a leadership change arrives.</w:t>
      </w:r>
    </w:p>
    <w:p>
      <w:pPr>
        <w:spacing w:after="160" w:before="0" w:line="276"/>
      </w:pPr>
      <w:r>
        <w:rPr>
          <w:rFonts w:ascii="Calibri" w:cs="Calibri" w:eastAsia="Calibri" w:hAnsi="Calibri"/>
          <w:b/>
          <w:bCs/>
          <w:color w:val="6B7A8C"/>
          <w:sz w:val="16"/>
          <w:szCs w:val="16"/>
        </w:rPr>
        <w:t xml:space="preserve">Source: </w:t>
      </w:r>
      <w:r>
        <w:rPr>
          <w:rFonts w:ascii="Calibri" w:cs="Calibri" w:eastAsia="Calibri" w:hAnsi="Calibri"/>
          <w:color w:val="6B7A8C"/>
          <w:sz w:val="16"/>
          <w:szCs w:val="16"/>
        </w:rPr>
        <w:t xml:space="preserve">NCA with CISA 2026 Small Business Survey · IBM IBV with Palo Alto Networks 2025</w:t>
      </w:r>
    </w:p>
    <w:p>
      <w:pPr>
        <w:pStyle w:val="Heading3"/>
        <w:keepNext/>
        <w:spacing w:after="80" w:before="240"/>
      </w:pPr>
      <w:r>
        <w:rPr>
          <w:rFonts w:ascii="Calibri" w:cs="Calibri" w:eastAsia="Calibri" w:hAnsi="Calibri"/>
          <w:b/>
          <w:bCs/>
          <w:color w:val="14202E"/>
          <w:sz w:val="22"/>
          <w:szCs w:val="22"/>
        </w:rPr>
        <w:t xml:space="preserve">1.5  Leadership cannot translate risk into budget</w:t>
      </w:r>
    </w:p>
    <w:p>
      <w:pPr>
        <w:spacing w:after="120" w:before="0" w:line="276"/>
      </w:pPr>
      <w:r>
        <w:rPr>
          <w:rFonts w:ascii="Calibri" w:cs="Calibri" w:eastAsia="Calibri" w:hAnsi="Calibri"/>
          <w:color w:val="3D4A5A"/>
          <w:sz w:val="20"/>
          <w:szCs w:val="20"/>
        </w:rPr>
        <w:t xml:space="preserve">Fewer than 15% of 1,000 US public companies disclose a board member with cyber experience; CISOs estimate 40% of their peers filter what they report upward. “Management underestimates security risks” is a named barrier for 31% of security leaders. The most-engaged vCISO post found anywhere — 3,422 reactions and 377 comments — is about exactly this: the CISO’s inability to speak business risk to a CEO. The most-upvoted practitioner thread on Reddit, at 667 points, says the same thing from the other side: nobody outside security knows what “Level 3 maturity” means, and clients respond to money, not maturity scores.</w:t>
      </w:r>
    </w:p>
    <w:p>
      <w:pPr>
        <w:spacing w:after="160" w:before="0" w:line="276"/>
      </w:pPr>
      <w:r>
        <w:rPr>
          <w:rFonts w:ascii="Calibri" w:cs="Calibri" w:eastAsia="Calibri" w:hAnsi="Calibri"/>
          <w:b/>
          <w:bCs/>
          <w:color w:val="6B7A8C"/>
          <w:sz w:val="16"/>
          <w:szCs w:val="16"/>
        </w:rPr>
        <w:t xml:space="preserve">Source: </w:t>
      </w:r>
      <w:r>
        <w:rPr>
          <w:rFonts w:ascii="Calibri" w:cs="Calibri" w:eastAsia="Calibri" w:hAnsi="Calibri"/>
          <w:color w:val="6B7A8C"/>
          <w:sz w:val="16"/>
          <w:szCs w:val="16"/>
        </w:rPr>
        <w:t xml:space="preserve">Lowry, Vance &amp; Vance (Management Science) via Columbia Law · Fortra 2025 · Rob Black on LinkedIn · r/cybersecurity</w:t>
      </w:r>
    </w:p>
    <w:p>
      <w:pPr>
        <w:pStyle w:val="Heading3"/>
        <w:keepNext/>
        <w:spacing w:after="80" w:before="240"/>
      </w:pPr>
      <w:r>
        <w:rPr>
          <w:rFonts w:ascii="Calibri" w:cs="Calibri" w:eastAsia="Calibri" w:hAnsi="Calibri"/>
          <w:b/>
          <w:bCs/>
          <w:color w:val="14202E"/>
          <w:sz w:val="22"/>
          <w:szCs w:val="22"/>
        </w:rPr>
        <w:t xml:space="preserve">1.6  Framework overlap has become its own fatigue</w:t>
      </w:r>
    </w:p>
    <w:p>
      <w:pPr>
        <w:spacing w:after="120" w:before="0" w:line="276"/>
      </w:pPr>
      <w:r>
        <w:rPr>
          <w:rFonts w:ascii="Calibri" w:cs="Calibri" w:eastAsia="Calibri" w:hAnsi="Calibri"/>
          <w:color w:val="3D4A5A"/>
          <w:sz w:val="20"/>
          <w:szCs w:val="20"/>
        </w:rPr>
        <w:t xml:space="preserve">Companies manage an average of eight frameworks; 52% feel overwhelmed just identifying which apply; 25% name “managing multiple audits” their single greatest compliance challenge; 85% have delayed or dropped GRC activities for lack of resources. In small and mid-size discourse, ITIL, COBIT and TOGAF are effectively absent — the working vocabulary is SOC 2, NIST CSF, ISO 27001 and, increasingly, AI governance.</w:t>
      </w:r>
    </w:p>
    <w:p>
      <w:pPr>
        <w:spacing w:after="160" w:before="0" w:line="276"/>
      </w:pPr>
      <w:r>
        <w:rPr>
          <w:rFonts w:ascii="Calibri" w:cs="Calibri" w:eastAsia="Calibri" w:hAnsi="Calibri"/>
          <w:b/>
          <w:bCs/>
          <w:color w:val="6B7A8C"/>
          <w:sz w:val="16"/>
          <w:szCs w:val="16"/>
        </w:rPr>
        <w:t xml:space="preserve">Source: </w:t>
      </w:r>
      <w:r>
        <w:rPr>
          <w:rFonts w:ascii="Calibri" w:cs="Calibri" w:eastAsia="Calibri" w:hAnsi="Calibri"/>
          <w:color w:val="6B7A8C"/>
          <w:sz w:val="16"/>
          <w:szCs w:val="16"/>
        </w:rPr>
        <w:t xml:space="preserve">Drata State of GRC 2025 · A-LIGN 2026 Benchmark · 2026 State of CCM</w:t>
      </w:r>
    </w:p>
    <w:p>
      <w:pPr>
        <w:pStyle w:val="Heading3"/>
        <w:keepNext/>
        <w:spacing w:after="80" w:before="240"/>
      </w:pPr>
      <w:r>
        <w:rPr>
          <w:rFonts w:ascii="Calibri" w:cs="Calibri" w:eastAsia="Calibri" w:hAnsi="Calibri"/>
          <w:b/>
          <w:bCs/>
          <w:color w:val="14202E"/>
          <w:sz w:val="22"/>
          <w:szCs w:val="22"/>
        </w:rPr>
        <w:t xml:space="preserve">1.7  The confidence paradox keeps small firms from starting</w:t>
      </w:r>
    </w:p>
    <w:p>
      <w:pPr>
        <w:spacing w:after="120" w:before="0" w:line="276"/>
      </w:pPr>
      <w:r>
        <w:rPr>
          <w:rFonts w:ascii="Calibri" w:cs="Calibri" w:eastAsia="Calibri" w:hAnsi="Calibri"/>
          <w:color w:val="3D4A5A"/>
          <w:sz w:val="20"/>
          <w:szCs w:val="20"/>
        </w:rPr>
        <w:t xml:space="preserve">86.3% of SMB leaders rate their confidence in managing cyber risk medium-to-very-high, while 56.1% cannot confirm a clean twelve-month security record. 35% of small organizations now admit their resilience is inadequate — a sevenfold rise since 2022 — and nearly three-quarters of global cyber leaders concluded that small organizations can no longer adequately secure themselves.</w:t>
      </w:r>
    </w:p>
    <w:p>
      <w:pPr>
        <w:spacing w:after="160" w:before="0" w:line="276"/>
      </w:pPr>
      <w:r>
        <w:rPr>
          <w:rFonts w:ascii="Calibri" w:cs="Calibri" w:eastAsia="Calibri" w:hAnsi="Calibri"/>
          <w:b/>
          <w:bCs/>
          <w:color w:val="6B7A8C"/>
          <w:sz w:val="16"/>
          <w:szCs w:val="16"/>
        </w:rPr>
        <w:t xml:space="preserve">Source: </w:t>
      </w:r>
      <w:r>
        <w:rPr>
          <w:rFonts w:ascii="Calibri" w:cs="Calibri" w:eastAsia="Calibri" w:hAnsi="Calibri"/>
          <w:color w:val="6B7A8C"/>
          <w:sz w:val="16"/>
          <w:szCs w:val="16"/>
        </w:rPr>
        <w:t xml:space="preserve">NCA with CISA 2026 · World Economic Forum, Global Cybersecurity Outlook 2025</w:t>
      </w:r>
    </w:p>
    <w:tbl>
      <w:tblPr>
        <w:tblW w:type="dxa" w:w="10080"/>
        <w:tblBorders>
          <w:top w:val="none"/>
          <w:left w:val="single" w:color="2F86B3" w:sz="18"/>
          <w:bottom w:val="none"/>
          <w:right w:val="none"/>
          <w:insideH w:val="none"/>
          <w:insideV w:val="none"/>
        </w:tblBorders>
      </w:tblPr>
      <w:tblGrid>
        <w:gridCol w:w="10080"/>
      </w:tblGrid>
      <w:tr>
        <w:trPr>
          <w:cantSplit/>
        </w:trPr>
        <w:tc>
          <w:tcPr>
            <w:tcW w:type="dxa" w:w="10080"/>
            <w:tcBorders>
              <w:top w:val="none"/>
              <w:left w:val="none"/>
              <w:bottom w:val="none"/>
              <w:right w:val="none"/>
            </w:tcBorders>
            <w:shd w:fill="EEF4F9" w:color="auto" w:val="clear"/>
            <w:tcMar>
              <w:top w:type="dxa" w:w="130"/>
              <w:left w:type="dxa" w:w="180"/>
              <w:bottom w:type="dxa" w:w="130"/>
              <w:right w:type="dxa" w:w="160"/>
            </w:tcMar>
          </w:tcPr>
          <w:p>
            <w:pPr>
              <w:keepNext/>
              <w:spacing w:after="60" w:before="0" w:line="260"/>
            </w:pPr>
            <w:r>
              <w:rPr>
                <w:rFonts w:ascii="Calibri" w:cs="Calibri" w:eastAsia="Calibri" w:hAnsi="Calibri"/>
                <w:b/>
                <w:bCs/>
                <w:color w:val="2F86B3"/>
                <w:sz w:val="19"/>
                <w:szCs w:val="19"/>
              </w:rPr>
              <w:t xml:space="preserve">What this means for the marketing problem</w:t>
            </w:r>
          </w:p>
          <w:p>
            <w:pPr>
              <w:spacing w:after="40" w:before="0" w:line="265"/>
            </w:pPr>
            <w:r>
              <w:rPr>
                <w:rFonts w:ascii="Calibri" w:cs="Calibri" w:eastAsia="Calibri" w:hAnsi="Calibri"/>
                <w:color w:val="3D4A5A"/>
                <w:sz w:val="19"/>
                <w:szCs w:val="19"/>
              </w:rPr>
              <w:t xml:space="preserve">3HUE is not fighting disbelief in frameworks. It is fighting timing and language.</w:t>
            </w:r>
          </w:p>
          <w:p>
            <w:pPr>
              <w:spacing w:after="40" w:before="0" w:line="265"/>
            </w:pPr>
            <w:r>
              <w:rPr>
                <w:rFonts w:ascii="Calibri" w:cs="Calibri" w:eastAsia="Calibri" w:hAnsi="Calibri"/>
                <w:color w:val="3D4A5A"/>
                <w:sz w:val="19"/>
                <w:szCs w:val="19"/>
              </w:rPr>
              <w:t xml:space="preserve">The buyers who convert are the ones under a live trigger. They search and speak in outcome terms — “we need a SOC 2 to close the deal,” “will our cyber policy pay out,” “who owns AI risk” — and they are skeptical of anyone selling a certificate. That favours a founder-delivered, operated program with continuous evidence, which is what 3HUE and AiVRIC already are. The work is to say so in the buyer’s words, at the buyer’s moment, in the channel where the buyer is.</w:t>
            </w:r>
          </w:p>
        </w:tc>
      </w:tr>
    </w:tbl>
    <w:p>
      <w:pPr>
        <w:pStyle w:val="Heading2"/>
        <w:keepNext/>
        <w:spacing w:after="40" w:before="340"/>
      </w:pPr>
      <w:r>
        <w:rPr>
          <w:rFonts w:ascii="Calibri" w:cs="Calibri" w:eastAsia="Calibri" w:hAnsi="Calibri"/>
          <w:b/>
          <w:bCs/>
          <w:color w:val="2F86B3"/>
          <w:sz w:val="28"/>
          <w:szCs w:val="28"/>
        </w:rPr>
        <w:t xml:space="preserve">2. 3HUE and AiVRIC as the public sees them</w:t>
      </w:r>
    </w:p>
    <w:p>
      <w:pPr>
        <w:keepNext/>
        <w:spacing w:after="140" w:before="0" w:line="276"/>
      </w:pPr>
      <w:r>
        <w:rPr>
          <w:rFonts w:ascii="Calibri" w:cs="Calibri" w:eastAsia="Calibri" w:hAnsi="Calibri"/>
          <w:i/>
          <w:iCs/>
          <w:color w:val="6B7A8C"/>
          <w:sz w:val="19"/>
          <w:szCs w:val="19"/>
        </w:rPr>
        <w:t xml:space="preserve">Public-source due diligence, verified September 2026.</w:t>
      </w:r>
    </w:p>
    <w:p>
      <w:pPr>
        <w:pStyle w:val="Heading3"/>
        <w:keepNext/>
        <w:spacing w:after="80" w:before="240"/>
      </w:pPr>
      <w:r>
        <w:rPr>
          <w:rFonts w:ascii="Calibri" w:cs="Calibri" w:eastAsia="Calibri" w:hAnsi="Calibri"/>
          <w:b/>
          <w:bCs/>
          <w:color w:val="14202E"/>
          <w:sz w:val="22"/>
          <w:szCs w:val="22"/>
        </w:rPr>
        <w:t xml:space="preserve">2.1  3HUE Executive Consulting LLC</w:t>
      </w:r>
    </w:p>
    <w:tbl>
      <w:tblPr>
        <w:tblW w:type="dxa" w:w="10080"/>
        <w:tblBorders>
          <w:top w:val="single" w:color="D3DCE6" w:sz="2"/>
          <w:left w:val="none"/>
          <w:bottom w:val="single" w:color="D3DCE6" w:sz="2"/>
          <w:right w:val="none"/>
          <w:insideH w:val="single" w:color="D3DCE6" w:sz="2"/>
          <w:insideV w:val="none"/>
        </w:tblBorders>
      </w:tblPr>
      <w:tblGrid>
        <w:gridCol w:w="1613"/>
        <w:gridCol w:w="8467"/>
      </w:tblGrid>
      <w:tr>
        <w:trPr>
          <w:cantSplit/>
          <w:tblHeader/>
        </w:trPr>
        <w:tc>
          <w:tcPr>
            <w:tcW w:type="dxa" w:w="1613"/>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
            </w:r>
          </w:p>
        </w:tc>
        <w:tc>
          <w:tcPr>
            <w:tcW w:type="dxa" w:w="8467"/>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Verified position</w:t>
            </w:r>
          </w:p>
        </w:tc>
      </w:tr>
      <w:tr>
        <w:trPr>
          <w:cantSplit/>
        </w:trPr>
        <w:tc>
          <w:tcPr>
            <w:tcW w:type="dxa" w:w="1613"/>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Founded</w:t>
            </w:r>
          </w:p>
        </w:tc>
        <w:tc>
          <w:tcPr>
            <w:tcW w:type="dxa" w:w="8467"/>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Incorporated 27 July 2015 per BBB. Eleven years in business.</w:t>
            </w:r>
          </w:p>
        </w:tc>
      </w:tr>
      <w:tr>
        <w:trPr>
          <w:cantSplit/>
        </w:trPr>
        <w:tc>
          <w:tcPr>
            <w:tcW w:type="dxa" w:w="1613"/>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Founder</w:t>
            </w:r>
          </w:p>
        </w:tc>
        <w:tc>
          <w:tcPr>
            <w:tcW w:type="dxa" w:w="8467"/>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Andrew Ramirez, Founder &amp; CEO. US Army veteran (3rd/187th Infantry). Miami–Fort Lauderdale area.</w:t>
            </w:r>
          </w:p>
        </w:tc>
      </w:tr>
      <w:tr>
        <w:trPr>
          <w:cantSplit/>
        </w:trPr>
        <w:tc>
          <w:tcPr>
            <w:tcW w:type="dxa" w:w="1613"/>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Standing</w:t>
            </w:r>
          </w:p>
        </w:tc>
        <w:tc>
          <w:tcPr>
            <w:tcW w:type="dxa" w:w="8467"/>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BBB Accredited since 28 August 2025, A+ rating. Crunchbase lists 1–10 employees and no outside funding. LinkedIn page lists 11–50 employees, 577 followers.</w:t>
            </w:r>
          </w:p>
        </w:tc>
      </w:tr>
      <w:tr>
        <w:trPr>
          <w:cantSplit/>
        </w:trPr>
        <w:tc>
          <w:tcPr>
            <w:tcW w:type="dxa" w:w="1613"/>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Positioning</w:t>
            </w:r>
          </w:p>
        </w:tc>
        <w:tc>
          <w:tcPr>
            <w:tcW w:type="dxa" w:w="8467"/>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“Enterprise AI needs a governing layer. We build it.” A founder-led advisory and managed services firm for regulated and operationally complex organizations. “The same advisor who scopes the work delivers it.”</w:t>
            </w:r>
          </w:p>
        </w:tc>
      </w:tr>
      <w:tr>
        <w:trPr>
          <w:cantSplit/>
        </w:trPr>
        <w:tc>
          <w:tcPr>
            <w:tcW w:type="dxa" w:w="1613"/>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Offer</w:t>
            </w:r>
          </w:p>
        </w:tc>
        <w:tc>
          <w:tcPr>
            <w:tcW w:type="dxa" w:w="8467"/>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AI Advisory (10-day AI Risk &amp; Readiness Snapshot, consulting, governance, readiness) · Professional services (SOC 2 Type II readiness, risk posture assessment, staff augmentation, IT project management) · Managed programs (Audit-Ready Security Program with ISMS/ERM/IR, Managed Security Operations, Technology Governance for Scale).</w:t>
            </w:r>
          </w:p>
        </w:tc>
      </w:tr>
      <w:tr>
        <w:trPr>
          <w:cantSplit/>
        </w:trPr>
        <w:tc>
          <w:tcPr>
            <w:tcW w:type="dxa" w:w="1613"/>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Verticals</w:t>
            </w:r>
          </w:p>
        </w:tc>
        <w:tc>
          <w:tcPr>
            <w:tcW w:type="dxa" w:w="8467"/>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Financial services · SaaS and digital products · Transportation, logistics, energy and OT · Private equity and family offices.</w:t>
            </w:r>
          </w:p>
        </w:tc>
      </w:tr>
      <w:tr>
        <w:trPr>
          <w:cantSplit/>
        </w:trPr>
        <w:tc>
          <w:tcPr>
            <w:tcW w:type="dxa" w:w="1613"/>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Proof on site</w:t>
            </w:r>
          </w:p>
        </w:tc>
        <w:tc>
          <w:tcPr>
            <w:tcW w:type="dxa" w:w="8467"/>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Transit Technologies (no security program to SOC 2 Type I with zero findings, then multi-entity Type II) · a large North American bank (1,000+ systems certified under a scalable GRC assessment framework) · Rolly Marine (dealer-system modernization). No client quotes, logos, pricing or metrics with timeframes.</w:t>
            </w:r>
          </w:p>
        </w:tc>
      </w:tr>
      <w:tr>
        <w:trPr>
          <w:cantSplit/>
        </w:trPr>
        <w:tc>
          <w:tcPr>
            <w:tcW w:type="dxa" w:w="1613"/>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Veteran-owned</w:t>
            </w:r>
          </w:p>
        </w:tc>
        <w:tc>
          <w:tcPr>
            <w:tcW w:type="dxa" w:w="8467"/>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A8781F"/>
                <w:sz w:val="18"/>
                <w:szCs w:val="18"/>
              </w:rPr>
              <w:t xml:space="preserve">Stated in the 2024 marketing strategy deck as a Veteran-Owned Small Business. Appears on no current public page and in no third-party listing found. Requires verification before use.</w:t>
            </w:r>
          </w:p>
        </w:tc>
      </w:tr>
    </w:tbl>
    <w:p>
      <w:pPr>
        <w:spacing w:after="180" w:before="0" w:line="276"/>
      </w:pPr>
      <w:r>
        <w:rPr>
          <w:rFonts w:ascii="Calibri" w:cs="Calibri" w:eastAsia="Calibri" w:hAnsi="Calibri"/>
          <w:color w:val="3D4A5A"/>
          <w:sz w:val="8"/>
          <w:szCs w:val="8"/>
        </w:rPr>
        <w:t xml:space="preserve"/>
      </w:r>
    </w:p>
    <w:p>
      <w:pPr>
        <w:spacing w:after="160" w:before="0" w:line="276"/>
      </w:pPr>
      <w:r>
        <w:rPr>
          <w:rFonts w:ascii="Calibri" w:cs="Calibri" w:eastAsia="Calibri" w:hAnsi="Calibri"/>
          <w:b/>
          <w:bCs/>
          <w:color w:val="6B7A8C"/>
          <w:sz w:val="16"/>
          <w:szCs w:val="16"/>
        </w:rPr>
        <w:t xml:space="preserve">Source: </w:t>
      </w:r>
      <w:r>
        <w:rPr>
          <w:rFonts w:ascii="Calibri" w:cs="Calibri" w:eastAsia="Calibri" w:hAnsi="Calibri"/>
          <w:color w:val="6B7A8C"/>
          <w:sz w:val="16"/>
          <w:szCs w:val="16"/>
        </w:rPr>
        <w:t xml:space="preserve">3hue.net, About, Services and Customer Stories pages; BBB profile; Crunchbase; LinkedIn company page; 2024 marketing strategy deck. Verified 2–4 September 2026.</w:t>
      </w:r>
    </w:p>
    <w:p>
      <w:pPr>
        <w:pStyle w:val="Heading3"/>
        <w:keepNext/>
        <w:spacing w:after="80" w:before="240"/>
      </w:pPr>
      <w:r>
        <w:rPr>
          <w:rFonts w:ascii="Calibri" w:cs="Calibri" w:eastAsia="Calibri" w:hAnsi="Calibri"/>
          <w:b/>
          <w:bCs/>
          <w:color w:val="14202E"/>
          <w:sz w:val="22"/>
          <w:szCs w:val="22"/>
        </w:rPr>
        <w:t xml:space="preserve">2.2  AiVRIC Technologies, Inc.</w:t>
      </w:r>
    </w:p>
    <w:tbl>
      <w:tblPr>
        <w:tblW w:type="dxa" w:w="10080"/>
        <w:tblBorders>
          <w:top w:val="single" w:color="D3DCE6" w:sz="2"/>
          <w:left w:val="none"/>
          <w:bottom w:val="single" w:color="D3DCE6" w:sz="2"/>
          <w:right w:val="none"/>
          <w:insideH w:val="single" w:color="D3DCE6" w:sz="2"/>
          <w:insideV w:val="none"/>
        </w:tblBorders>
      </w:tblPr>
      <w:tblGrid>
        <w:gridCol w:w="1613"/>
        <w:gridCol w:w="8467"/>
      </w:tblGrid>
      <w:tr>
        <w:trPr>
          <w:cantSplit/>
          <w:tblHeader/>
        </w:trPr>
        <w:tc>
          <w:tcPr>
            <w:tcW w:type="dxa" w:w="1613"/>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
            </w:r>
          </w:p>
        </w:tc>
        <w:tc>
          <w:tcPr>
            <w:tcW w:type="dxa" w:w="8467"/>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Verified position</w:t>
            </w:r>
          </w:p>
        </w:tc>
      </w:tr>
      <w:tr>
        <w:trPr>
          <w:cantSplit/>
        </w:trPr>
        <w:tc>
          <w:tcPr>
            <w:tcW w:type="dxa" w:w="1613"/>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Origin</w:t>
            </w:r>
          </w:p>
        </w:tc>
        <w:tc>
          <w:tcPr>
            <w:tcW w:type="dxa" w:w="8467"/>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“AiVRIC was founded by 3HUE Security, a security advisory firm that has led security programs at enterprise scale.” Wilmington, Delaware. LinkedIn: 2–10 employees, 16 followers.</w:t>
            </w:r>
          </w:p>
        </w:tc>
      </w:tr>
      <w:tr>
        <w:trPr>
          <w:cantSplit/>
        </w:trPr>
        <w:tc>
          <w:tcPr>
            <w:tcW w:type="dxa" w:w="1613"/>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Positioning</w:t>
            </w:r>
          </w:p>
        </w:tc>
        <w:tc>
          <w:tcPr>
            <w:tcW w:type="dxa" w:w="8467"/>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“Operational Intelligence for Security, Compliance, Risk &amp; AI Governance.” “Govern the agentic enterprise.” Mission: security teams should “spend their energy on decisions, not documentation.”</w:t>
            </w:r>
          </w:p>
        </w:tc>
      </w:tr>
      <w:tr>
        <w:trPr>
          <w:cantSplit/>
        </w:trPr>
        <w:tc>
          <w:tcPr>
            <w:tcW w:type="dxa" w:w="1613"/>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Product</w:t>
            </w:r>
          </w:p>
        </w:tc>
        <w:tc>
          <w:tcPr>
            <w:tcW w:type="dxa" w:w="8467"/>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CloudSignals+RiskOps (generally available): multi-cloud CSPM across AWS, Azure, GCP and OCI; 20+ frameworks including SOC 2, ISO 27001, PCI-DSS, CMMC, HIPAA and NIST; risk register; third-party risk; GenAI chat; agentic remediation; white-label and MSP support. AI Signals, AIRE Agentic Mesh, RogueAgent ASPM and Vision AI Optics are in beta, alpha or on the roadmap.</w:t>
            </w:r>
          </w:p>
        </w:tc>
      </w:tr>
      <w:tr>
        <w:trPr>
          <w:cantSplit/>
        </w:trPr>
        <w:tc>
          <w:tcPr>
            <w:tcW w:type="dxa" w:w="1613"/>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Pricing</w:t>
            </w:r>
          </w:p>
        </w:tc>
        <w:tc>
          <w:tcPr>
            <w:tcW w:type="dxa" w:w="8467"/>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Free tier; paid from $499 per month; enterprise by request. Delivered as SaaS, customer-hosted Kubernetes, or air-gapped.</w:t>
            </w:r>
          </w:p>
        </w:tc>
      </w:tr>
      <w:tr>
        <w:trPr>
          <w:cantSplit/>
        </w:trPr>
        <w:tc>
          <w:tcPr>
            <w:tcW w:type="dxa" w:w="1613"/>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Channel</w:t>
            </w:r>
          </w:p>
        </w:tc>
        <w:tc>
          <w:tcPr>
            <w:tcW w:type="dxa" w:w="8467"/>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MSP page: “Add enterprise GRC and cloud security to your service catalog. Zero extra headcount required.” Priced per cloud account monitored, with three sellable tiers from cloud monitoring to Compliance-as-a-Service to vCISO-as-a-Service. A separate private-equity page exists.</w:t>
            </w:r>
          </w:p>
        </w:tc>
      </w:tr>
    </w:tbl>
    <w:p>
      <w:pPr>
        <w:spacing w:after="180" w:before="0" w:line="276"/>
      </w:pPr>
      <w:r>
        <w:rPr>
          <w:rFonts w:ascii="Calibri" w:cs="Calibri" w:eastAsia="Calibri" w:hAnsi="Calibri"/>
          <w:color w:val="3D4A5A"/>
          <w:sz w:val="8"/>
          <w:szCs w:val="8"/>
        </w:rPr>
        <w:t xml:space="preserve"/>
      </w:r>
    </w:p>
    <w:p>
      <w:pPr>
        <w:pStyle w:val="Heading3"/>
        <w:keepNext/>
        <w:spacing w:after="80" w:before="240"/>
      </w:pPr>
      <w:r>
        <w:rPr>
          <w:rFonts w:ascii="Calibri" w:cs="Calibri" w:eastAsia="Calibri" w:hAnsi="Calibri"/>
          <w:b/>
          <w:bCs/>
          <w:color w:val="14202E"/>
          <w:sz w:val="22"/>
          <w:szCs w:val="22"/>
        </w:rPr>
        <w:t xml:space="preserve">2.3  The founder has already written the thesis</w:t>
      </w:r>
    </w:p>
    <w:p>
      <w:pPr>
        <w:spacing w:after="120" w:before="0" w:line="276"/>
      </w:pPr>
      <w:r>
        <w:rPr>
          <w:rFonts w:ascii="Calibri" w:cs="Calibri" w:eastAsia="Calibri" w:hAnsi="Calibri"/>
          <w:color w:val="3D4A5A"/>
          <w:sz w:val="20"/>
          <w:szCs w:val="20"/>
        </w:rPr>
        <w:t xml:space="preserve">Andrew has published the argument this research independently confirms. Three articles matter.</w:t>
      </w:r>
    </w:p>
    <w:tbl>
      <w:tblPr>
        <w:tblW w:type="dxa" w:w="10080"/>
        <w:tblBorders>
          <w:top w:val="none"/>
          <w:left w:val="single" w:color="D3DCE6" w:sz="12"/>
          <w:bottom w:val="none"/>
          <w:right w:val="none"/>
          <w:insideH w:val="none"/>
          <w:insideV w:val="none"/>
        </w:tblBorders>
      </w:tblPr>
      <w:tblGrid>
        <w:gridCol w:w="10080"/>
      </w:tblGrid>
      <w:tr>
        <w:trPr>
          <w:cantSplit/>
        </w:trPr>
        <w:tc>
          <w:tcPr>
            <w:tcW w:type="dxa" w:w="10080"/>
            <w:tcBorders>
              <w:top w:val="none"/>
              <w:left w:val="none"/>
              <w:bottom w:val="none"/>
              <w:right w:val="none"/>
            </w:tcBorders>
            <w:tcMar>
              <w:top w:type="dxa" w:w="100"/>
              <w:left w:type="dxa" w:w="180"/>
              <w:bottom w:type="dxa" w:w="100"/>
              <w:right w:type="dxa" w:w="120"/>
            </w:tcMar>
          </w:tcPr>
          <w:p>
            <w:pPr>
              <w:keepNext/>
              <w:spacing w:after="50" w:before="0"/>
            </w:pPr>
            <w:r>
              <w:rPr>
                <w:rFonts w:ascii="Calibri" w:cs="Calibri" w:eastAsia="Calibri" w:hAnsi="Calibri"/>
                <w:b/>
                <w:bCs/>
                <w:color w:val="14202E"/>
                <w:sz w:val="19"/>
                <w:szCs w:val="19"/>
              </w:rPr>
              <w:t xml:space="preserve">“Stop Blaming Frameworks”</w:t>
            </w:r>
            <w:r>
              <w:rPr>
                <w:rFonts w:ascii="Calibri" w:cs="Calibri" w:eastAsia="Calibri" w:hAnsi="Calibri"/>
                <w:color w:val="6B7A8C"/>
                <w:sz w:val="16"/>
                <w:szCs w:val="16"/>
              </w:rPr>
              <w:t xml:space="preserve">  LinkedIn, 5 March 2026 · 17 reactions, 2 comments</w:t>
            </w:r>
          </w:p>
          <w:p>
            <w:pPr>
              <w:spacing w:after="60" w:before="0" w:line="265"/>
            </w:pPr>
            <w:r>
              <w:rPr>
                <w:rFonts w:ascii="Calibri" w:cs="Calibri" w:eastAsia="Calibri" w:hAnsi="Calibri"/>
                <w:i/>
                <w:iCs/>
                <w:color w:val="3D4A5A"/>
                <w:sz w:val="19"/>
                <w:szCs w:val="19"/>
              </w:rPr>
              <w:t xml:space="preserve">“Frameworks were never meant to run a security program. They provide structure.”</w:t>
            </w:r>
          </w:p>
          <w:p>
            <w:pPr>
              <w:spacing w:after="60" w:before="0" w:line="265"/>
            </w:pPr>
            <w:r>
              <w:rPr>
                <w:rFonts w:ascii="Calibri" w:cs="Calibri" w:eastAsia="Calibri" w:hAnsi="Calibri"/>
                <w:i/>
                <w:iCs/>
                <w:color w:val="3D4A5A"/>
                <w:sz w:val="19"/>
                <w:szCs w:val="19"/>
              </w:rPr>
              <w:t xml:space="preserve">“The problem was never the framework. The problem was program design.”</w:t>
            </w:r>
          </w:p>
          <w:p>
            <w:pPr>
              <w:spacing w:after="0" w:before="20"/>
            </w:pPr>
            <w:r>
              <w:rPr>
                <w:rFonts w:ascii="Calibri" w:cs="Calibri" w:eastAsia="Calibri" w:hAnsi="Calibri"/>
                <w:color w:val="6B7A8C"/>
                <w:sz w:val="16"/>
                <w:szCs w:val="16"/>
              </w:rPr>
              <w:t xml:space="preserve">Names the layers explicitly: NIST (CSF, 800-53, 800-171, 800-37, 800-30), the Secure Controls Framework, COBIT/ISACA, ITIL, ISO/IEC 27001/27701/22301, SOC 2, PCI-DSS, FFIEC, HIPAA, FedRAMP and CSA CCM — then draws a five-layer model: frameworks, control standards, security architecture, risk management, operations.</w:t>
            </w:r>
          </w:p>
        </w:tc>
      </w:tr>
    </w:tbl>
    <w:p>
      <w:pPr>
        <w:spacing w:after="180" w:before="0" w:line="276"/>
      </w:pPr>
      <w:r>
        <w:rPr>
          <w:rFonts w:ascii="Calibri" w:cs="Calibri" w:eastAsia="Calibri" w:hAnsi="Calibri"/>
          <w:color w:val="3D4A5A"/>
          <w:sz w:val="8"/>
          <w:szCs w:val="8"/>
        </w:rPr>
        <w:t xml:space="preserve"/>
      </w:r>
    </w:p>
    <w:tbl>
      <w:tblPr>
        <w:tblW w:type="dxa" w:w="10080"/>
        <w:tblBorders>
          <w:top w:val="none"/>
          <w:left w:val="single" w:color="D3DCE6" w:sz="12"/>
          <w:bottom w:val="none"/>
          <w:right w:val="none"/>
          <w:insideH w:val="none"/>
          <w:insideV w:val="none"/>
        </w:tblBorders>
      </w:tblPr>
      <w:tblGrid>
        <w:gridCol w:w="10080"/>
      </w:tblGrid>
      <w:tr>
        <w:trPr>
          <w:cantSplit/>
        </w:trPr>
        <w:tc>
          <w:tcPr>
            <w:tcW w:type="dxa" w:w="10080"/>
            <w:tcBorders>
              <w:top w:val="none"/>
              <w:left w:val="none"/>
              <w:bottom w:val="none"/>
              <w:right w:val="none"/>
            </w:tcBorders>
            <w:tcMar>
              <w:top w:type="dxa" w:w="100"/>
              <w:left w:type="dxa" w:w="180"/>
              <w:bottom w:type="dxa" w:w="100"/>
              <w:right w:type="dxa" w:w="120"/>
            </w:tcMar>
          </w:tcPr>
          <w:p>
            <w:pPr>
              <w:keepNext/>
              <w:spacing w:after="50" w:before="0"/>
            </w:pPr>
            <w:r>
              <w:rPr>
                <w:rFonts w:ascii="Calibri" w:cs="Calibri" w:eastAsia="Calibri" w:hAnsi="Calibri"/>
                <w:b/>
                <w:bCs/>
                <w:color w:val="14202E"/>
                <w:sz w:val="19"/>
                <w:szCs w:val="19"/>
              </w:rPr>
              <w:t xml:space="preserve">“From Execution to Enablement: Lessons Learned in 2025”</w:t>
            </w:r>
            <w:r>
              <w:rPr>
                <w:rFonts w:ascii="Calibri" w:cs="Calibri" w:eastAsia="Calibri" w:hAnsi="Calibri"/>
                <w:color w:val="6B7A8C"/>
                <w:sz w:val="16"/>
                <w:szCs w:val="16"/>
              </w:rPr>
              <w:t xml:space="preserve">  LinkedIn, 29 December 2025</w:t>
            </w:r>
          </w:p>
          <w:p>
            <w:pPr>
              <w:spacing w:after="60" w:before="0" w:line="265"/>
            </w:pPr>
            <w:r>
              <w:rPr>
                <w:rFonts w:ascii="Calibri" w:cs="Calibri" w:eastAsia="Calibri" w:hAnsi="Calibri"/>
                <w:i/>
                <w:iCs/>
                <w:color w:val="3D4A5A"/>
                <w:sz w:val="19"/>
                <w:szCs w:val="19"/>
              </w:rPr>
              <w:t xml:space="preserve">“Maturity is not a state, it is an operating capability.”</w:t>
            </w:r>
          </w:p>
          <w:p>
            <w:pPr>
              <w:spacing w:after="60" w:before="0" w:line="265"/>
            </w:pPr>
            <w:r>
              <w:rPr>
                <w:rFonts w:ascii="Calibri" w:cs="Calibri" w:eastAsia="Calibri" w:hAnsi="Calibri"/>
                <w:i/>
                <w:iCs/>
                <w:color w:val="3D4A5A"/>
                <w:sz w:val="19"/>
                <w:szCs w:val="19"/>
              </w:rPr>
              <w:t xml:space="preserve">“They treated maturity as a documentation exercise. They produced artifacts faster than they produced results.”</w:t>
            </w:r>
          </w:p>
          <w:p>
            <w:pPr>
              <w:spacing w:after="60" w:before="0" w:line="265"/>
            </w:pPr>
            <w:r>
              <w:rPr>
                <w:rFonts w:ascii="Calibri" w:cs="Calibri" w:eastAsia="Calibri" w:hAnsi="Calibri"/>
                <w:i/>
                <w:iCs/>
                <w:color w:val="3D4A5A"/>
                <w:sz w:val="19"/>
                <w:szCs w:val="19"/>
              </w:rPr>
              <w:t xml:space="preserve">“Governance without informed operational authority is theater.”</w:t>
            </w:r>
          </w:p>
          <w:p>
            <w:pPr>
              <w:spacing w:after="60" w:before="0" w:line="265"/>
            </w:pPr>
            <w:r>
              <w:rPr>
                <w:rFonts w:ascii="Calibri" w:cs="Calibri" w:eastAsia="Calibri" w:hAnsi="Calibri"/>
                <w:i/>
                <w:iCs/>
                <w:color w:val="3D4A5A"/>
                <w:sz w:val="19"/>
                <w:szCs w:val="19"/>
              </w:rPr>
              <w:t xml:space="preserve">“Tools do not reduce risk, decisions do.”</w:t>
            </w:r>
          </w:p>
          <w:p>
            <w:pPr>
              <w:spacing w:after="60" w:before="0" w:line="265"/>
            </w:pPr>
            <w:r>
              <w:rPr>
                <w:rFonts w:ascii="Calibri" w:cs="Calibri" w:eastAsia="Calibri" w:hAnsi="Calibri"/>
                <w:i/>
                <w:iCs/>
                <w:color w:val="3D4A5A"/>
                <w:sz w:val="19"/>
                <w:szCs w:val="19"/>
              </w:rPr>
              <w:t xml:space="preserve">“AI does not create maturity, it reveals it.”</w:t>
            </w:r>
          </w:p>
        </w:tc>
      </w:tr>
    </w:tbl>
    <w:p>
      <w:pPr>
        <w:spacing w:after="180" w:before="0" w:line="276"/>
      </w:pPr>
      <w:r>
        <w:rPr>
          <w:rFonts w:ascii="Calibri" w:cs="Calibri" w:eastAsia="Calibri" w:hAnsi="Calibri"/>
          <w:color w:val="3D4A5A"/>
          <w:sz w:val="8"/>
          <w:szCs w:val="8"/>
        </w:rPr>
        <w:t xml:space="preserve"/>
      </w:r>
    </w:p>
    <w:tbl>
      <w:tblPr>
        <w:tblW w:type="dxa" w:w="10080"/>
        <w:tblBorders>
          <w:top w:val="none"/>
          <w:left w:val="single" w:color="D3DCE6" w:sz="12"/>
          <w:bottom w:val="none"/>
          <w:right w:val="none"/>
          <w:insideH w:val="none"/>
          <w:insideV w:val="none"/>
        </w:tblBorders>
      </w:tblPr>
      <w:tblGrid>
        <w:gridCol w:w="10080"/>
      </w:tblGrid>
      <w:tr>
        <w:trPr>
          <w:cantSplit/>
        </w:trPr>
        <w:tc>
          <w:tcPr>
            <w:tcW w:type="dxa" w:w="10080"/>
            <w:tcBorders>
              <w:top w:val="none"/>
              <w:left w:val="none"/>
              <w:bottom w:val="none"/>
              <w:right w:val="none"/>
            </w:tcBorders>
            <w:tcMar>
              <w:top w:type="dxa" w:w="100"/>
              <w:left w:type="dxa" w:w="180"/>
              <w:bottom w:type="dxa" w:w="100"/>
              <w:right w:type="dxa" w:w="120"/>
            </w:tcMar>
          </w:tcPr>
          <w:p>
            <w:pPr>
              <w:keepNext/>
              <w:spacing w:after="50" w:before="0"/>
            </w:pPr>
            <w:r>
              <w:rPr>
                <w:rFonts w:ascii="Calibri" w:cs="Calibri" w:eastAsia="Calibri" w:hAnsi="Calibri"/>
                <w:b/>
                <w:bCs/>
                <w:color w:val="14202E"/>
                <w:sz w:val="19"/>
                <w:szCs w:val="19"/>
              </w:rPr>
              <w:t xml:space="preserve">“Founder Thesis: Why AiVRIC Exists”</w:t>
            </w:r>
            <w:r>
              <w:rPr>
                <w:rFonts w:ascii="Calibri" w:cs="Calibri" w:eastAsia="Calibri" w:hAnsi="Calibri"/>
                <w:color w:val="6B7A8C"/>
                <w:sz w:val="16"/>
                <w:szCs w:val="16"/>
              </w:rPr>
              <w:t xml:space="preserve">  LinkedIn, 3 February 2026 · 27 reactions</w:t>
            </w:r>
          </w:p>
          <w:p>
            <w:pPr>
              <w:spacing w:after="60" w:before="0" w:line="265"/>
            </w:pPr>
            <w:r>
              <w:rPr>
                <w:rFonts w:ascii="Calibri" w:cs="Calibri" w:eastAsia="Calibri" w:hAnsi="Calibri"/>
                <w:i/>
                <w:iCs/>
                <w:color w:val="3D4A5A"/>
                <w:sz w:val="19"/>
                <w:szCs w:val="19"/>
              </w:rPr>
              <w:t xml:space="preserve">“Most security programs fail not because teams don’t care — but because they were never designed to operate continuously.”</w:t>
            </w:r>
          </w:p>
          <w:p>
            <w:pPr>
              <w:spacing w:after="0" w:before="20"/>
            </w:pPr>
            <w:r>
              <w:rPr>
                <w:rFonts w:ascii="Calibri" w:cs="Calibri" w:eastAsia="Calibri" w:hAnsi="Calibri"/>
                <w:color w:val="6B7A8C"/>
                <w:sz w:val="16"/>
                <w:szCs w:val="16"/>
              </w:rPr>
              <w:t xml:space="preserve">The sentence that should sit on both websites. Cites FDA 483s, bank MRAs and private-equity portfolio compliance.</w:t>
            </w:r>
          </w:p>
        </w:tc>
      </w:tr>
    </w:tbl>
    <w:p>
      <w:pPr>
        <w:spacing w:after="180" w:before="0" w:line="276"/>
      </w:pPr>
      <w:r>
        <w:rPr>
          <w:rFonts w:ascii="Calibri" w:cs="Calibri" w:eastAsia="Calibri" w:hAnsi="Calibri"/>
          <w:color w:val="3D4A5A"/>
          <w:sz w:val="8"/>
          <w:szCs w:val="8"/>
        </w:rPr>
        <w:t xml:space="preserve"/>
      </w:r>
    </w:p>
    <w:p>
      <w:pPr>
        <w:pStyle w:val="Heading3"/>
        <w:keepNext/>
        <w:spacing w:after="80" w:before="240"/>
      </w:pPr>
      <w:r>
        <w:rPr>
          <w:rFonts w:ascii="Calibri" w:cs="Calibri" w:eastAsia="Calibri" w:hAnsi="Calibri"/>
          <w:b/>
          <w:bCs/>
          <w:color w:val="14202E"/>
          <w:sz w:val="22"/>
          <w:szCs w:val="22"/>
        </w:rPr>
        <w:t xml:space="preserve">2.4  Observations a buyer would make</w:t>
      </w:r>
    </w:p>
    <w:p>
      <w:pPr>
        <w:pStyle w:val="ListParagraph"/>
        <w:numPr>
          <w:ilvl w:val="0"/>
          <w:numId w:val="1"/>
        </w:numPr>
        <w:spacing w:after="70" w:line="270"/>
      </w:pPr>
      <w:r>
        <w:rPr>
          <w:rFonts w:ascii="Calibri" w:cs="Calibri" w:eastAsia="Calibri" w:hAnsi="Calibri"/>
          <w:b/>
          <w:bCs/>
          <w:color w:val="14202E"/>
          <w:sz w:val="20"/>
          <w:szCs w:val="20"/>
        </w:rPr>
        <w:t xml:space="preserve">The public sites do not name the frameworks. </w:t>
      </w:r>
      <w:r>
        <w:rPr>
          <w:rFonts w:ascii="Calibri" w:cs="Calibri" w:eastAsia="Calibri" w:hAnsi="Calibri"/>
          <w:color w:val="3D4A5A"/>
          <w:sz w:val="20"/>
          <w:szCs w:val="20"/>
        </w:rPr>
        <w:t xml:space="preserve">Current 3hue.net pages reference SOC 2, SR 11-7 and 3HUE’s own “ISG Managed GRC Operating Model” and “Meta-Compliance Readiness,” but NIST CSF, ISO 27001, CIS, ITIL, COBIT and TOGAF do not appear on the live services, industries or insights pages. Buyers and search engines look for those words. Andrew’s LinkedIn article uses them; the site does not.</w:t>
      </w:r>
    </w:p>
    <w:p>
      <w:pPr>
        <w:pStyle w:val="ListParagraph"/>
        <w:numPr>
          <w:ilvl w:val="0"/>
          <w:numId w:val="1"/>
        </w:numPr>
        <w:spacing w:after="70" w:line="270"/>
      </w:pPr>
      <w:r>
        <w:rPr>
          <w:rFonts w:ascii="Calibri" w:cs="Calibri" w:eastAsia="Calibri" w:hAnsi="Calibri"/>
          <w:b/>
          <w:bCs/>
          <w:color w:val="14202E"/>
          <w:sz w:val="20"/>
          <w:szCs w:val="20"/>
        </w:rPr>
        <w:t xml:space="preserve">A prospect doing diligence sees three slightly different companies. </w:t>
      </w:r>
      <w:r>
        <w:rPr>
          <w:rFonts w:ascii="Calibri" w:cs="Calibri" w:eastAsia="Calibri" w:hAnsi="Calibri"/>
          <w:color w:val="3D4A5A"/>
          <w:sz w:val="20"/>
          <w:szCs w:val="20"/>
        </w:rPr>
        <w:t xml:space="preserve">The site leads with AI governance while BBB, Crunchbase and LinkedIn descriptions still say vCIO, cyber risk, managed SOC and digital transformation. The nine Insights articles all carry the same date, 20 January 2026.</w:t>
      </w:r>
    </w:p>
    <w:p>
      <w:pPr>
        <w:pStyle w:val="ListParagraph"/>
        <w:numPr>
          <w:ilvl w:val="0"/>
          <w:numId w:val="1"/>
        </w:numPr>
        <w:spacing w:after="70" w:line="270"/>
      </w:pPr>
      <w:r>
        <w:rPr>
          <w:rFonts w:ascii="Calibri" w:cs="Calibri" w:eastAsia="Calibri" w:hAnsi="Calibri"/>
          <w:b/>
          <w:bCs/>
          <w:color w:val="14202E"/>
          <w:sz w:val="20"/>
          <w:szCs w:val="20"/>
        </w:rPr>
        <w:t xml:space="preserve">Proof is thin relative to the claims. </w:t>
      </w:r>
      <w:r>
        <w:rPr>
          <w:rFonts w:ascii="Calibri" w:cs="Calibri" w:eastAsia="Calibri" w:hAnsi="Calibri"/>
          <w:color w:val="3D4A5A"/>
          <w:sz w:val="20"/>
          <w:szCs w:val="20"/>
        </w:rPr>
        <w:t xml:space="preserve">Three case studies with strong outcomes, but no client quotes, no metrics with timeframes, no logos and no pricing or engagement bands. Price transparency and “a company that has done it before” are the two things buyers say they want.</w:t>
      </w:r>
    </w:p>
    <w:p>
      <w:pPr>
        <w:pStyle w:val="ListParagraph"/>
        <w:numPr>
          <w:ilvl w:val="0"/>
          <w:numId w:val="1"/>
        </w:numPr>
        <w:spacing w:after="70" w:line="270"/>
      </w:pPr>
      <w:r>
        <w:rPr>
          <w:rFonts w:ascii="Calibri" w:cs="Calibri" w:eastAsia="Calibri" w:hAnsi="Calibri"/>
          <w:b/>
          <w:bCs/>
          <w:color w:val="14202E"/>
          <w:sz w:val="20"/>
          <w:szCs w:val="20"/>
        </w:rPr>
        <w:t xml:space="preserve">The 3HUE–AiVRIC relationship is explained only on AiVRIC’s about page. </w:t>
      </w:r>
      <w:r>
        <w:rPr>
          <w:rFonts w:ascii="Calibri" w:cs="Calibri" w:eastAsia="Calibri" w:hAnsi="Calibri"/>
          <w:color w:val="3D4A5A"/>
          <w:sz w:val="20"/>
          <w:szCs w:val="20"/>
        </w:rPr>
        <w:t xml:space="preserve">Nowhere does 3hue.net say “our managed programs run on AiVRIC,” which is the single most differentiating operational fact against both tool-only vendors and MSP vCISO offers.</w:t>
      </w:r>
    </w:p>
    <w:p>
      <w:pPr>
        <w:pStyle w:val="ListParagraph"/>
        <w:numPr>
          <w:ilvl w:val="0"/>
          <w:numId w:val="1"/>
        </w:numPr>
        <w:spacing w:after="70" w:line="270"/>
      </w:pPr>
      <w:r>
        <w:rPr>
          <w:rFonts w:ascii="Calibri" w:cs="Calibri" w:eastAsia="Calibri" w:hAnsi="Calibri"/>
          <w:b/>
          <w:bCs/>
          <w:color w:val="14202E"/>
          <w:sz w:val="20"/>
          <w:szCs w:val="20"/>
        </w:rPr>
        <w:t xml:space="preserve">Distribution runs through one person. </w:t>
      </w:r>
      <w:r>
        <w:rPr>
          <w:rFonts w:ascii="Calibri" w:cs="Calibri" w:eastAsia="Calibri" w:hAnsi="Calibri"/>
          <w:color w:val="3D4A5A"/>
          <w:sz w:val="20"/>
          <w:szCs w:val="20"/>
        </w:rPr>
        <w:t xml:space="preserve">Andrew’s profile has 2,003 followers and eleven long-form articles. The 3HUE company page (577 followers) showed no posts on its Posts tab when viewed; AiVRIC’s page has 16 followers.</w:t>
      </w:r>
    </w:p>
    <w:p>
      <w:pPr>
        <w:pStyle w:val="Heading2"/>
        <w:keepNext/>
        <w:spacing w:after="40" w:before="340"/>
      </w:pPr>
      <w:r>
        <w:rPr>
          <w:rFonts w:ascii="Calibri" w:cs="Calibri" w:eastAsia="Calibri" w:hAnsi="Calibri"/>
          <w:b/>
          <w:bCs/>
          <w:color w:val="2F86B3"/>
          <w:sz w:val="28"/>
          <w:szCs w:val="28"/>
        </w:rPr>
        <w:t xml:space="preserve">3. What the market data says</w:t>
      </w:r>
    </w:p>
    <w:p>
      <w:pPr>
        <w:keepNext/>
        <w:spacing w:after="140" w:before="0" w:line="276"/>
      </w:pPr>
      <w:r>
        <w:rPr>
          <w:rFonts w:ascii="Calibri" w:cs="Calibri" w:eastAsia="Calibri" w:hAnsi="Calibri"/>
          <w:i/>
          <w:iCs/>
          <w:color w:val="6B7A8C"/>
          <w:sz w:val="19"/>
          <w:szCs w:val="19"/>
        </w:rPr>
        <w:t xml:space="preserve">Sixty-plus figures checked against their source pages. Each is dated, because these surveys move quickly.</w:t>
      </w:r>
    </w:p>
    <w:p>
      <w:pPr>
        <w:pStyle w:val="Heading3"/>
        <w:keepNext/>
        <w:spacing w:after="80" w:before="240"/>
      </w:pPr>
      <w:r>
        <w:rPr>
          <w:rFonts w:ascii="Calibri" w:cs="Calibri" w:eastAsia="Calibri" w:hAnsi="Calibri"/>
          <w:b/>
          <w:bCs/>
          <w:color w:val="14202E"/>
          <w:sz w:val="22"/>
          <w:szCs w:val="22"/>
        </w:rPr>
        <w:t xml:space="preserve">3.1  The capacity gap</w:t>
      </w:r>
    </w:p>
    <w:tbl>
      <w:tblPr>
        <w:tblW w:type="dxa" w:w="10080"/>
        <w:tblBorders>
          <w:top w:val="none"/>
          <w:left w:val="none"/>
          <w:bottom w:val="none"/>
          <w:right w:val="none"/>
          <w:insideH w:val="none"/>
          <w:insideV w:val="none"/>
        </w:tblBorders>
      </w:tblPr>
      <w:tblGrid>
        <w:gridCol w:w="1700"/>
        <w:gridCol w:w="8380"/>
      </w:tblGrid>
      <w:tr>
        <w:trPr>
          <w:cantSplit/>
        </w:trPr>
        <w:tc>
          <w:tcPr>
            <w:tcW w:type="dxa" w:w="1700"/>
            <w:tcBorders>
              <w:top w:val="none"/>
              <w:left w:val="none"/>
              <w:bottom w:val="none"/>
              <w:right w:val="none"/>
            </w:tcBorders>
            <w:tcMar>
              <w:top w:type="dxa" w:w="40"/>
              <w:left w:type="dxa" w:w="0"/>
              <w:bottom w:type="dxa" w:w="40"/>
              <w:right w:type="dxa" w:w="120"/>
            </w:tcMar>
          </w:tcPr>
          <w:p>
            <w:pPr>
              <w:spacing w:after="0" w:before="0"/>
            </w:pPr>
            <w:r>
              <w:rPr>
                <w:rFonts w:ascii="Calibri" w:cs="Calibri" w:eastAsia="Calibri" w:hAnsi="Calibri"/>
                <w:b/>
                <w:bCs/>
                <w:color w:val="44A8D9"/>
                <w:sz w:val="30"/>
                <w:szCs w:val="30"/>
              </w:rPr>
              <w:t xml:space="preserve">68%</w:t>
            </w:r>
          </w:p>
        </w:tc>
        <w:tc>
          <w:tcPr>
            <w:tcW w:type="dxa" w:w="8380"/>
            <w:tcBorders>
              <w:top w:val="none"/>
              <w:left w:val="none"/>
              <w:bottom w:val="none"/>
              <w:right w:val="none"/>
            </w:tcBorders>
            <w:tcMar>
              <w:top w:type="dxa" w:w="40"/>
              <w:left w:type="dxa" w:w="0"/>
              <w:bottom w:type="dxa" w:w="40"/>
              <w:right w:type="dxa" w:w="0"/>
            </w:tcMar>
          </w:tcPr>
          <w:p>
            <w:pPr>
              <w:spacing w:after="0" w:before="0" w:line="250"/>
            </w:pPr>
            <w:r>
              <w:rPr>
                <w:rFonts w:ascii="Calibri" w:cs="Calibri" w:eastAsia="Calibri" w:hAnsi="Calibri"/>
                <w:color w:val="3D4A5A"/>
                <w:sz w:val="18"/>
                <w:szCs w:val="18"/>
              </w:rPr>
              <w:t xml:space="preserve">of organizations have one or fewer full-time cybersecurity employees; nearly a third have none. 93% still call security a top priority. 75% spend under 15% of budget on security and compliance.</w:t>
            </w:r>
          </w:p>
        </w:tc>
      </w:tr>
    </w:tbl>
    <w:p>
      <w:pPr>
        <w:spacing w:after="160" w:before="0" w:line="276"/>
      </w:pPr>
      <w:r>
        <w:rPr>
          <w:rFonts w:ascii="Calibri" w:cs="Calibri" w:eastAsia="Calibri" w:hAnsi="Calibri"/>
          <w:b/>
          <w:bCs/>
          <w:color w:val="6B7A8C"/>
          <w:sz w:val="16"/>
          <w:szCs w:val="16"/>
        </w:rPr>
        <w:t xml:space="preserve">Source: </w:t>
      </w:r>
      <w:r>
        <w:rPr>
          <w:rFonts w:ascii="Calibri" w:cs="Calibri" w:eastAsia="Calibri" w:hAnsi="Calibri"/>
          <w:color w:val="6B7A8C"/>
          <w:sz w:val="16"/>
          <w:szCs w:val="16"/>
        </w:rPr>
        <w:t xml:space="preserve">Secureframe, 2026 Cybersecurity &amp; Compliance Benchmark · 9 December 2025 · n=255</w:t>
      </w:r>
    </w:p>
    <w:tbl>
      <w:tblPr>
        <w:tblW w:type="dxa" w:w="10080"/>
        <w:tblBorders>
          <w:top w:val="none"/>
          <w:left w:val="none"/>
          <w:bottom w:val="none"/>
          <w:right w:val="none"/>
          <w:insideH w:val="none"/>
          <w:insideV w:val="none"/>
        </w:tblBorders>
      </w:tblPr>
      <w:tblGrid>
        <w:gridCol w:w="1700"/>
        <w:gridCol w:w="8380"/>
      </w:tblGrid>
      <w:tr>
        <w:trPr>
          <w:cantSplit/>
        </w:trPr>
        <w:tc>
          <w:tcPr>
            <w:tcW w:type="dxa" w:w="1700"/>
            <w:tcBorders>
              <w:top w:val="none"/>
              <w:left w:val="none"/>
              <w:bottom w:val="none"/>
              <w:right w:val="none"/>
            </w:tcBorders>
            <w:tcMar>
              <w:top w:type="dxa" w:w="40"/>
              <w:left w:type="dxa" w:w="0"/>
              <w:bottom w:type="dxa" w:w="40"/>
              <w:right w:type="dxa" w:w="120"/>
            </w:tcMar>
          </w:tcPr>
          <w:p>
            <w:pPr>
              <w:spacing w:after="0" w:before="0"/>
            </w:pPr>
            <w:r>
              <w:rPr>
                <w:rFonts w:ascii="Calibri" w:cs="Calibri" w:eastAsia="Calibri" w:hAnsi="Calibri"/>
                <w:b/>
                <w:bCs/>
                <w:color w:val="44A8D9"/>
                <w:sz w:val="30"/>
                <w:szCs w:val="30"/>
              </w:rPr>
              <w:t xml:space="preserve">55%</w:t>
            </w:r>
          </w:p>
        </w:tc>
        <w:tc>
          <w:tcPr>
            <w:tcW w:type="dxa" w:w="8380"/>
            <w:tcBorders>
              <w:top w:val="none"/>
              <w:left w:val="none"/>
              <w:bottom w:val="none"/>
              <w:right w:val="none"/>
            </w:tcBorders>
            <w:tcMar>
              <w:top w:type="dxa" w:w="40"/>
              <w:left w:type="dxa" w:w="0"/>
              <w:bottom w:type="dxa" w:w="40"/>
              <w:right w:type="dxa" w:w="0"/>
            </w:tcMar>
          </w:tcPr>
          <w:p>
            <w:pPr>
              <w:spacing w:after="0" w:before="0" w:line="250"/>
            </w:pPr>
            <w:r>
              <w:rPr>
                <w:rFonts w:ascii="Calibri" w:cs="Calibri" w:eastAsia="Calibri" w:hAnsi="Calibri"/>
                <w:color w:val="3D4A5A"/>
                <w:sz w:val="18"/>
                <w:szCs w:val="18"/>
              </w:rPr>
              <w:t xml:space="preserve">of cyber teams are understaffed; 65% have unfilled positions; 53% say budgets are underfunded; 38–39% take three to six months to fill a role.</w:t>
            </w:r>
          </w:p>
        </w:tc>
      </w:tr>
    </w:tbl>
    <w:p>
      <w:pPr>
        <w:spacing w:after="160" w:before="0" w:line="276"/>
      </w:pPr>
      <w:r>
        <w:rPr>
          <w:rFonts w:ascii="Calibri" w:cs="Calibri" w:eastAsia="Calibri" w:hAnsi="Calibri"/>
          <w:b/>
          <w:bCs/>
          <w:color w:val="6B7A8C"/>
          <w:sz w:val="16"/>
          <w:szCs w:val="16"/>
        </w:rPr>
        <w:t xml:space="preserve">Source: </w:t>
      </w:r>
      <w:r>
        <w:rPr>
          <w:rFonts w:ascii="Calibri" w:cs="Calibri" w:eastAsia="Calibri" w:hAnsi="Calibri"/>
          <w:color w:val="6B7A8C"/>
          <w:sz w:val="16"/>
          <w:szCs w:val="16"/>
        </w:rPr>
        <w:t xml:space="preserve">ISACA, State of Cybersecurity 2025 · 29 September 2025 · n=3,800+</w:t>
      </w:r>
    </w:p>
    <w:tbl>
      <w:tblPr>
        <w:tblW w:type="dxa" w:w="10080"/>
        <w:tblBorders>
          <w:top w:val="none"/>
          <w:left w:val="none"/>
          <w:bottom w:val="none"/>
          <w:right w:val="none"/>
          <w:insideH w:val="none"/>
          <w:insideV w:val="none"/>
        </w:tblBorders>
      </w:tblPr>
      <w:tblGrid>
        <w:gridCol w:w="1700"/>
        <w:gridCol w:w="8380"/>
      </w:tblGrid>
      <w:tr>
        <w:trPr>
          <w:cantSplit/>
        </w:trPr>
        <w:tc>
          <w:tcPr>
            <w:tcW w:type="dxa" w:w="1700"/>
            <w:tcBorders>
              <w:top w:val="none"/>
              <w:left w:val="none"/>
              <w:bottom w:val="none"/>
              <w:right w:val="none"/>
            </w:tcBorders>
            <w:tcMar>
              <w:top w:type="dxa" w:w="40"/>
              <w:left w:type="dxa" w:w="0"/>
              <w:bottom w:type="dxa" w:w="40"/>
              <w:right w:type="dxa" w:w="120"/>
            </w:tcMar>
          </w:tcPr>
          <w:p>
            <w:pPr>
              <w:spacing w:after="0" w:before="0"/>
            </w:pPr>
            <w:r>
              <w:rPr>
                <w:rFonts w:ascii="Calibri" w:cs="Calibri" w:eastAsia="Calibri" w:hAnsi="Calibri"/>
                <w:b/>
                <w:bCs/>
                <w:color w:val="A4462F"/>
                <w:sz w:val="30"/>
                <w:szCs w:val="30"/>
              </w:rPr>
              <w:t xml:space="preserve">10,000:1</w:t>
            </w:r>
          </w:p>
        </w:tc>
        <w:tc>
          <w:tcPr>
            <w:tcW w:type="dxa" w:w="8380"/>
            <w:tcBorders>
              <w:top w:val="none"/>
              <w:left w:val="none"/>
              <w:bottom w:val="none"/>
              <w:right w:val="none"/>
            </w:tcBorders>
            <w:tcMar>
              <w:top w:type="dxa" w:w="40"/>
              <w:left w:type="dxa" w:w="0"/>
              <w:bottom w:type="dxa" w:w="40"/>
              <w:right w:type="dxa" w:w="0"/>
            </w:tcMar>
          </w:tcPr>
          <w:p>
            <w:pPr>
              <w:spacing w:after="0" w:before="0" w:line="250"/>
            </w:pPr>
            <w:r>
              <w:rPr>
                <w:rFonts w:ascii="Calibri" w:cs="Calibri" w:eastAsia="Calibri" w:hAnsi="Calibri"/>
                <w:color w:val="3D4A5A"/>
                <w:sz w:val="18"/>
                <w:szCs w:val="18"/>
              </w:rPr>
              <w:t xml:space="preserve">roughly 35,000 CISOs worldwide for approximately 359 million businesses. Full-time CISO compensation runs $250K–$400K, and “close to zero percent” of small businesses employ one. Sophos’ CEO calls it a market failure.</w:t>
            </w:r>
          </w:p>
        </w:tc>
      </w:tr>
    </w:tbl>
    <w:p>
      <w:pPr>
        <w:spacing w:after="160" w:before="0" w:line="276"/>
      </w:pPr>
      <w:r>
        <w:rPr>
          <w:rFonts w:ascii="Calibri" w:cs="Calibri" w:eastAsia="Calibri" w:hAnsi="Calibri"/>
          <w:b/>
          <w:bCs/>
          <w:color w:val="6B7A8C"/>
          <w:sz w:val="16"/>
          <w:szCs w:val="16"/>
        </w:rPr>
        <w:t xml:space="preserve">Source: </w:t>
      </w:r>
      <w:r>
        <w:rPr>
          <w:rFonts w:ascii="Calibri" w:cs="Calibri" w:eastAsia="Calibri" w:hAnsi="Calibri"/>
          <w:color w:val="6B7A8C"/>
          <w:sz w:val="16"/>
          <w:szCs w:val="16"/>
        </w:rPr>
        <w:t xml:space="preserve">Cybersecurity Ventures with Sophos, 2026 CISO Report</w:t>
      </w:r>
    </w:p>
    <w:tbl>
      <w:tblPr>
        <w:tblW w:type="dxa" w:w="10080"/>
        <w:tblBorders>
          <w:top w:val="none"/>
          <w:left w:val="none"/>
          <w:bottom w:val="none"/>
          <w:right w:val="none"/>
          <w:insideH w:val="none"/>
          <w:insideV w:val="none"/>
        </w:tblBorders>
      </w:tblPr>
      <w:tblGrid>
        <w:gridCol w:w="1700"/>
        <w:gridCol w:w="8380"/>
      </w:tblGrid>
      <w:tr>
        <w:trPr>
          <w:cantSplit/>
        </w:trPr>
        <w:tc>
          <w:tcPr>
            <w:tcW w:type="dxa" w:w="1700"/>
            <w:tcBorders>
              <w:top w:val="none"/>
              <w:left w:val="none"/>
              <w:bottom w:val="none"/>
              <w:right w:val="none"/>
            </w:tcBorders>
            <w:tcMar>
              <w:top w:type="dxa" w:w="40"/>
              <w:left w:type="dxa" w:w="0"/>
              <w:bottom w:type="dxa" w:w="40"/>
              <w:right w:type="dxa" w:w="120"/>
            </w:tcMar>
          </w:tcPr>
          <w:p>
            <w:pPr>
              <w:spacing w:after="0" w:before="0"/>
            </w:pPr>
            <w:r>
              <w:rPr>
                <w:rFonts w:ascii="Calibri" w:cs="Calibri" w:eastAsia="Calibri" w:hAnsi="Calibri"/>
                <w:b/>
                <w:bCs/>
                <w:color w:val="44A8D9"/>
                <w:sz w:val="30"/>
                <w:szCs w:val="30"/>
              </w:rPr>
              <w:t xml:space="preserve">59%</w:t>
            </w:r>
          </w:p>
        </w:tc>
        <w:tc>
          <w:tcPr>
            <w:tcW w:type="dxa" w:w="8380"/>
            <w:tcBorders>
              <w:top w:val="none"/>
              <w:left w:val="none"/>
              <w:bottom w:val="none"/>
              <w:right w:val="none"/>
            </w:tcBorders>
            <w:tcMar>
              <w:top w:type="dxa" w:w="40"/>
              <w:left w:type="dxa" w:w="0"/>
              <w:bottom w:type="dxa" w:w="40"/>
              <w:right w:type="dxa" w:w="0"/>
            </w:tcMar>
          </w:tcPr>
          <w:p>
            <w:pPr>
              <w:spacing w:after="0" w:before="0" w:line="250"/>
            </w:pPr>
            <w:r>
              <w:rPr>
                <w:rFonts w:ascii="Calibri" w:cs="Calibri" w:eastAsia="Calibri" w:hAnsi="Calibri"/>
                <w:color w:val="3D4A5A"/>
                <w:sz w:val="18"/>
                <w:szCs w:val="18"/>
              </w:rPr>
              <w:t xml:space="preserve">name budget the number-one barrier to executing security strategy; 45% lack skills; 40% lack staff; 31% say management underestimates security risks. NIST CSF use fell five points to 54%.</w:t>
            </w:r>
          </w:p>
        </w:tc>
      </w:tr>
    </w:tbl>
    <w:p>
      <w:pPr>
        <w:spacing w:after="160" w:before="0" w:line="276"/>
      </w:pPr>
      <w:r>
        <w:rPr>
          <w:rFonts w:ascii="Calibri" w:cs="Calibri" w:eastAsia="Calibri" w:hAnsi="Calibri"/>
          <w:b/>
          <w:bCs/>
          <w:color w:val="6B7A8C"/>
          <w:sz w:val="16"/>
          <w:szCs w:val="16"/>
        </w:rPr>
        <w:t xml:space="preserve">Source: </w:t>
      </w:r>
      <w:r>
        <w:rPr>
          <w:rFonts w:ascii="Calibri" w:cs="Calibri" w:eastAsia="Calibri" w:hAnsi="Calibri"/>
          <w:color w:val="6B7A8C"/>
          <w:sz w:val="16"/>
          <w:szCs w:val="16"/>
        </w:rPr>
        <w:t xml:space="preserve">Fortra, 2025 State of Cybersecurity Survey · February 2025</w:t>
      </w:r>
    </w:p>
    <w:tbl>
      <w:tblPr>
        <w:tblW w:type="dxa" w:w="10080"/>
        <w:tblBorders>
          <w:top w:val="none"/>
          <w:left w:val="none"/>
          <w:bottom w:val="none"/>
          <w:right w:val="none"/>
          <w:insideH w:val="none"/>
          <w:insideV w:val="none"/>
        </w:tblBorders>
      </w:tblPr>
      <w:tblGrid>
        <w:gridCol w:w="1700"/>
        <w:gridCol w:w="8380"/>
      </w:tblGrid>
      <w:tr>
        <w:trPr>
          <w:cantSplit/>
        </w:trPr>
        <w:tc>
          <w:tcPr>
            <w:tcW w:type="dxa" w:w="1700"/>
            <w:tcBorders>
              <w:top w:val="none"/>
              <w:left w:val="none"/>
              <w:bottom w:val="none"/>
              <w:right w:val="none"/>
            </w:tcBorders>
            <w:tcMar>
              <w:top w:type="dxa" w:w="40"/>
              <w:left w:type="dxa" w:w="0"/>
              <w:bottom w:type="dxa" w:w="40"/>
              <w:right w:type="dxa" w:w="120"/>
            </w:tcMar>
          </w:tcPr>
          <w:p>
            <w:pPr>
              <w:spacing w:after="0" w:before="0"/>
            </w:pPr>
            <w:r>
              <w:rPr>
                <w:rFonts w:ascii="Calibri" w:cs="Calibri" w:eastAsia="Calibri" w:hAnsi="Calibri"/>
                <w:b/>
                <w:bCs/>
                <w:color w:val="44A8D9"/>
                <w:sz w:val="30"/>
                <w:szCs w:val="30"/>
              </w:rPr>
              <w:t xml:space="preserve">76%</w:t>
            </w:r>
          </w:p>
        </w:tc>
        <w:tc>
          <w:tcPr>
            <w:tcW w:type="dxa" w:w="8380"/>
            <w:tcBorders>
              <w:top w:val="none"/>
              <w:left w:val="none"/>
              <w:bottom w:val="none"/>
              <w:right w:val="none"/>
            </w:tcBorders>
            <w:tcMar>
              <w:top w:type="dxa" w:w="40"/>
              <w:left w:type="dxa" w:w="0"/>
              <w:bottom w:type="dxa" w:w="40"/>
              <w:right w:type="dxa" w:w="0"/>
            </w:tcMar>
          </w:tcPr>
          <w:p>
            <w:pPr>
              <w:spacing w:after="0" w:before="0" w:line="250"/>
            </w:pPr>
            <w:r>
              <w:rPr>
                <w:rFonts w:ascii="Calibri" w:cs="Calibri" w:eastAsia="Calibri" w:hAnsi="Calibri"/>
                <w:color w:val="3D4A5A"/>
                <w:sz w:val="18"/>
                <w:szCs w:val="18"/>
              </w:rPr>
              <w:t xml:space="preserve">of SMBs lack the in-house skills to address security issues; 94% use an MSP; 62% would switch providers for better security and would pay 47% more for it.</w:t>
            </w:r>
          </w:p>
        </w:tc>
      </w:tr>
    </w:tbl>
    <w:p>
      <w:pPr>
        <w:spacing w:after="160" w:before="0" w:line="276"/>
      </w:pPr>
      <w:r>
        <w:rPr>
          <w:rFonts w:ascii="Calibri" w:cs="Calibri" w:eastAsia="Calibri" w:hAnsi="Calibri"/>
          <w:b/>
          <w:bCs/>
          <w:color w:val="6B7A8C"/>
          <w:sz w:val="16"/>
          <w:szCs w:val="16"/>
        </w:rPr>
        <w:t xml:space="preserve">Source: </w:t>
      </w:r>
      <w:r>
        <w:rPr>
          <w:rFonts w:ascii="Calibri" w:cs="Calibri" w:eastAsia="Calibri" w:hAnsi="Calibri"/>
          <w:color w:val="6B7A8C"/>
          <w:sz w:val="16"/>
          <w:szCs w:val="16"/>
        </w:rPr>
        <w:t xml:space="preserve">ConnectWise, State of SMB Cybersecurity · June 2024 · n=700</w:t>
      </w:r>
    </w:p>
    <w:tbl>
      <w:tblPr>
        <w:tblW w:type="dxa" w:w="10080"/>
        <w:tblBorders>
          <w:top w:val="none"/>
          <w:left w:val="none"/>
          <w:bottom w:val="none"/>
          <w:right w:val="none"/>
          <w:insideH w:val="none"/>
          <w:insideV w:val="none"/>
        </w:tblBorders>
      </w:tblPr>
      <w:tblGrid>
        <w:gridCol w:w="1700"/>
        <w:gridCol w:w="8380"/>
      </w:tblGrid>
      <w:tr>
        <w:trPr>
          <w:cantSplit/>
        </w:trPr>
        <w:tc>
          <w:tcPr>
            <w:tcW w:type="dxa" w:w="1700"/>
            <w:tcBorders>
              <w:top w:val="none"/>
              <w:left w:val="none"/>
              <w:bottom w:val="none"/>
              <w:right w:val="none"/>
            </w:tcBorders>
            <w:tcMar>
              <w:top w:type="dxa" w:w="40"/>
              <w:left w:type="dxa" w:w="0"/>
              <w:bottom w:type="dxa" w:w="40"/>
              <w:right w:type="dxa" w:w="120"/>
            </w:tcMar>
          </w:tcPr>
          <w:p>
            <w:pPr>
              <w:spacing w:after="0" w:before="0"/>
            </w:pPr>
            <w:r>
              <w:rPr>
                <w:rFonts w:ascii="Calibri" w:cs="Calibri" w:eastAsia="Calibri" w:hAnsi="Calibri"/>
                <w:b/>
                <w:bCs/>
                <w:color w:val="44A8D9"/>
                <w:sz w:val="30"/>
                <w:szCs w:val="30"/>
              </w:rPr>
              <w:t xml:space="preserve">73%</w:t>
            </w:r>
          </w:p>
        </w:tc>
        <w:tc>
          <w:tcPr>
            <w:tcW w:type="dxa" w:w="8380"/>
            <w:tcBorders>
              <w:top w:val="none"/>
              <w:left w:val="none"/>
              <w:bottom w:val="none"/>
              <w:right w:val="none"/>
            </w:tcBorders>
            <w:tcMar>
              <w:top w:type="dxa" w:w="40"/>
              <w:left w:type="dxa" w:w="0"/>
              <w:bottom w:type="dxa" w:w="40"/>
              <w:right w:type="dxa" w:w="0"/>
            </w:tcMar>
          </w:tcPr>
          <w:p>
            <w:pPr>
              <w:spacing w:after="0" w:before="0" w:line="250"/>
            </w:pPr>
            <w:r>
              <w:rPr>
                <w:rFonts w:ascii="Calibri" w:cs="Calibri" w:eastAsia="Calibri" w:hAnsi="Calibri"/>
                <w:color w:val="3D4A5A"/>
                <w:sz w:val="18"/>
                <w:szCs w:val="18"/>
              </w:rPr>
              <w:t xml:space="preserve">of SMBs lack full confidence their MSP could protect them during an attack; 47% would switch for stronger cybersecurity; 57% rank cyber their top business priority, ahead of growth.</w:t>
            </w:r>
          </w:p>
        </w:tc>
      </w:tr>
    </w:tbl>
    <w:p>
      <w:pPr>
        <w:spacing w:after="160" w:before="0" w:line="276"/>
      </w:pPr>
      <w:r>
        <w:rPr>
          <w:rFonts w:ascii="Calibri" w:cs="Calibri" w:eastAsia="Calibri" w:hAnsi="Calibri"/>
          <w:b/>
          <w:bCs/>
          <w:color w:val="6B7A8C"/>
          <w:sz w:val="16"/>
          <w:szCs w:val="16"/>
        </w:rPr>
        <w:t xml:space="preserve">Source: </w:t>
      </w:r>
      <w:r>
        <w:rPr>
          <w:rFonts w:ascii="Calibri" w:cs="Calibri" w:eastAsia="Calibri" w:hAnsi="Calibri"/>
          <w:color w:val="6B7A8C"/>
          <w:sz w:val="16"/>
          <w:szCs w:val="16"/>
        </w:rPr>
        <w:t xml:space="preserve">ConnectWise, SMB statistics and trends · July 2025</w:t>
      </w:r>
    </w:p>
    <w:p>
      <w:pPr>
        <w:pStyle w:val="Heading3"/>
        <w:keepNext/>
        <w:spacing w:after="80" w:before="240"/>
      </w:pPr>
      <w:r>
        <w:rPr>
          <w:rFonts w:ascii="Calibri" w:cs="Calibri" w:eastAsia="Calibri" w:hAnsi="Calibri"/>
          <w:b/>
          <w:bCs/>
          <w:color w:val="14202E"/>
          <w:sz w:val="22"/>
          <w:szCs w:val="22"/>
        </w:rPr>
        <w:t xml:space="preserve">3.2  Maturity by size: the gradient is steep</w:t>
      </w:r>
    </w:p>
    <w:p>
      <w:pPr>
        <w:spacing w:after="120" w:before="0" w:line="276"/>
      </w:pPr>
      <w:r>
        <w:rPr>
          <w:rFonts w:ascii="Calibri" w:cs="Calibri" w:eastAsia="Calibri" w:hAnsi="Calibri"/>
          <w:color w:val="3D4A5A"/>
          <w:sz w:val="20"/>
          <w:szCs w:val="20"/>
        </w:rPr>
        <w:t xml:space="preserve">The cleanest size-segmented dataset available is the UK government’s annual survey (n=2,112 businesses). US surveys tell the same story without the clean cuts.</w:t>
      </w:r>
    </w:p>
    <w:tbl>
      <w:tblPr>
        <w:tblW w:type="dxa" w:w="10080"/>
        <w:tblBorders>
          <w:top w:val="single" w:color="D3DCE6" w:sz="2"/>
          <w:left w:val="none"/>
          <w:bottom w:val="single" w:color="D3DCE6" w:sz="2"/>
          <w:right w:val="none"/>
          <w:insideH w:val="single" w:color="D3DCE6" w:sz="2"/>
          <w:insideV w:val="none"/>
        </w:tblBorders>
      </w:tblPr>
      <w:tblGrid>
        <w:gridCol w:w="4032"/>
        <w:gridCol w:w="1512"/>
        <w:gridCol w:w="1512"/>
        <w:gridCol w:w="1512"/>
        <w:gridCol w:w="1512"/>
      </w:tblGrid>
      <w:tr>
        <w:trPr>
          <w:cantSplit/>
          <w:tblHeader/>
        </w:trPr>
        <w:tc>
          <w:tcPr>
            <w:tcW w:type="dxa" w:w="4032"/>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Practice in place</w:t>
            </w:r>
          </w:p>
        </w:tc>
        <w:tc>
          <w:tcPr>
            <w:tcW w:type="dxa" w:w="1512"/>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jc w:val="center"/>
            </w:pPr>
            <w:r>
              <w:rPr>
                <w:rFonts w:ascii="Calibri" w:cs="Calibri" w:eastAsia="Calibri" w:hAnsi="Calibri"/>
                <w:b/>
                <w:bCs/>
                <w:color w:val="6B7A8C"/>
                <w:sz w:val="16"/>
                <w:szCs w:val="16"/>
              </w:rPr>
              <w:t xml:space="preserve">Micro (1–9)</w:t>
            </w:r>
          </w:p>
        </w:tc>
        <w:tc>
          <w:tcPr>
            <w:tcW w:type="dxa" w:w="1512"/>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jc w:val="center"/>
            </w:pPr>
            <w:r>
              <w:rPr>
                <w:rFonts w:ascii="Calibri" w:cs="Calibri" w:eastAsia="Calibri" w:hAnsi="Calibri"/>
                <w:b/>
                <w:bCs/>
                <w:color w:val="6B7A8C"/>
                <w:sz w:val="16"/>
                <w:szCs w:val="16"/>
              </w:rPr>
              <w:t xml:space="preserve">Small (10–49)</w:t>
            </w:r>
          </w:p>
        </w:tc>
        <w:tc>
          <w:tcPr>
            <w:tcW w:type="dxa" w:w="1512"/>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jc w:val="center"/>
            </w:pPr>
            <w:r>
              <w:rPr>
                <w:rFonts w:ascii="Calibri" w:cs="Calibri" w:eastAsia="Calibri" w:hAnsi="Calibri"/>
                <w:b/>
                <w:bCs/>
                <w:color w:val="6B7A8C"/>
                <w:sz w:val="16"/>
                <w:szCs w:val="16"/>
              </w:rPr>
              <w:t xml:space="preserve">Medium (50–249)</w:t>
            </w:r>
          </w:p>
        </w:tc>
        <w:tc>
          <w:tcPr>
            <w:tcW w:type="dxa" w:w="1512"/>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jc w:val="center"/>
            </w:pPr>
            <w:r>
              <w:rPr>
                <w:rFonts w:ascii="Calibri" w:cs="Calibri" w:eastAsia="Calibri" w:hAnsi="Calibri"/>
                <w:b/>
                <w:bCs/>
                <w:color w:val="6B7A8C"/>
                <w:sz w:val="16"/>
                <w:szCs w:val="16"/>
              </w:rPr>
              <w:t xml:space="preserve">Large (250+)</w:t>
            </w:r>
          </w:p>
        </w:tc>
      </w:tr>
      <w:tr>
        <w:trPr>
          <w:cantSplit/>
        </w:trPr>
        <w:tc>
          <w:tcPr>
            <w:tcW w:type="dxa" w:w="4032"/>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Board-level responsibility for cyber</w:t>
            </w:r>
          </w:p>
        </w:tc>
        <w:tc>
          <w:tcPr>
            <w:tcW w:type="dxa" w:w="1512"/>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center"/>
            </w:pPr>
            <w:r>
              <w:rPr>
                <w:rFonts w:ascii="Calibri" w:cs="Calibri" w:eastAsia="Calibri" w:hAnsi="Calibri"/>
                <w:color w:val="3D4A5A"/>
                <w:sz w:val="18"/>
                <w:szCs w:val="18"/>
              </w:rPr>
              <w:t xml:space="preserve">29%</w:t>
            </w:r>
          </w:p>
        </w:tc>
        <w:tc>
          <w:tcPr>
            <w:tcW w:type="dxa" w:w="1512"/>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center"/>
            </w:pPr>
            <w:r>
              <w:rPr>
                <w:rFonts w:ascii="Calibri" w:cs="Calibri" w:eastAsia="Calibri" w:hAnsi="Calibri"/>
                <w:color w:val="3D4A5A"/>
                <w:sz w:val="18"/>
                <w:szCs w:val="18"/>
              </w:rPr>
              <w:t xml:space="preserve">37%</w:t>
            </w:r>
          </w:p>
        </w:tc>
        <w:tc>
          <w:tcPr>
            <w:tcW w:type="dxa" w:w="1512"/>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center"/>
            </w:pPr>
            <w:r>
              <w:rPr>
                <w:rFonts w:ascii="Calibri" w:cs="Calibri" w:eastAsia="Calibri" w:hAnsi="Calibri"/>
                <w:color w:val="3D4A5A"/>
                <w:sz w:val="18"/>
                <w:szCs w:val="18"/>
              </w:rPr>
              <w:t xml:space="preserve">52%</w:t>
            </w:r>
          </w:p>
        </w:tc>
        <w:tc>
          <w:tcPr>
            <w:tcW w:type="dxa" w:w="1512"/>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center"/>
            </w:pPr>
            <w:r>
              <w:rPr>
                <w:rFonts w:ascii="Calibri" w:cs="Calibri" w:eastAsia="Calibri" w:hAnsi="Calibri"/>
                <w:color w:val="3D4A5A"/>
                <w:sz w:val="18"/>
                <w:szCs w:val="18"/>
              </w:rPr>
              <w:t xml:space="preserve">68%</w:t>
            </w:r>
          </w:p>
        </w:tc>
      </w:tr>
      <w:tr>
        <w:trPr>
          <w:cantSplit/>
        </w:trPr>
        <w:tc>
          <w:tcPr>
            <w:tcW w:type="dxa" w:w="4032"/>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Formal incident response plan</w:t>
            </w:r>
          </w:p>
        </w:tc>
        <w:tc>
          <w:tcPr>
            <w:tcW w:type="dxa" w:w="1512"/>
            <w:tcBorders>
              <w:top w:val="single" w:color="D3DCE6" w:sz="2"/>
              <w:left w:val="none"/>
              <w:bottom w:val="single" w:color="D3DCE6" w:sz="2"/>
              <w:right w:val="none"/>
            </w:tcBorders>
            <w:tcMar>
              <w:top w:type="dxa" w:w="70"/>
              <w:left w:type="dxa" w:w="100"/>
              <w:bottom w:type="dxa" w:w="70"/>
              <w:right w:type="dxa" w:w="100"/>
            </w:tcMar>
          </w:tcPr>
          <w:p>
            <w:pPr>
              <w:spacing w:after="0" w:before="0" w:line="250"/>
              <w:jc w:val="center"/>
            </w:pPr>
            <w:r>
              <w:rPr>
                <w:rFonts w:ascii="Calibri" w:cs="Calibri" w:eastAsia="Calibri" w:hAnsi="Calibri"/>
                <w:color w:val="3D4A5A"/>
                <w:sz w:val="18"/>
                <w:szCs w:val="18"/>
              </w:rPr>
              <w:t xml:space="preserve">21%</w:t>
            </w:r>
          </w:p>
        </w:tc>
        <w:tc>
          <w:tcPr>
            <w:tcW w:type="dxa" w:w="1512"/>
            <w:tcBorders>
              <w:top w:val="single" w:color="D3DCE6" w:sz="2"/>
              <w:left w:val="none"/>
              <w:bottom w:val="single" w:color="D3DCE6" w:sz="2"/>
              <w:right w:val="none"/>
            </w:tcBorders>
            <w:tcMar>
              <w:top w:type="dxa" w:w="70"/>
              <w:left w:type="dxa" w:w="100"/>
              <w:bottom w:type="dxa" w:w="70"/>
              <w:right w:type="dxa" w:w="100"/>
            </w:tcMar>
          </w:tcPr>
          <w:p>
            <w:pPr>
              <w:spacing w:after="0" w:before="0" w:line="250"/>
              <w:jc w:val="center"/>
            </w:pPr>
            <w:r>
              <w:rPr>
                <w:rFonts w:ascii="Calibri" w:cs="Calibri" w:eastAsia="Calibri" w:hAnsi="Calibri"/>
                <w:color w:val="3D4A5A"/>
                <w:sz w:val="18"/>
                <w:szCs w:val="18"/>
              </w:rPr>
              <w:t xml:space="preserve">—</w:t>
            </w:r>
          </w:p>
        </w:tc>
        <w:tc>
          <w:tcPr>
            <w:tcW w:type="dxa" w:w="1512"/>
            <w:tcBorders>
              <w:top w:val="single" w:color="D3DCE6" w:sz="2"/>
              <w:left w:val="none"/>
              <w:bottom w:val="single" w:color="D3DCE6" w:sz="2"/>
              <w:right w:val="none"/>
            </w:tcBorders>
            <w:tcMar>
              <w:top w:type="dxa" w:w="70"/>
              <w:left w:type="dxa" w:w="100"/>
              <w:bottom w:type="dxa" w:w="70"/>
              <w:right w:type="dxa" w:w="100"/>
            </w:tcMar>
          </w:tcPr>
          <w:p>
            <w:pPr>
              <w:spacing w:after="0" w:before="0" w:line="250"/>
              <w:jc w:val="center"/>
            </w:pPr>
            <w:r>
              <w:rPr>
                <w:rFonts w:ascii="Calibri" w:cs="Calibri" w:eastAsia="Calibri" w:hAnsi="Calibri"/>
                <w:color w:val="3D4A5A"/>
                <w:sz w:val="18"/>
                <w:szCs w:val="18"/>
              </w:rPr>
              <w:t xml:space="preserve">57%</w:t>
            </w:r>
          </w:p>
        </w:tc>
        <w:tc>
          <w:tcPr>
            <w:tcW w:type="dxa" w:w="1512"/>
            <w:tcBorders>
              <w:top w:val="single" w:color="D3DCE6" w:sz="2"/>
              <w:left w:val="none"/>
              <w:bottom w:val="single" w:color="D3DCE6" w:sz="2"/>
              <w:right w:val="none"/>
            </w:tcBorders>
            <w:tcMar>
              <w:top w:type="dxa" w:w="70"/>
              <w:left w:type="dxa" w:w="100"/>
              <w:bottom w:type="dxa" w:w="70"/>
              <w:right w:type="dxa" w:w="100"/>
            </w:tcMar>
          </w:tcPr>
          <w:p>
            <w:pPr>
              <w:spacing w:after="0" w:before="0" w:line="250"/>
              <w:jc w:val="center"/>
            </w:pPr>
            <w:r>
              <w:rPr>
                <w:rFonts w:ascii="Calibri" w:cs="Calibri" w:eastAsia="Calibri" w:hAnsi="Calibri"/>
                <w:color w:val="3D4A5A"/>
                <w:sz w:val="18"/>
                <w:szCs w:val="18"/>
              </w:rPr>
              <w:t xml:space="preserve">76%</w:t>
            </w:r>
          </w:p>
        </w:tc>
      </w:tr>
      <w:tr>
        <w:trPr>
          <w:cantSplit/>
        </w:trPr>
        <w:tc>
          <w:tcPr>
            <w:tcW w:type="dxa" w:w="4032"/>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Two-factor authentication deployed</w:t>
            </w:r>
          </w:p>
        </w:tc>
        <w:tc>
          <w:tcPr>
            <w:tcW w:type="dxa" w:w="1512"/>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center"/>
            </w:pPr>
            <w:r>
              <w:rPr>
                <w:rFonts w:ascii="Calibri" w:cs="Calibri" w:eastAsia="Calibri" w:hAnsi="Calibri"/>
                <w:color w:val="3D4A5A"/>
                <w:sz w:val="18"/>
                <w:szCs w:val="18"/>
              </w:rPr>
              <w:t xml:space="preserve">42%</w:t>
            </w:r>
          </w:p>
        </w:tc>
        <w:tc>
          <w:tcPr>
            <w:tcW w:type="dxa" w:w="1512"/>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center"/>
            </w:pPr>
            <w:r>
              <w:rPr>
                <w:rFonts w:ascii="Calibri" w:cs="Calibri" w:eastAsia="Calibri" w:hAnsi="Calibri"/>
                <w:color w:val="3D4A5A"/>
                <w:sz w:val="18"/>
                <w:szCs w:val="18"/>
              </w:rPr>
              <w:t xml:space="preserve">52%</w:t>
            </w:r>
          </w:p>
        </w:tc>
        <w:tc>
          <w:tcPr>
            <w:tcW w:type="dxa" w:w="1512"/>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center"/>
            </w:pPr>
            <w:r>
              <w:rPr>
                <w:rFonts w:ascii="Calibri" w:cs="Calibri" w:eastAsia="Calibri" w:hAnsi="Calibri"/>
                <w:color w:val="3D4A5A"/>
                <w:sz w:val="18"/>
                <w:szCs w:val="18"/>
              </w:rPr>
              <w:t xml:space="preserve">72%</w:t>
            </w:r>
          </w:p>
        </w:tc>
        <w:tc>
          <w:tcPr>
            <w:tcW w:type="dxa" w:w="1512"/>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center"/>
            </w:pPr>
            <w:r>
              <w:rPr>
                <w:rFonts w:ascii="Calibri" w:cs="Calibri" w:eastAsia="Calibri" w:hAnsi="Calibri"/>
                <w:color w:val="3D4A5A"/>
                <w:sz w:val="18"/>
                <w:szCs w:val="18"/>
              </w:rPr>
              <w:t xml:space="preserve">90%</w:t>
            </w:r>
          </w:p>
        </w:tc>
      </w:tr>
      <w:tr>
        <w:trPr>
          <w:cantSplit/>
        </w:trPr>
        <w:tc>
          <w:tcPr>
            <w:tcW w:type="dxa" w:w="4032"/>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Reviews immediate supplier risk</w:t>
            </w:r>
          </w:p>
        </w:tc>
        <w:tc>
          <w:tcPr>
            <w:tcW w:type="dxa" w:w="1512"/>
            <w:tcBorders>
              <w:top w:val="single" w:color="D3DCE6" w:sz="2"/>
              <w:left w:val="none"/>
              <w:bottom w:val="single" w:color="D3DCE6" w:sz="2"/>
              <w:right w:val="none"/>
            </w:tcBorders>
            <w:tcMar>
              <w:top w:type="dxa" w:w="70"/>
              <w:left w:type="dxa" w:w="100"/>
              <w:bottom w:type="dxa" w:w="70"/>
              <w:right w:type="dxa" w:w="100"/>
            </w:tcMar>
          </w:tcPr>
          <w:p>
            <w:pPr>
              <w:spacing w:after="0" w:before="0" w:line="250"/>
              <w:jc w:val="center"/>
            </w:pPr>
            <w:r>
              <w:rPr>
                <w:rFonts w:ascii="Calibri" w:cs="Calibri" w:eastAsia="Calibri" w:hAnsi="Calibri"/>
                <w:color w:val="3D4A5A"/>
                <w:sz w:val="18"/>
                <w:szCs w:val="18"/>
              </w:rPr>
              <w:t xml:space="preserve">12%</w:t>
            </w:r>
          </w:p>
        </w:tc>
        <w:tc>
          <w:tcPr>
            <w:tcW w:type="dxa" w:w="1512"/>
            <w:tcBorders>
              <w:top w:val="single" w:color="D3DCE6" w:sz="2"/>
              <w:left w:val="none"/>
              <w:bottom w:val="single" w:color="D3DCE6" w:sz="2"/>
              <w:right w:val="none"/>
            </w:tcBorders>
            <w:tcMar>
              <w:top w:type="dxa" w:w="70"/>
              <w:left w:type="dxa" w:w="100"/>
              <w:bottom w:type="dxa" w:w="70"/>
              <w:right w:type="dxa" w:w="100"/>
            </w:tcMar>
          </w:tcPr>
          <w:p>
            <w:pPr>
              <w:spacing w:after="0" w:before="0" w:line="250"/>
              <w:jc w:val="center"/>
            </w:pPr>
            <w:r>
              <w:rPr>
                <w:rFonts w:ascii="Calibri" w:cs="Calibri" w:eastAsia="Calibri" w:hAnsi="Calibri"/>
                <w:color w:val="3D4A5A"/>
                <w:sz w:val="18"/>
                <w:szCs w:val="18"/>
              </w:rPr>
              <w:t xml:space="preserve">—</w:t>
            </w:r>
          </w:p>
        </w:tc>
        <w:tc>
          <w:tcPr>
            <w:tcW w:type="dxa" w:w="1512"/>
            <w:tcBorders>
              <w:top w:val="single" w:color="D3DCE6" w:sz="2"/>
              <w:left w:val="none"/>
              <w:bottom w:val="single" w:color="D3DCE6" w:sz="2"/>
              <w:right w:val="none"/>
            </w:tcBorders>
            <w:tcMar>
              <w:top w:type="dxa" w:w="70"/>
              <w:left w:type="dxa" w:w="100"/>
              <w:bottom w:type="dxa" w:w="70"/>
              <w:right w:type="dxa" w:w="100"/>
            </w:tcMar>
          </w:tcPr>
          <w:p>
            <w:pPr>
              <w:spacing w:after="0" w:before="0" w:line="250"/>
              <w:jc w:val="center"/>
            </w:pPr>
            <w:r>
              <w:rPr>
                <w:rFonts w:ascii="Calibri" w:cs="Calibri" w:eastAsia="Calibri" w:hAnsi="Calibri"/>
                <w:color w:val="3D4A5A"/>
                <w:sz w:val="18"/>
                <w:szCs w:val="18"/>
              </w:rPr>
              <w:t xml:space="preserve">30%</w:t>
            </w:r>
          </w:p>
        </w:tc>
        <w:tc>
          <w:tcPr>
            <w:tcW w:type="dxa" w:w="1512"/>
            <w:tcBorders>
              <w:top w:val="single" w:color="D3DCE6" w:sz="2"/>
              <w:left w:val="none"/>
              <w:bottom w:val="single" w:color="D3DCE6" w:sz="2"/>
              <w:right w:val="none"/>
            </w:tcBorders>
            <w:tcMar>
              <w:top w:type="dxa" w:w="70"/>
              <w:left w:type="dxa" w:w="100"/>
              <w:bottom w:type="dxa" w:w="70"/>
              <w:right w:type="dxa" w:w="100"/>
            </w:tcMar>
          </w:tcPr>
          <w:p>
            <w:pPr>
              <w:spacing w:after="0" w:before="0" w:line="250"/>
              <w:jc w:val="center"/>
            </w:pPr>
            <w:r>
              <w:rPr>
                <w:rFonts w:ascii="Calibri" w:cs="Calibri" w:eastAsia="Calibri" w:hAnsi="Calibri"/>
                <w:color w:val="3D4A5A"/>
                <w:sz w:val="18"/>
                <w:szCs w:val="18"/>
              </w:rPr>
              <w:t xml:space="preserve">48%</w:t>
            </w:r>
          </w:p>
        </w:tc>
      </w:tr>
      <w:tr>
        <w:trPr>
          <w:cantSplit/>
        </w:trPr>
        <w:tc>
          <w:tcPr>
            <w:tcW w:type="dxa" w:w="4032"/>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Formal cyber security strategy</w:t>
            </w:r>
          </w:p>
        </w:tc>
        <w:tc>
          <w:tcPr>
            <w:tcW w:type="dxa" w:w="1512"/>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center"/>
            </w:pPr>
            <w:r>
              <w:rPr>
                <w:rFonts w:ascii="Calibri" w:cs="Calibri" w:eastAsia="Calibri" w:hAnsi="Calibri"/>
                <w:color w:val="3D4A5A"/>
                <w:sz w:val="18"/>
                <w:szCs w:val="18"/>
              </w:rPr>
              <w:t xml:space="preserve">—</w:t>
            </w:r>
          </w:p>
        </w:tc>
        <w:tc>
          <w:tcPr>
            <w:tcW w:type="dxa" w:w="1512"/>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center"/>
            </w:pPr>
            <w:r>
              <w:rPr>
                <w:rFonts w:ascii="Calibri" w:cs="Calibri" w:eastAsia="Calibri" w:hAnsi="Calibri"/>
                <w:color w:val="3D4A5A"/>
                <w:sz w:val="18"/>
                <w:szCs w:val="18"/>
              </w:rPr>
              <w:t xml:space="preserve">—</w:t>
            </w:r>
          </w:p>
        </w:tc>
        <w:tc>
          <w:tcPr>
            <w:tcW w:type="dxa" w:w="1512"/>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center"/>
            </w:pPr>
            <w:r>
              <w:rPr>
                <w:rFonts w:ascii="Calibri" w:cs="Calibri" w:eastAsia="Calibri" w:hAnsi="Calibri"/>
                <w:color w:val="3D4A5A"/>
                <w:sz w:val="18"/>
                <w:szCs w:val="18"/>
              </w:rPr>
              <w:t xml:space="preserve">57%</w:t>
            </w:r>
          </w:p>
        </w:tc>
        <w:tc>
          <w:tcPr>
            <w:tcW w:type="dxa" w:w="1512"/>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center"/>
            </w:pPr>
            <w:r>
              <w:rPr>
                <w:rFonts w:ascii="Calibri" w:cs="Calibri" w:eastAsia="Calibri" w:hAnsi="Calibri"/>
                <w:color w:val="3D4A5A"/>
                <w:sz w:val="18"/>
                <w:szCs w:val="18"/>
              </w:rPr>
              <w:t xml:space="preserve">74%</w:t>
            </w:r>
          </w:p>
        </w:tc>
      </w:tr>
      <w:tr>
        <w:trPr>
          <w:cantSplit/>
        </w:trPr>
        <w:tc>
          <w:tcPr>
            <w:tcW w:type="dxa" w:w="4032"/>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Breached or attacked in last 12 months</w:t>
            </w:r>
          </w:p>
        </w:tc>
        <w:tc>
          <w:tcPr>
            <w:tcW w:type="dxa" w:w="1512"/>
            <w:tcBorders>
              <w:top w:val="single" w:color="D3DCE6" w:sz="2"/>
              <w:left w:val="none"/>
              <w:bottom w:val="single" w:color="D3DCE6" w:sz="2"/>
              <w:right w:val="none"/>
            </w:tcBorders>
            <w:tcMar>
              <w:top w:type="dxa" w:w="70"/>
              <w:left w:type="dxa" w:w="100"/>
              <w:bottom w:type="dxa" w:w="70"/>
              <w:right w:type="dxa" w:w="100"/>
            </w:tcMar>
          </w:tcPr>
          <w:p>
            <w:pPr>
              <w:spacing w:after="0" w:before="0" w:line="250"/>
              <w:jc w:val="center"/>
            </w:pPr>
            <w:r>
              <w:rPr>
                <w:rFonts w:ascii="Calibri" w:cs="Calibri" w:eastAsia="Calibri" w:hAnsi="Calibri"/>
                <w:color w:val="3D4A5A"/>
                <w:sz w:val="18"/>
                <w:szCs w:val="18"/>
              </w:rPr>
              <w:t xml:space="preserve">42%</w:t>
            </w:r>
          </w:p>
        </w:tc>
        <w:tc>
          <w:tcPr>
            <w:tcW w:type="dxa" w:w="1512"/>
            <w:tcBorders>
              <w:top w:val="single" w:color="D3DCE6" w:sz="2"/>
              <w:left w:val="none"/>
              <w:bottom w:val="single" w:color="D3DCE6" w:sz="2"/>
              <w:right w:val="none"/>
            </w:tcBorders>
            <w:tcMar>
              <w:top w:type="dxa" w:w="70"/>
              <w:left w:type="dxa" w:w="100"/>
              <w:bottom w:type="dxa" w:w="70"/>
              <w:right w:type="dxa" w:w="100"/>
            </w:tcMar>
          </w:tcPr>
          <w:p>
            <w:pPr>
              <w:spacing w:after="0" w:before="0" w:line="250"/>
              <w:jc w:val="center"/>
            </w:pPr>
            <w:r>
              <w:rPr>
                <w:rFonts w:ascii="Calibri" w:cs="Calibri" w:eastAsia="Calibri" w:hAnsi="Calibri"/>
                <w:color w:val="3D4A5A"/>
                <w:sz w:val="18"/>
                <w:szCs w:val="18"/>
              </w:rPr>
              <w:t xml:space="preserve">46%</w:t>
            </w:r>
          </w:p>
        </w:tc>
        <w:tc>
          <w:tcPr>
            <w:tcW w:type="dxa" w:w="1512"/>
            <w:tcBorders>
              <w:top w:val="single" w:color="D3DCE6" w:sz="2"/>
              <w:left w:val="none"/>
              <w:bottom w:val="single" w:color="D3DCE6" w:sz="2"/>
              <w:right w:val="none"/>
            </w:tcBorders>
            <w:tcMar>
              <w:top w:type="dxa" w:w="70"/>
              <w:left w:type="dxa" w:w="100"/>
              <w:bottom w:type="dxa" w:w="70"/>
              <w:right w:type="dxa" w:w="100"/>
            </w:tcMar>
          </w:tcPr>
          <w:p>
            <w:pPr>
              <w:spacing w:after="0" w:before="0" w:line="250"/>
              <w:jc w:val="center"/>
            </w:pPr>
            <w:r>
              <w:rPr>
                <w:rFonts w:ascii="Calibri" w:cs="Calibri" w:eastAsia="Calibri" w:hAnsi="Calibri"/>
                <w:color w:val="3D4A5A"/>
                <w:sz w:val="18"/>
                <w:szCs w:val="18"/>
              </w:rPr>
              <w:t xml:space="preserve">65%</w:t>
            </w:r>
          </w:p>
        </w:tc>
        <w:tc>
          <w:tcPr>
            <w:tcW w:type="dxa" w:w="1512"/>
            <w:tcBorders>
              <w:top w:val="single" w:color="D3DCE6" w:sz="2"/>
              <w:left w:val="none"/>
              <w:bottom w:val="single" w:color="D3DCE6" w:sz="2"/>
              <w:right w:val="none"/>
            </w:tcBorders>
            <w:tcMar>
              <w:top w:type="dxa" w:w="70"/>
              <w:left w:type="dxa" w:w="100"/>
              <w:bottom w:type="dxa" w:w="70"/>
              <w:right w:type="dxa" w:w="100"/>
            </w:tcMar>
          </w:tcPr>
          <w:p>
            <w:pPr>
              <w:spacing w:after="0" w:before="0" w:line="250"/>
              <w:jc w:val="center"/>
            </w:pPr>
            <w:r>
              <w:rPr>
                <w:rFonts w:ascii="Calibri" w:cs="Calibri" w:eastAsia="Calibri" w:hAnsi="Calibri"/>
                <w:color w:val="3D4A5A"/>
                <w:sz w:val="18"/>
                <w:szCs w:val="18"/>
              </w:rPr>
              <w:t xml:space="preserve">69%</w:t>
            </w:r>
          </w:p>
        </w:tc>
      </w:tr>
    </w:tbl>
    <w:p>
      <w:pPr>
        <w:spacing w:after="180" w:before="0" w:line="276"/>
      </w:pPr>
      <w:r>
        <w:rPr>
          <w:rFonts w:ascii="Calibri" w:cs="Calibri" w:eastAsia="Calibri" w:hAnsi="Calibri"/>
          <w:color w:val="3D4A5A"/>
          <w:sz w:val="8"/>
          <w:szCs w:val="8"/>
        </w:rPr>
        <w:t xml:space="preserve"/>
      </w:r>
    </w:p>
    <w:p>
      <w:pPr>
        <w:spacing w:after="160" w:before="0" w:line="276"/>
      </w:pPr>
      <w:r>
        <w:rPr>
          <w:rFonts w:ascii="Calibri" w:cs="Calibri" w:eastAsia="Calibri" w:hAnsi="Calibri"/>
          <w:b/>
          <w:bCs/>
          <w:color w:val="6B7A8C"/>
          <w:sz w:val="16"/>
          <w:szCs w:val="16"/>
        </w:rPr>
        <w:t xml:space="preserve">Source: </w:t>
      </w:r>
      <w:r>
        <w:rPr>
          <w:rFonts w:ascii="Calibri" w:cs="Calibri" w:eastAsia="Calibri" w:hAnsi="Calibri"/>
          <w:color w:val="6B7A8C"/>
          <w:sz w:val="16"/>
          <w:szCs w:val="16"/>
        </w:rPr>
        <w:t xml:space="preserve">UK DSIT/Home Office, Cyber Security Breaches Survey 2025/2026, published 30 April 2026. Only 30% of all businesses do formal risk assessments and 5% hold Cyber Essentials.</w:t>
      </w:r>
    </w:p>
    <w:tbl>
      <w:tblPr>
        <w:tblW w:type="dxa" w:w="10080"/>
        <w:tblBorders>
          <w:top w:val="none"/>
          <w:left w:val="none"/>
          <w:bottom w:val="none"/>
          <w:right w:val="none"/>
          <w:insideH w:val="none"/>
          <w:insideV w:val="none"/>
        </w:tblBorders>
      </w:tblPr>
      <w:tblGrid>
        <w:gridCol w:w="1700"/>
        <w:gridCol w:w="8380"/>
      </w:tblGrid>
      <w:tr>
        <w:trPr>
          <w:cantSplit/>
        </w:trPr>
        <w:tc>
          <w:tcPr>
            <w:tcW w:type="dxa" w:w="1700"/>
            <w:tcBorders>
              <w:top w:val="none"/>
              <w:left w:val="none"/>
              <w:bottom w:val="none"/>
              <w:right w:val="none"/>
            </w:tcBorders>
            <w:tcMar>
              <w:top w:type="dxa" w:w="40"/>
              <w:left w:type="dxa" w:w="0"/>
              <w:bottom w:type="dxa" w:w="40"/>
              <w:right w:type="dxa" w:w="120"/>
            </w:tcMar>
          </w:tcPr>
          <w:p>
            <w:pPr>
              <w:spacing w:after="0" w:before="0"/>
            </w:pPr>
            <w:r>
              <w:rPr>
                <w:rFonts w:ascii="Calibri" w:cs="Calibri" w:eastAsia="Calibri" w:hAnsi="Calibri"/>
                <w:b/>
                <w:bCs/>
                <w:color w:val="44A8D9"/>
                <w:sz w:val="30"/>
                <w:szCs w:val="30"/>
              </w:rPr>
              <w:t xml:space="preserve">3.2 vs 1.6</w:t>
            </w:r>
          </w:p>
        </w:tc>
        <w:tc>
          <w:tcPr>
            <w:tcW w:type="dxa" w:w="8380"/>
            <w:tcBorders>
              <w:top w:val="none"/>
              <w:left w:val="none"/>
              <w:bottom w:val="none"/>
              <w:right w:val="none"/>
            </w:tcBorders>
            <w:tcMar>
              <w:top w:type="dxa" w:w="40"/>
              <w:left w:type="dxa" w:w="0"/>
              <w:bottom w:type="dxa" w:w="40"/>
              <w:right w:type="dxa" w:w="0"/>
            </w:tcMar>
          </w:tcPr>
          <w:p>
            <w:pPr>
              <w:spacing w:after="0" w:before="0" w:line="250"/>
            </w:pPr>
            <w:r>
              <w:rPr>
                <w:rFonts w:ascii="Calibri" w:cs="Calibri" w:eastAsia="Calibri" w:hAnsi="Calibri"/>
                <w:color w:val="3D4A5A"/>
                <w:sz w:val="18"/>
                <w:szCs w:val="18"/>
              </w:rPr>
              <w:t xml:space="preserve">average number of compliance frameworks maintained by companies over $100M revenue versus smaller ones. Only 52% maintain more than one at all.</w:t>
            </w:r>
          </w:p>
        </w:tc>
      </w:tr>
    </w:tbl>
    <w:p>
      <w:pPr>
        <w:spacing w:after="160" w:before="0" w:line="276"/>
      </w:pPr>
      <w:r>
        <w:rPr>
          <w:rFonts w:ascii="Calibri" w:cs="Calibri" w:eastAsia="Calibri" w:hAnsi="Calibri"/>
          <w:b/>
          <w:bCs/>
          <w:color w:val="6B7A8C"/>
          <w:sz w:val="16"/>
          <w:szCs w:val="16"/>
        </w:rPr>
        <w:t xml:space="preserve">Source: </w:t>
      </w:r>
      <w:r>
        <w:rPr>
          <w:rFonts w:ascii="Calibri" w:cs="Calibri" w:eastAsia="Calibri" w:hAnsi="Calibri"/>
          <w:color w:val="6B7A8C"/>
          <w:sz w:val="16"/>
          <w:szCs w:val="16"/>
        </w:rPr>
        <w:t xml:space="preserve">Secureframe 2026</w:t>
      </w:r>
    </w:p>
    <w:tbl>
      <w:tblPr>
        <w:tblW w:type="dxa" w:w="10080"/>
        <w:tblBorders>
          <w:top w:val="none"/>
          <w:left w:val="none"/>
          <w:bottom w:val="none"/>
          <w:right w:val="none"/>
          <w:insideH w:val="none"/>
          <w:insideV w:val="none"/>
        </w:tblBorders>
      </w:tblPr>
      <w:tblGrid>
        <w:gridCol w:w="1700"/>
        <w:gridCol w:w="8380"/>
      </w:tblGrid>
      <w:tr>
        <w:trPr>
          <w:cantSplit/>
        </w:trPr>
        <w:tc>
          <w:tcPr>
            <w:tcW w:type="dxa" w:w="1700"/>
            <w:tcBorders>
              <w:top w:val="none"/>
              <w:left w:val="none"/>
              <w:bottom w:val="none"/>
              <w:right w:val="none"/>
            </w:tcBorders>
            <w:tcMar>
              <w:top w:type="dxa" w:w="40"/>
              <w:left w:type="dxa" w:w="0"/>
              <w:bottom w:type="dxa" w:w="40"/>
              <w:right w:type="dxa" w:w="120"/>
            </w:tcMar>
          </w:tcPr>
          <w:p>
            <w:pPr>
              <w:spacing w:after="0" w:before="0"/>
            </w:pPr>
            <w:r>
              <w:rPr>
                <w:rFonts w:ascii="Calibri" w:cs="Calibri" w:eastAsia="Calibri" w:hAnsi="Calibri"/>
                <w:b/>
                <w:bCs/>
                <w:color w:val="44A8D9"/>
                <w:sz w:val="30"/>
                <w:szCs w:val="30"/>
              </w:rPr>
              <w:t xml:space="preserve">35% vs 7%</w:t>
            </w:r>
          </w:p>
        </w:tc>
        <w:tc>
          <w:tcPr>
            <w:tcW w:type="dxa" w:w="8380"/>
            <w:tcBorders>
              <w:top w:val="none"/>
              <w:left w:val="none"/>
              <w:bottom w:val="none"/>
              <w:right w:val="none"/>
            </w:tcBorders>
            <w:tcMar>
              <w:top w:type="dxa" w:w="40"/>
              <w:left w:type="dxa" w:w="0"/>
              <w:bottom w:type="dxa" w:w="40"/>
              <w:right w:type="dxa" w:w="0"/>
            </w:tcMar>
          </w:tcPr>
          <w:p>
            <w:pPr>
              <w:spacing w:after="0" w:before="0" w:line="250"/>
            </w:pPr>
            <w:r>
              <w:rPr>
                <w:rFonts w:ascii="Calibri" w:cs="Calibri" w:eastAsia="Calibri" w:hAnsi="Calibri"/>
                <w:color w:val="3D4A5A"/>
                <w:sz w:val="18"/>
                <w:szCs w:val="18"/>
              </w:rPr>
              <w:t xml:space="preserve">small organizations saying their cyber resilience is inadequate — a sevenfold rise since 2022 — versus large ones. Nearly three-quarters of cyber leaders concluded small organizations can no longer adequately secure themselves.</w:t>
            </w:r>
          </w:p>
        </w:tc>
      </w:tr>
    </w:tbl>
    <w:p>
      <w:pPr>
        <w:spacing w:after="160" w:before="0" w:line="276"/>
      </w:pPr>
      <w:r>
        <w:rPr>
          <w:rFonts w:ascii="Calibri" w:cs="Calibri" w:eastAsia="Calibri" w:hAnsi="Calibri"/>
          <w:b/>
          <w:bCs/>
          <w:color w:val="6B7A8C"/>
          <w:sz w:val="16"/>
          <w:szCs w:val="16"/>
        </w:rPr>
        <w:t xml:space="preserve">Source: </w:t>
      </w:r>
      <w:r>
        <w:rPr>
          <w:rFonts w:ascii="Calibri" w:cs="Calibri" w:eastAsia="Calibri" w:hAnsi="Calibri"/>
          <w:color w:val="6B7A8C"/>
          <w:sz w:val="16"/>
          <w:szCs w:val="16"/>
        </w:rPr>
        <w:t xml:space="preserve">World Economic Forum, Global Cybersecurity Outlook 2025 · 13 January 2025</w:t>
      </w:r>
    </w:p>
    <w:tbl>
      <w:tblPr>
        <w:tblW w:type="dxa" w:w="10080"/>
        <w:tblBorders>
          <w:top w:val="none"/>
          <w:left w:val="none"/>
          <w:bottom w:val="none"/>
          <w:right w:val="none"/>
          <w:insideH w:val="none"/>
          <w:insideV w:val="none"/>
        </w:tblBorders>
      </w:tblPr>
      <w:tblGrid>
        <w:gridCol w:w="1700"/>
        <w:gridCol w:w="8380"/>
      </w:tblGrid>
      <w:tr>
        <w:trPr>
          <w:cantSplit/>
        </w:trPr>
        <w:tc>
          <w:tcPr>
            <w:tcW w:type="dxa" w:w="1700"/>
            <w:tcBorders>
              <w:top w:val="none"/>
              <w:left w:val="none"/>
              <w:bottom w:val="none"/>
              <w:right w:val="none"/>
            </w:tcBorders>
            <w:tcMar>
              <w:top w:type="dxa" w:w="40"/>
              <w:left w:type="dxa" w:w="0"/>
              <w:bottom w:type="dxa" w:w="40"/>
              <w:right w:type="dxa" w:w="120"/>
            </w:tcMar>
          </w:tcPr>
          <w:p>
            <w:pPr>
              <w:spacing w:after="0" w:before="0"/>
            </w:pPr>
            <w:r>
              <w:rPr>
                <w:rFonts w:ascii="Calibri" w:cs="Calibri" w:eastAsia="Calibri" w:hAnsi="Calibri"/>
                <w:b/>
                <w:bCs/>
                <w:color w:val="44A8D9"/>
                <w:sz w:val="30"/>
                <w:szCs w:val="30"/>
              </w:rPr>
              <w:t xml:space="preserve">88% vs 39%</w:t>
            </w:r>
          </w:p>
        </w:tc>
        <w:tc>
          <w:tcPr>
            <w:tcW w:type="dxa" w:w="8380"/>
            <w:tcBorders>
              <w:top w:val="none"/>
              <w:left w:val="none"/>
              <w:bottom w:val="none"/>
              <w:right w:val="none"/>
            </w:tcBorders>
            <w:tcMar>
              <w:top w:type="dxa" w:w="40"/>
              <w:left w:type="dxa" w:w="0"/>
              <w:bottom w:type="dxa" w:w="40"/>
              <w:right w:type="dxa" w:w="0"/>
            </w:tcMar>
          </w:tcPr>
          <w:p>
            <w:pPr>
              <w:spacing w:after="0" w:before="0" w:line="250"/>
            </w:pPr>
            <w:r>
              <w:rPr>
                <w:rFonts w:ascii="Calibri" w:cs="Calibri" w:eastAsia="Calibri" w:hAnsi="Calibri"/>
                <w:color w:val="3D4A5A"/>
                <w:sz w:val="18"/>
                <w:szCs w:val="18"/>
              </w:rPr>
              <w:t xml:space="preserve">share of SMB breaches involving ransomware versus large organizations. In 2026 ransomware appears in 48% of all breaches, and third parties in 48%.</w:t>
            </w:r>
          </w:p>
        </w:tc>
      </w:tr>
    </w:tbl>
    <w:p>
      <w:pPr>
        <w:spacing w:after="160" w:before="0" w:line="276"/>
      </w:pPr>
      <w:r>
        <w:rPr>
          <w:rFonts w:ascii="Calibri" w:cs="Calibri" w:eastAsia="Calibri" w:hAnsi="Calibri"/>
          <w:b/>
          <w:bCs/>
          <w:color w:val="6B7A8C"/>
          <w:sz w:val="16"/>
          <w:szCs w:val="16"/>
        </w:rPr>
        <w:t xml:space="preserve">Source: </w:t>
      </w:r>
      <w:r>
        <w:rPr>
          <w:rFonts w:ascii="Calibri" w:cs="Calibri" w:eastAsia="Calibri" w:hAnsi="Calibri"/>
          <w:color w:val="6B7A8C"/>
          <w:sz w:val="16"/>
          <w:szCs w:val="16"/>
        </w:rPr>
        <w:t xml:space="preserve">Verizon DBIR 2025 · DBIR 2026 summary</w:t>
      </w:r>
    </w:p>
    <w:tbl>
      <w:tblPr>
        <w:tblW w:type="dxa" w:w="10080"/>
        <w:tblBorders>
          <w:top w:val="none"/>
          <w:left w:val="none"/>
          <w:bottom w:val="none"/>
          <w:right w:val="none"/>
          <w:insideH w:val="none"/>
          <w:insideV w:val="none"/>
        </w:tblBorders>
      </w:tblPr>
      <w:tblGrid>
        <w:gridCol w:w="1700"/>
        <w:gridCol w:w="8380"/>
      </w:tblGrid>
      <w:tr>
        <w:trPr>
          <w:cantSplit/>
        </w:trPr>
        <w:tc>
          <w:tcPr>
            <w:tcW w:type="dxa" w:w="1700"/>
            <w:tcBorders>
              <w:top w:val="none"/>
              <w:left w:val="none"/>
              <w:bottom w:val="none"/>
              <w:right w:val="none"/>
            </w:tcBorders>
            <w:tcMar>
              <w:top w:type="dxa" w:w="40"/>
              <w:left w:type="dxa" w:w="0"/>
              <w:bottom w:type="dxa" w:w="40"/>
              <w:right w:type="dxa" w:w="120"/>
            </w:tcMar>
          </w:tcPr>
          <w:p>
            <w:pPr>
              <w:spacing w:after="0" w:before="0"/>
            </w:pPr>
            <w:r>
              <w:rPr>
                <w:rFonts w:ascii="Calibri" w:cs="Calibri" w:eastAsia="Calibri" w:hAnsi="Calibri"/>
                <w:b/>
                <w:bCs/>
                <w:color w:val="44A8D9"/>
                <w:sz w:val="30"/>
                <w:szCs w:val="30"/>
              </w:rPr>
              <w:t xml:space="preserve">86.3%</w:t>
            </w:r>
          </w:p>
        </w:tc>
        <w:tc>
          <w:tcPr>
            <w:tcW w:type="dxa" w:w="8380"/>
            <w:tcBorders>
              <w:top w:val="none"/>
              <w:left w:val="none"/>
              <w:bottom w:val="none"/>
              <w:right w:val="none"/>
            </w:tcBorders>
            <w:tcMar>
              <w:top w:type="dxa" w:w="40"/>
              <w:left w:type="dxa" w:w="0"/>
              <w:bottom w:type="dxa" w:w="40"/>
              <w:right w:type="dxa" w:w="0"/>
            </w:tcMar>
          </w:tcPr>
          <w:p>
            <w:pPr>
              <w:spacing w:after="0" w:before="0" w:line="250"/>
            </w:pPr>
            <w:r>
              <w:rPr>
                <w:rFonts w:ascii="Calibri" w:cs="Calibri" w:eastAsia="Calibri" w:hAnsi="Calibri"/>
                <w:color w:val="3D4A5A"/>
                <w:sz w:val="18"/>
                <w:szCs w:val="18"/>
              </w:rPr>
              <w:t xml:space="preserve">of SMB leaders rate their confidence medium-to-very-high, while 56.1% cannot confirm a clean twelve-month record. MFA deployed 86.8% but required everywhere 51.1%; backups held 88.4% but tested 61.4%.</w:t>
            </w:r>
          </w:p>
        </w:tc>
      </w:tr>
    </w:tbl>
    <w:p>
      <w:pPr>
        <w:spacing w:after="160" w:before="0" w:line="276"/>
      </w:pPr>
      <w:r>
        <w:rPr>
          <w:rFonts w:ascii="Calibri" w:cs="Calibri" w:eastAsia="Calibri" w:hAnsi="Calibri"/>
          <w:b/>
          <w:bCs/>
          <w:color w:val="6B7A8C"/>
          <w:sz w:val="16"/>
          <w:szCs w:val="16"/>
        </w:rPr>
        <w:t xml:space="preserve">Source: </w:t>
      </w:r>
      <w:r>
        <w:rPr>
          <w:rFonts w:ascii="Calibri" w:cs="Calibri" w:eastAsia="Calibri" w:hAnsi="Calibri"/>
          <w:color w:val="6B7A8C"/>
          <w:sz w:val="16"/>
          <w:szCs w:val="16"/>
        </w:rPr>
        <w:t xml:space="preserve">National Cybersecurity Alliance with CISA, 2026 Small Business Survey · August 2026 · n=1,000</w:t>
      </w:r>
    </w:p>
    <w:tbl>
      <w:tblPr>
        <w:tblW w:type="dxa" w:w="10080"/>
        <w:tblBorders>
          <w:top w:val="none"/>
          <w:left w:val="none"/>
          <w:bottom w:val="none"/>
          <w:right w:val="none"/>
          <w:insideH w:val="none"/>
          <w:insideV w:val="none"/>
        </w:tblBorders>
      </w:tblPr>
      <w:tblGrid>
        <w:gridCol w:w="1700"/>
        <w:gridCol w:w="8380"/>
      </w:tblGrid>
      <w:tr>
        <w:trPr>
          <w:cantSplit/>
        </w:trPr>
        <w:tc>
          <w:tcPr>
            <w:tcW w:type="dxa" w:w="1700"/>
            <w:tcBorders>
              <w:top w:val="none"/>
              <w:left w:val="none"/>
              <w:bottom w:val="none"/>
              <w:right w:val="none"/>
            </w:tcBorders>
            <w:tcMar>
              <w:top w:type="dxa" w:w="40"/>
              <w:left w:type="dxa" w:w="0"/>
              <w:bottom w:type="dxa" w:w="40"/>
              <w:right w:type="dxa" w:w="120"/>
            </w:tcMar>
          </w:tcPr>
          <w:p>
            <w:pPr>
              <w:spacing w:after="0" w:before="0"/>
            </w:pPr>
            <w:r>
              <w:rPr>
                <w:rFonts w:ascii="Calibri" w:cs="Calibri" w:eastAsia="Calibri" w:hAnsi="Calibri"/>
                <w:b/>
                <w:bCs/>
                <w:color w:val="44A8D9"/>
                <w:sz w:val="30"/>
                <w:szCs w:val="30"/>
              </w:rPr>
              <w:t xml:space="preserve">51%</w:t>
            </w:r>
          </w:p>
        </w:tc>
        <w:tc>
          <w:tcPr>
            <w:tcW w:type="dxa" w:w="8380"/>
            <w:tcBorders>
              <w:top w:val="none"/>
              <w:left w:val="none"/>
              <w:bottom w:val="none"/>
              <w:right w:val="none"/>
            </w:tcBorders>
            <w:tcMar>
              <w:top w:type="dxa" w:w="40"/>
              <w:left w:type="dxa" w:w="0"/>
              <w:bottom w:type="dxa" w:w="40"/>
              <w:right w:type="dxa" w:w="0"/>
            </w:tcMar>
          </w:tcPr>
          <w:p>
            <w:pPr>
              <w:spacing w:after="0" w:before="0" w:line="250"/>
            </w:pPr>
            <w:r>
              <w:rPr>
                <w:rFonts w:ascii="Calibri" w:cs="Calibri" w:eastAsia="Calibri" w:hAnsi="Calibri"/>
                <w:color w:val="3D4A5A"/>
                <w:sz w:val="18"/>
                <w:szCs w:val="18"/>
              </w:rPr>
              <w:t xml:space="preserve">of SMBs admit they have no formal risk framework; 46% have no incident-response protocol; 83% run no formal awareness training; 62% are not confident they could recover. Average SMB incident loss: $1.6M.</w:t>
            </w:r>
          </w:p>
        </w:tc>
      </w:tr>
    </w:tbl>
    <w:p>
      <w:pPr>
        <w:spacing w:after="160" w:before="0" w:line="276"/>
      </w:pPr>
      <w:r>
        <w:rPr>
          <w:rFonts w:ascii="Calibri" w:cs="Calibri" w:eastAsia="Calibri" w:hAnsi="Calibri"/>
          <w:b/>
          <w:bCs/>
          <w:color w:val="6B7A8C"/>
          <w:sz w:val="16"/>
          <w:szCs w:val="16"/>
        </w:rPr>
        <w:t xml:space="preserve">Source: </w:t>
      </w:r>
      <w:r>
        <w:rPr>
          <w:rFonts w:ascii="Calibri" w:cs="Calibri" w:eastAsia="Calibri" w:hAnsi="Calibri"/>
          <w:color w:val="6B7A8C"/>
          <w:sz w:val="16"/>
          <w:szCs w:val="16"/>
        </w:rPr>
        <w:t xml:space="preserve">Techaisle, “The Great Cybersecurity Paradox” · 13 October 2025</w:t>
      </w:r>
    </w:p>
    <w:tbl>
      <w:tblPr>
        <w:tblW w:type="dxa" w:w="10080"/>
        <w:tblBorders>
          <w:top w:val="none"/>
          <w:left w:val="none"/>
          <w:bottom w:val="none"/>
          <w:right w:val="none"/>
          <w:insideH w:val="none"/>
          <w:insideV w:val="none"/>
        </w:tblBorders>
      </w:tblPr>
      <w:tblGrid>
        <w:gridCol w:w="1700"/>
        <w:gridCol w:w="8380"/>
      </w:tblGrid>
      <w:tr>
        <w:trPr>
          <w:cantSplit/>
        </w:trPr>
        <w:tc>
          <w:tcPr>
            <w:tcW w:type="dxa" w:w="1700"/>
            <w:tcBorders>
              <w:top w:val="none"/>
              <w:left w:val="none"/>
              <w:bottom w:val="none"/>
              <w:right w:val="none"/>
            </w:tcBorders>
            <w:tcMar>
              <w:top w:type="dxa" w:w="40"/>
              <w:left w:type="dxa" w:w="0"/>
              <w:bottom w:type="dxa" w:w="40"/>
              <w:right w:type="dxa" w:w="120"/>
            </w:tcMar>
          </w:tcPr>
          <w:p>
            <w:pPr>
              <w:spacing w:after="0" w:before="0"/>
            </w:pPr>
            <w:r>
              <w:rPr>
                <w:rFonts w:ascii="Calibri" w:cs="Calibri" w:eastAsia="Calibri" w:hAnsi="Calibri"/>
                <w:b/>
                <w:bCs/>
                <w:color w:val="44A8D9"/>
                <w:sz w:val="30"/>
                <w:szCs w:val="30"/>
              </w:rPr>
              <w:t xml:space="preserve">$4.99M</w:t>
            </w:r>
          </w:p>
        </w:tc>
        <w:tc>
          <w:tcPr>
            <w:tcW w:type="dxa" w:w="8380"/>
            <w:tcBorders>
              <w:top w:val="none"/>
              <w:left w:val="none"/>
              <w:bottom w:val="none"/>
              <w:right w:val="none"/>
            </w:tcBorders>
            <w:tcMar>
              <w:top w:type="dxa" w:w="40"/>
              <w:left w:type="dxa" w:w="0"/>
              <w:bottom w:type="dxa" w:w="40"/>
              <w:right w:type="dxa" w:w="0"/>
            </w:tcMar>
          </w:tcPr>
          <w:p>
            <w:pPr>
              <w:spacing w:after="0" w:before="0" w:line="250"/>
            </w:pPr>
            <w:r>
              <w:rPr>
                <w:rFonts w:ascii="Calibri" w:cs="Calibri" w:eastAsia="Calibri" w:hAnsi="Calibri"/>
                <w:color w:val="3D4A5A"/>
                <w:sz w:val="18"/>
                <w:szCs w:val="18"/>
              </w:rPr>
              <w:t xml:space="preserve">global average cost of a data breach in 2026; US average $11.5M. Median ransom demand for organizations at or below $250M revenue: under $350K.</w:t>
            </w:r>
          </w:p>
        </w:tc>
      </w:tr>
    </w:tbl>
    <w:p>
      <w:pPr>
        <w:spacing w:after="160" w:before="0" w:line="276"/>
      </w:pPr>
      <w:r>
        <w:rPr>
          <w:rFonts w:ascii="Calibri" w:cs="Calibri" w:eastAsia="Calibri" w:hAnsi="Calibri"/>
          <w:b/>
          <w:bCs/>
          <w:color w:val="6B7A8C"/>
          <w:sz w:val="16"/>
          <w:szCs w:val="16"/>
        </w:rPr>
        <w:t xml:space="preserve">Source: </w:t>
      </w:r>
      <w:r>
        <w:rPr>
          <w:rFonts w:ascii="Calibri" w:cs="Calibri" w:eastAsia="Calibri" w:hAnsi="Calibri"/>
          <w:color w:val="6B7A8C"/>
          <w:sz w:val="16"/>
          <w:szCs w:val="16"/>
        </w:rPr>
        <w:t xml:space="preserve">IBM, 2026 Cost of a Data Breach · Sophos, State of Ransomware 2025</w:t>
      </w:r>
    </w:p>
    <w:p>
      <w:pPr>
        <w:pStyle w:val="Heading3"/>
        <w:keepNext/>
        <w:spacing w:after="80" w:before="240"/>
      </w:pPr>
      <w:r>
        <w:rPr>
          <w:rFonts w:ascii="Calibri" w:cs="Calibri" w:eastAsia="Calibri" w:hAnsi="Calibri"/>
          <w:b/>
          <w:bCs/>
          <w:color w:val="14202E"/>
          <w:sz w:val="22"/>
          <w:szCs w:val="22"/>
        </w:rPr>
        <w:t xml:space="preserve">3.3  What actually makes them act</w:t>
      </w:r>
    </w:p>
    <w:p>
      <w:pPr>
        <w:spacing w:after="120" w:before="0" w:line="276"/>
      </w:pPr>
      <w:r>
        <w:rPr>
          <w:rFonts w:ascii="Calibri" w:cs="Calibri" w:eastAsia="Calibri" w:hAnsi="Calibri"/>
          <w:color w:val="3D4A5A"/>
          <w:sz w:val="20"/>
          <w:szCs w:val="20"/>
        </w:rPr>
        <w:t xml:space="preserve">Four forcing functions appear in every dataset and every thread: a customer contract, an insurer, an investor, a regulator. Fear of breach is real, but it is the least reliable trigger for a purchase.</w:t>
      </w:r>
    </w:p>
    <w:tbl>
      <w:tblPr>
        <w:tblW w:type="dxa" w:w="10080"/>
        <w:tblBorders>
          <w:top w:val="none"/>
          <w:left w:val="none"/>
          <w:bottom w:val="none"/>
          <w:right w:val="none"/>
          <w:insideH w:val="none"/>
          <w:insideV w:val="none"/>
        </w:tblBorders>
      </w:tblPr>
      <w:tblGrid>
        <w:gridCol w:w="1700"/>
        <w:gridCol w:w="8380"/>
      </w:tblGrid>
      <w:tr>
        <w:trPr>
          <w:cantSplit/>
        </w:trPr>
        <w:tc>
          <w:tcPr>
            <w:tcW w:type="dxa" w:w="1700"/>
            <w:tcBorders>
              <w:top w:val="none"/>
              <w:left w:val="none"/>
              <w:bottom w:val="none"/>
              <w:right w:val="none"/>
            </w:tcBorders>
            <w:tcMar>
              <w:top w:type="dxa" w:w="40"/>
              <w:left w:type="dxa" w:w="0"/>
              <w:bottom w:type="dxa" w:w="40"/>
              <w:right w:type="dxa" w:w="120"/>
            </w:tcMar>
          </w:tcPr>
          <w:p>
            <w:pPr>
              <w:spacing w:after="0" w:before="0"/>
            </w:pPr>
            <w:r>
              <w:rPr>
                <w:rFonts w:ascii="Calibri" w:cs="Calibri" w:eastAsia="Calibri" w:hAnsi="Calibri"/>
                <w:b/>
                <w:bCs/>
                <w:color w:val="2F8562"/>
                <w:sz w:val="30"/>
                <w:szCs w:val="30"/>
              </w:rPr>
              <w:t xml:space="preserve">61%</w:t>
            </w:r>
          </w:p>
        </w:tc>
        <w:tc>
          <w:tcPr>
            <w:tcW w:type="dxa" w:w="8380"/>
            <w:tcBorders>
              <w:top w:val="none"/>
              <w:left w:val="none"/>
              <w:bottom w:val="none"/>
              <w:right w:val="none"/>
            </w:tcBorders>
            <w:tcMar>
              <w:top w:type="dxa" w:w="40"/>
              <w:left w:type="dxa" w:w="0"/>
              <w:bottom w:type="dxa" w:w="40"/>
              <w:right w:type="dxa" w:w="0"/>
            </w:tcMar>
          </w:tcPr>
          <w:p>
            <w:pPr>
              <w:spacing w:after="0" w:before="0" w:line="250"/>
            </w:pPr>
            <w:r>
              <w:rPr>
                <w:rFonts w:ascii="Calibri" w:cs="Calibri" w:eastAsia="Calibri" w:hAnsi="Calibri"/>
                <w:color w:val="3D4A5A"/>
                <w:sz w:val="18"/>
                <w:szCs w:val="18"/>
              </w:rPr>
              <w:t xml:space="preserve">were required to hold a compliance certification to win or renew a contract; 47% saw sales cycles delayed; 38% lost revenue or bids; 40% are pursuing certification specifically to reach enterprise customers; 33% face investor or partner pressure.</w:t>
            </w:r>
          </w:p>
        </w:tc>
      </w:tr>
    </w:tbl>
    <w:p>
      <w:pPr>
        <w:spacing w:after="160" w:before="0" w:line="276"/>
      </w:pPr>
      <w:r>
        <w:rPr>
          <w:rFonts w:ascii="Calibri" w:cs="Calibri" w:eastAsia="Calibri" w:hAnsi="Calibri"/>
          <w:b/>
          <w:bCs/>
          <w:color w:val="6B7A8C"/>
          <w:sz w:val="16"/>
          <w:szCs w:val="16"/>
        </w:rPr>
        <w:t xml:space="preserve">Source: </w:t>
      </w:r>
      <w:r>
        <w:rPr>
          <w:rFonts w:ascii="Calibri" w:cs="Calibri" w:eastAsia="Calibri" w:hAnsi="Calibri"/>
          <w:color w:val="6B7A8C"/>
          <w:sz w:val="16"/>
          <w:szCs w:val="16"/>
        </w:rPr>
        <w:t xml:space="preserve">Secureframe 2026</w:t>
      </w:r>
    </w:p>
    <w:tbl>
      <w:tblPr>
        <w:tblW w:type="dxa" w:w="10080"/>
        <w:tblBorders>
          <w:top w:val="none"/>
          <w:left w:val="none"/>
          <w:bottom w:val="none"/>
          <w:right w:val="none"/>
          <w:insideH w:val="none"/>
          <w:insideV w:val="none"/>
        </w:tblBorders>
      </w:tblPr>
      <w:tblGrid>
        <w:gridCol w:w="1700"/>
        <w:gridCol w:w="8380"/>
      </w:tblGrid>
      <w:tr>
        <w:trPr>
          <w:cantSplit/>
        </w:trPr>
        <w:tc>
          <w:tcPr>
            <w:tcW w:type="dxa" w:w="1700"/>
            <w:tcBorders>
              <w:top w:val="none"/>
              <w:left w:val="none"/>
              <w:bottom w:val="none"/>
              <w:right w:val="none"/>
            </w:tcBorders>
            <w:tcMar>
              <w:top w:type="dxa" w:w="40"/>
              <w:left w:type="dxa" w:w="0"/>
              <w:bottom w:type="dxa" w:w="40"/>
              <w:right w:type="dxa" w:w="120"/>
            </w:tcMar>
          </w:tcPr>
          <w:p>
            <w:pPr>
              <w:spacing w:after="0" w:before="0"/>
            </w:pPr>
            <w:r>
              <w:rPr>
                <w:rFonts w:ascii="Calibri" w:cs="Calibri" w:eastAsia="Calibri" w:hAnsi="Calibri"/>
                <w:b/>
                <w:bCs/>
                <w:color w:val="44A8D9"/>
                <w:sz w:val="30"/>
                <w:szCs w:val="30"/>
              </w:rPr>
              <w:t xml:space="preserve">65%</w:t>
            </w:r>
          </w:p>
        </w:tc>
        <w:tc>
          <w:tcPr>
            <w:tcW w:type="dxa" w:w="8380"/>
            <w:tcBorders>
              <w:top w:val="none"/>
              <w:left w:val="none"/>
              <w:bottom w:val="none"/>
              <w:right w:val="none"/>
            </w:tcBorders>
            <w:tcMar>
              <w:top w:type="dxa" w:w="40"/>
              <w:left w:type="dxa" w:w="0"/>
              <w:bottom w:type="dxa" w:w="40"/>
              <w:right w:type="dxa" w:w="0"/>
            </w:tcMar>
          </w:tcPr>
          <w:p>
            <w:pPr>
              <w:spacing w:after="0" w:before="0" w:line="250"/>
            </w:pPr>
            <w:r>
              <w:rPr>
                <w:rFonts w:ascii="Calibri" w:cs="Calibri" w:eastAsia="Calibri" w:hAnsi="Calibri"/>
                <w:color w:val="3D4A5A"/>
                <w:sz w:val="18"/>
                <w:szCs w:val="18"/>
              </w:rPr>
              <w:t xml:space="preserve">say customers, investors and suppliers now demand more proof of compliance than before. Organizations spent 11+ weeks on manual compliance work in 2024 and dedicate 11% of IT budget to security against a recommended 17%.</w:t>
            </w:r>
          </w:p>
        </w:tc>
      </w:tr>
    </w:tbl>
    <w:p>
      <w:pPr>
        <w:spacing w:after="160" w:before="0" w:line="276"/>
      </w:pPr>
      <w:r>
        <w:rPr>
          <w:rFonts w:ascii="Calibri" w:cs="Calibri" w:eastAsia="Calibri" w:hAnsi="Calibri"/>
          <w:b/>
          <w:bCs/>
          <w:color w:val="6B7A8C"/>
          <w:sz w:val="16"/>
          <w:szCs w:val="16"/>
        </w:rPr>
        <w:t xml:space="preserve">Source: </w:t>
      </w:r>
      <w:r>
        <w:rPr>
          <w:rFonts w:ascii="Calibri" w:cs="Calibri" w:eastAsia="Calibri" w:hAnsi="Calibri"/>
          <w:color w:val="6B7A8C"/>
          <w:sz w:val="16"/>
          <w:szCs w:val="16"/>
        </w:rPr>
        <w:t xml:space="preserve">Vanta, State of Trust 2024 · n=2,500</w:t>
      </w:r>
    </w:p>
    <w:tbl>
      <w:tblPr>
        <w:tblW w:type="dxa" w:w="10080"/>
        <w:tblBorders>
          <w:top w:val="none"/>
          <w:left w:val="none"/>
          <w:bottom w:val="none"/>
          <w:right w:val="none"/>
          <w:insideH w:val="none"/>
          <w:insideV w:val="none"/>
        </w:tblBorders>
      </w:tblPr>
      <w:tblGrid>
        <w:gridCol w:w="1700"/>
        <w:gridCol w:w="8380"/>
      </w:tblGrid>
      <w:tr>
        <w:trPr>
          <w:cantSplit/>
        </w:trPr>
        <w:tc>
          <w:tcPr>
            <w:tcW w:type="dxa" w:w="1700"/>
            <w:tcBorders>
              <w:top w:val="none"/>
              <w:left w:val="none"/>
              <w:bottom w:val="none"/>
              <w:right w:val="none"/>
            </w:tcBorders>
            <w:tcMar>
              <w:top w:type="dxa" w:w="40"/>
              <w:left w:type="dxa" w:w="0"/>
              <w:bottom w:type="dxa" w:w="40"/>
              <w:right w:type="dxa" w:w="120"/>
            </w:tcMar>
          </w:tcPr>
          <w:p>
            <w:pPr>
              <w:spacing w:after="0" w:before="0"/>
            </w:pPr>
            <w:r>
              <w:rPr>
                <w:rFonts w:ascii="Calibri" w:cs="Calibri" w:eastAsia="Calibri" w:hAnsi="Calibri"/>
                <w:b/>
                <w:bCs/>
                <w:color w:val="2F8562"/>
                <w:sz w:val="30"/>
                <w:szCs w:val="30"/>
              </w:rPr>
              <w:t xml:space="preserve">81% vs 29%</w:t>
            </w:r>
          </w:p>
        </w:tc>
        <w:tc>
          <w:tcPr>
            <w:tcW w:type="dxa" w:w="8380"/>
            <w:tcBorders>
              <w:top w:val="none"/>
              <w:left w:val="none"/>
              <w:bottom w:val="none"/>
              <w:right w:val="none"/>
            </w:tcBorders>
            <w:tcMar>
              <w:top w:type="dxa" w:w="40"/>
              <w:left w:type="dxa" w:w="0"/>
              <w:bottom w:type="dxa" w:w="40"/>
              <w:right w:type="dxa" w:w="0"/>
            </w:tcMar>
          </w:tcPr>
          <w:p>
            <w:pPr>
              <w:spacing w:after="0" w:before="0" w:line="250"/>
            </w:pPr>
            <w:r>
              <w:rPr>
                <w:rFonts w:ascii="Calibri" w:cs="Calibri" w:eastAsia="Calibri" w:hAnsi="Calibri"/>
                <w:color w:val="3D4A5A"/>
                <w:sz w:val="18"/>
                <w:szCs w:val="18"/>
              </w:rPr>
              <w:t xml:space="preserve">share of private-equity firms including cybersecurity in transaction diligence: funds over $25B AUM versus funds under $25B. Average cyber impact on a deal: $2.1M; 26% saw reduced valuations; 80% had attack disruption during hold periods.</w:t>
            </w:r>
          </w:p>
        </w:tc>
      </w:tr>
    </w:tbl>
    <w:p>
      <w:pPr>
        <w:spacing w:after="160" w:before="0" w:line="276"/>
      </w:pPr>
      <w:r>
        <w:rPr>
          <w:rFonts w:ascii="Calibri" w:cs="Calibri" w:eastAsia="Calibri" w:hAnsi="Calibri"/>
          <w:b/>
          <w:bCs/>
          <w:color w:val="6B7A8C"/>
          <w:sz w:val="16"/>
          <w:szCs w:val="16"/>
        </w:rPr>
        <w:t xml:space="preserve">Source: </w:t>
      </w:r>
      <w:r>
        <w:rPr>
          <w:rFonts w:ascii="Calibri" w:cs="Calibri" w:eastAsia="Calibri" w:hAnsi="Calibri"/>
          <w:color w:val="6B7A8C"/>
          <w:sz w:val="16"/>
          <w:szCs w:val="16"/>
        </w:rPr>
        <w:t xml:space="preserve">Kroll, Private Equity Cybersecurity · 11 February 2026 · n=325</w:t>
      </w:r>
    </w:p>
    <w:tbl>
      <w:tblPr>
        <w:tblW w:type="dxa" w:w="10080"/>
        <w:tblBorders>
          <w:top w:val="none"/>
          <w:left w:val="none"/>
          <w:bottom w:val="none"/>
          <w:right w:val="none"/>
          <w:insideH w:val="none"/>
          <w:insideV w:val="none"/>
        </w:tblBorders>
      </w:tblPr>
      <w:tblGrid>
        <w:gridCol w:w="1700"/>
        <w:gridCol w:w="8380"/>
      </w:tblGrid>
      <w:tr>
        <w:trPr>
          <w:cantSplit/>
        </w:trPr>
        <w:tc>
          <w:tcPr>
            <w:tcW w:type="dxa" w:w="1700"/>
            <w:tcBorders>
              <w:top w:val="none"/>
              <w:left w:val="none"/>
              <w:bottom w:val="none"/>
              <w:right w:val="none"/>
            </w:tcBorders>
            <w:tcMar>
              <w:top w:type="dxa" w:w="40"/>
              <w:left w:type="dxa" w:w="0"/>
              <w:bottom w:type="dxa" w:w="40"/>
              <w:right w:type="dxa" w:w="120"/>
            </w:tcMar>
          </w:tcPr>
          <w:p>
            <w:pPr>
              <w:spacing w:after="0" w:before="0"/>
            </w:pPr>
            <w:r>
              <w:rPr>
                <w:rFonts w:ascii="Calibri" w:cs="Calibri" w:eastAsia="Calibri" w:hAnsi="Calibri"/>
                <w:b/>
                <w:bCs/>
                <w:color w:val="44A8D9"/>
                <w:sz w:val="30"/>
                <w:szCs w:val="30"/>
              </w:rPr>
              <w:t xml:space="preserve">$142K</w:t>
            </w:r>
          </w:p>
        </w:tc>
        <w:tc>
          <w:tcPr>
            <w:tcW w:type="dxa" w:w="8380"/>
            <w:tcBorders>
              <w:top w:val="none"/>
              <w:left w:val="none"/>
              <w:bottom w:val="none"/>
              <w:right w:val="none"/>
            </w:tcBorders>
            <w:tcMar>
              <w:top w:type="dxa" w:w="40"/>
              <w:left w:type="dxa" w:w="0"/>
              <w:bottom w:type="dxa" w:w="40"/>
              <w:right w:type="dxa" w:w="0"/>
            </w:tcMar>
          </w:tcPr>
          <w:p>
            <w:pPr>
              <w:spacing w:after="0" w:before="0" w:line="250"/>
            </w:pPr>
            <w:r>
              <w:rPr>
                <w:rFonts w:ascii="Calibri" w:cs="Calibri" w:eastAsia="Calibri" w:hAnsi="Calibri"/>
                <w:color w:val="3D4A5A"/>
                <w:sz w:val="18"/>
                <w:szCs w:val="18"/>
              </w:rPr>
              <w:t xml:space="preserve">average cyber claim severity for SMEs in 2025, versus approximately $759K for the middle market and $4.4M for large accounts — up 586% since 2021. Insurers now price posture and verify controls at claim time.</w:t>
            </w:r>
          </w:p>
        </w:tc>
      </w:tr>
    </w:tbl>
    <w:p>
      <w:pPr>
        <w:spacing w:after="160" w:before="0" w:line="276"/>
      </w:pPr>
      <w:r>
        <w:rPr>
          <w:rFonts w:ascii="Calibri" w:cs="Calibri" w:eastAsia="Calibri" w:hAnsi="Calibri"/>
          <w:b/>
          <w:bCs/>
          <w:color w:val="6B7A8C"/>
          <w:sz w:val="16"/>
          <w:szCs w:val="16"/>
        </w:rPr>
        <w:t xml:space="preserve">Source: </w:t>
      </w:r>
      <w:r>
        <w:rPr>
          <w:rFonts w:ascii="Calibri" w:cs="Calibri" w:eastAsia="Calibri" w:hAnsi="Calibri"/>
          <w:color w:val="6B7A8C"/>
          <w:sz w:val="16"/>
          <w:szCs w:val="16"/>
        </w:rPr>
        <w:t xml:space="preserve">Chubb data via Insurance Journal · 18 May 2026</w:t>
      </w:r>
    </w:p>
    <w:tbl>
      <w:tblPr>
        <w:tblW w:type="dxa" w:w="10080"/>
        <w:tblBorders>
          <w:top w:val="none"/>
          <w:left w:val="none"/>
          <w:bottom w:val="none"/>
          <w:right w:val="none"/>
          <w:insideH w:val="none"/>
          <w:insideV w:val="none"/>
        </w:tblBorders>
      </w:tblPr>
      <w:tblGrid>
        <w:gridCol w:w="1700"/>
        <w:gridCol w:w="8380"/>
      </w:tblGrid>
      <w:tr>
        <w:trPr>
          <w:cantSplit/>
        </w:trPr>
        <w:tc>
          <w:tcPr>
            <w:tcW w:type="dxa" w:w="1700"/>
            <w:tcBorders>
              <w:top w:val="none"/>
              <w:left w:val="none"/>
              <w:bottom w:val="none"/>
              <w:right w:val="none"/>
            </w:tcBorders>
            <w:tcMar>
              <w:top w:type="dxa" w:w="40"/>
              <w:left w:type="dxa" w:w="0"/>
              <w:bottom w:type="dxa" w:w="40"/>
              <w:right w:type="dxa" w:w="120"/>
            </w:tcMar>
          </w:tcPr>
          <w:p>
            <w:pPr>
              <w:spacing w:after="0" w:before="0"/>
            </w:pPr>
            <w:r>
              <w:rPr>
                <w:rFonts w:ascii="Calibri" w:cs="Calibri" w:eastAsia="Calibri" w:hAnsi="Calibri"/>
                <w:b/>
                <w:bCs/>
                <w:color w:val="2F8562"/>
                <w:sz w:val="30"/>
                <w:szCs w:val="30"/>
              </w:rPr>
              <w:t xml:space="preserve">80%</w:t>
            </w:r>
          </w:p>
        </w:tc>
        <w:tc>
          <w:tcPr>
            <w:tcW w:type="dxa" w:w="8380"/>
            <w:tcBorders>
              <w:top w:val="none"/>
              <w:left w:val="none"/>
              <w:bottom w:val="none"/>
              <w:right w:val="none"/>
            </w:tcBorders>
            <w:tcMar>
              <w:top w:type="dxa" w:w="40"/>
              <w:left w:type="dxa" w:w="0"/>
              <w:bottom w:type="dxa" w:w="40"/>
              <w:right w:type="dxa" w:w="0"/>
            </w:tcMar>
          </w:tcPr>
          <w:p>
            <w:pPr>
              <w:spacing w:after="0" w:before="0" w:line="250"/>
            </w:pPr>
            <w:r>
              <w:rPr>
                <w:rFonts w:ascii="Calibri" w:cs="Calibri" w:eastAsia="Calibri" w:hAnsi="Calibri"/>
                <w:color w:val="3D4A5A"/>
                <w:sz w:val="18"/>
                <w:szCs w:val="18"/>
              </w:rPr>
              <w:t xml:space="preserve">of companies using AI already receive customer questions about their AI risk management; 33% have no AI compliance strategy. 97% of organizations run two or more audits a year; 25% call juggling multiple audits their single greatest challenge.</w:t>
            </w:r>
          </w:p>
        </w:tc>
      </w:tr>
    </w:tbl>
    <w:p>
      <w:pPr>
        <w:spacing w:after="160" w:before="0" w:line="276"/>
      </w:pPr>
      <w:r>
        <w:rPr>
          <w:rFonts w:ascii="Calibri" w:cs="Calibri" w:eastAsia="Calibri" w:hAnsi="Calibri"/>
          <w:b/>
          <w:bCs/>
          <w:color w:val="6B7A8C"/>
          <w:sz w:val="16"/>
          <w:szCs w:val="16"/>
        </w:rPr>
        <w:t xml:space="preserve">Source: </w:t>
      </w:r>
      <w:r>
        <w:rPr>
          <w:rFonts w:ascii="Calibri" w:cs="Calibri" w:eastAsia="Calibri" w:hAnsi="Calibri"/>
          <w:color w:val="6B7A8C"/>
          <w:sz w:val="16"/>
          <w:szCs w:val="16"/>
        </w:rPr>
        <w:t xml:space="preserve">A-LIGN, 2026 Compliance Benchmark · 28 January 2026 · n=1,043</w:t>
      </w:r>
    </w:p>
    <w:tbl>
      <w:tblPr>
        <w:tblW w:type="dxa" w:w="10080"/>
        <w:tblBorders>
          <w:top w:val="none"/>
          <w:left w:val="single" w:color="A8781F" w:sz="18"/>
          <w:bottom w:val="none"/>
          <w:right w:val="none"/>
          <w:insideH w:val="none"/>
          <w:insideV w:val="none"/>
        </w:tblBorders>
      </w:tblPr>
      <w:tblGrid>
        <w:gridCol w:w="10080"/>
      </w:tblGrid>
      <w:tr>
        <w:trPr>
          <w:cantSplit/>
        </w:trPr>
        <w:tc>
          <w:tcPr>
            <w:tcW w:type="dxa" w:w="10080"/>
            <w:tcBorders>
              <w:top w:val="none"/>
              <w:left w:val="none"/>
              <w:bottom w:val="none"/>
              <w:right w:val="none"/>
            </w:tcBorders>
            <w:shd w:fill="FBF4E6" w:color="auto" w:val="clear"/>
            <w:tcMar>
              <w:top w:type="dxa" w:w="130"/>
              <w:left w:type="dxa" w:w="180"/>
              <w:bottom w:type="dxa" w:w="130"/>
              <w:right w:type="dxa" w:w="160"/>
            </w:tcMar>
          </w:tcPr>
          <w:p>
            <w:pPr>
              <w:keepNext/>
              <w:spacing w:after="60" w:before="0" w:line="260"/>
            </w:pPr>
            <w:r>
              <w:rPr>
                <w:rFonts w:ascii="Calibri" w:cs="Calibri" w:eastAsia="Calibri" w:hAnsi="Calibri"/>
                <w:b/>
                <w:bCs/>
                <w:color w:val="A8781F"/>
                <w:sz w:val="19"/>
                <w:szCs w:val="19"/>
              </w:rPr>
              <w:t xml:space="preserve">CMMC: time-sensitive, and currently suspended</w:t>
            </w:r>
          </w:p>
          <w:p>
            <w:pPr>
              <w:spacing w:after="40" w:before="0" w:line="265"/>
            </w:pPr>
            <w:r>
              <w:rPr>
                <w:rFonts w:ascii="Calibri" w:cs="Calibri" w:eastAsia="Calibri" w:hAnsi="Calibri"/>
                <w:color w:val="3D4A5A"/>
                <w:sz w:val="19"/>
                <w:szCs w:val="19"/>
              </w:rPr>
              <w:t xml:space="preserve">CMMC became enforceable in DoD contracts on 10 November 2025. On 13 July 2026 the Department of War CIO “immediately suspended” Phase II pending a 60-day reform task force. Phase I self-assessments, NIST SP 800-171 and DFARS 252.204-7012 still apply. Level 2 third-party certification was estimated at approximately $105K for a small entity.</w:t>
            </w:r>
          </w:p>
          <w:p>
            <w:pPr>
              <w:spacing w:after="40" w:before="0" w:line="265"/>
            </w:pPr>
            <w:r>
              <w:rPr>
                <w:rFonts w:ascii="Calibri" w:cs="Calibri" w:eastAsia="Calibri" w:hAnsi="Calibri"/>
                <w:color w:val="3D4A5A"/>
                <w:sz w:val="19"/>
                <w:szCs w:val="19"/>
              </w:rPr>
              <w:t xml:space="preserve">The correct line for any defence-sector campaign is: the certification paused; the controls didn’t. Re-verify before use.</w:t>
            </w:r>
          </w:p>
        </w:tc>
      </w:tr>
    </w:tbl>
    <w:p>
      <w:pPr>
        <w:pStyle w:val="Heading3"/>
        <w:keepNext/>
        <w:spacing w:after="80" w:before="240"/>
      </w:pPr>
      <w:r>
        <w:rPr>
          <w:rFonts w:ascii="Calibri" w:cs="Calibri" w:eastAsia="Calibri" w:hAnsi="Calibri"/>
          <w:b/>
          <w:bCs/>
          <w:color w:val="14202E"/>
          <w:sz w:val="22"/>
          <w:szCs w:val="22"/>
        </w:rPr>
        <w:t xml:space="preserve">3.4  Why the paperwork fails, in numbers</w:t>
      </w:r>
    </w:p>
    <w:tbl>
      <w:tblPr>
        <w:tblW w:type="dxa" w:w="10080"/>
        <w:tblBorders>
          <w:top w:val="none"/>
          <w:left w:val="none"/>
          <w:bottom w:val="none"/>
          <w:right w:val="none"/>
          <w:insideH w:val="none"/>
          <w:insideV w:val="none"/>
        </w:tblBorders>
      </w:tblPr>
      <w:tblGrid>
        <w:gridCol w:w="1700"/>
        <w:gridCol w:w="8380"/>
      </w:tblGrid>
      <w:tr>
        <w:trPr>
          <w:cantSplit/>
        </w:trPr>
        <w:tc>
          <w:tcPr>
            <w:tcW w:type="dxa" w:w="1700"/>
            <w:tcBorders>
              <w:top w:val="none"/>
              <w:left w:val="none"/>
              <w:bottom w:val="none"/>
              <w:right w:val="none"/>
            </w:tcBorders>
            <w:tcMar>
              <w:top w:type="dxa" w:w="40"/>
              <w:left w:type="dxa" w:w="0"/>
              <w:bottom w:type="dxa" w:w="40"/>
              <w:right w:type="dxa" w:w="120"/>
            </w:tcMar>
          </w:tcPr>
          <w:p>
            <w:pPr>
              <w:spacing w:after="0" w:before="0"/>
            </w:pPr>
            <w:r>
              <w:rPr>
                <w:rFonts w:ascii="Calibri" w:cs="Calibri" w:eastAsia="Calibri" w:hAnsi="Calibri"/>
                <w:b/>
                <w:bCs/>
                <w:color w:val="44A8D9"/>
                <w:sz w:val="30"/>
                <w:szCs w:val="30"/>
              </w:rPr>
              <w:t xml:space="preserve">72%</w:t>
            </w:r>
          </w:p>
        </w:tc>
        <w:tc>
          <w:tcPr>
            <w:tcW w:type="dxa" w:w="8380"/>
            <w:tcBorders>
              <w:top w:val="none"/>
              <w:left w:val="none"/>
              <w:bottom w:val="none"/>
              <w:right w:val="none"/>
            </w:tcBorders>
            <w:tcMar>
              <w:top w:type="dxa" w:w="40"/>
              <w:left w:type="dxa" w:w="0"/>
              <w:bottom w:type="dxa" w:w="40"/>
              <w:right w:type="dxa" w:w="0"/>
            </w:tcMar>
          </w:tcPr>
          <w:p>
            <w:pPr>
              <w:spacing w:after="0" w:before="0" w:line="250"/>
            </w:pPr>
            <w:r>
              <w:rPr>
                <w:rFonts w:ascii="Calibri" w:cs="Calibri" w:eastAsia="Calibri" w:hAnsi="Calibri"/>
                <w:color w:val="3D4A5A"/>
                <w:sz w:val="18"/>
                <w:szCs w:val="18"/>
              </w:rPr>
              <w:t xml:space="preserve">rely on periodic assessments rather than continuous monitoring; 85% have delayed or eliminated GRC activities for lack of resources; 44% postponed control testing; 53% employ someone full-time just to collect evidence.</w:t>
            </w:r>
          </w:p>
        </w:tc>
      </w:tr>
    </w:tbl>
    <w:p>
      <w:pPr>
        <w:spacing w:after="160" w:before="0" w:line="276"/>
      </w:pPr>
      <w:r>
        <w:rPr>
          <w:rFonts w:ascii="Calibri" w:cs="Calibri" w:eastAsia="Calibri" w:hAnsi="Calibri"/>
          <w:b/>
          <w:bCs/>
          <w:color w:val="6B7A8C"/>
          <w:sz w:val="16"/>
          <w:szCs w:val="16"/>
        </w:rPr>
        <w:t xml:space="preserve">Source: </w:t>
      </w:r>
      <w:r>
        <w:rPr>
          <w:rFonts w:ascii="Calibri" w:cs="Calibri" w:eastAsia="Calibri" w:hAnsi="Calibri"/>
          <w:color w:val="6B7A8C"/>
          <w:sz w:val="16"/>
          <w:szCs w:val="16"/>
        </w:rPr>
        <w:t xml:space="preserve">RegScale, 2026 State of Continuous Controls Monitoring · 20 January 2026 · n=253</w:t>
      </w:r>
    </w:p>
    <w:tbl>
      <w:tblPr>
        <w:tblW w:type="dxa" w:w="10080"/>
        <w:tblBorders>
          <w:top w:val="none"/>
          <w:left w:val="none"/>
          <w:bottom w:val="none"/>
          <w:right w:val="none"/>
          <w:insideH w:val="none"/>
          <w:insideV w:val="none"/>
        </w:tblBorders>
      </w:tblPr>
      <w:tblGrid>
        <w:gridCol w:w="1700"/>
        <w:gridCol w:w="8380"/>
      </w:tblGrid>
      <w:tr>
        <w:trPr>
          <w:cantSplit/>
        </w:trPr>
        <w:tc>
          <w:tcPr>
            <w:tcW w:type="dxa" w:w="1700"/>
            <w:tcBorders>
              <w:top w:val="none"/>
              <w:left w:val="none"/>
              <w:bottom w:val="none"/>
              <w:right w:val="none"/>
            </w:tcBorders>
            <w:tcMar>
              <w:top w:type="dxa" w:w="40"/>
              <w:left w:type="dxa" w:w="0"/>
              <w:bottom w:type="dxa" w:w="40"/>
              <w:right w:type="dxa" w:w="120"/>
            </w:tcMar>
          </w:tcPr>
          <w:p>
            <w:pPr>
              <w:spacing w:after="0" w:before="0"/>
            </w:pPr>
            <w:r>
              <w:rPr>
                <w:rFonts w:ascii="Calibri" w:cs="Calibri" w:eastAsia="Calibri" w:hAnsi="Calibri"/>
                <w:b/>
                <w:bCs/>
                <w:color w:val="A4462F"/>
                <w:sz w:val="30"/>
                <w:szCs w:val="30"/>
              </w:rPr>
              <w:t xml:space="preserve">78%</w:t>
            </w:r>
          </w:p>
        </w:tc>
        <w:tc>
          <w:tcPr>
            <w:tcW w:type="dxa" w:w="8380"/>
            <w:tcBorders>
              <w:top w:val="none"/>
              <w:left w:val="none"/>
              <w:bottom w:val="none"/>
              <w:right w:val="none"/>
            </w:tcBorders>
            <w:tcMar>
              <w:top w:type="dxa" w:w="40"/>
              <w:left w:type="dxa" w:w="0"/>
              <w:bottom w:type="dxa" w:w="40"/>
              <w:right w:type="dxa" w:w="0"/>
            </w:tcMar>
          </w:tcPr>
          <w:p>
            <w:pPr>
              <w:spacing w:after="0" w:before="0" w:line="250"/>
            </w:pPr>
            <w:r>
              <w:rPr>
                <w:rFonts w:ascii="Calibri" w:cs="Calibri" w:eastAsia="Calibri" w:hAnsi="Calibri"/>
                <w:color w:val="3D4A5A"/>
                <w:sz w:val="18"/>
                <w:szCs w:val="18"/>
              </w:rPr>
              <w:t xml:space="preserve">of organizations that failed a recent compliance audit had a prior history of breaches — nearly four times the rate of those passing. 45% did not pass their most recent audit.</w:t>
            </w:r>
          </w:p>
        </w:tc>
      </w:tr>
    </w:tbl>
    <w:p>
      <w:pPr>
        <w:spacing w:after="160" w:before="0" w:line="276"/>
      </w:pPr>
      <w:r>
        <w:rPr>
          <w:rFonts w:ascii="Calibri" w:cs="Calibri" w:eastAsia="Calibri" w:hAnsi="Calibri"/>
          <w:b/>
          <w:bCs/>
          <w:color w:val="6B7A8C"/>
          <w:sz w:val="16"/>
          <w:szCs w:val="16"/>
        </w:rPr>
        <w:t xml:space="preserve">Source: </w:t>
      </w:r>
      <w:r>
        <w:rPr>
          <w:rFonts w:ascii="Calibri" w:cs="Calibri" w:eastAsia="Calibri" w:hAnsi="Calibri"/>
          <w:color w:val="6B7A8C"/>
          <w:sz w:val="16"/>
          <w:szCs w:val="16"/>
        </w:rPr>
        <w:t xml:space="preserve">Thales, 2025 Data Threat Report · 27 May 2025</w:t>
      </w:r>
    </w:p>
    <w:tbl>
      <w:tblPr>
        <w:tblW w:type="dxa" w:w="10080"/>
        <w:tblBorders>
          <w:top w:val="none"/>
          <w:left w:val="none"/>
          <w:bottom w:val="none"/>
          <w:right w:val="none"/>
          <w:insideH w:val="none"/>
          <w:insideV w:val="none"/>
        </w:tblBorders>
      </w:tblPr>
      <w:tblGrid>
        <w:gridCol w:w="1700"/>
        <w:gridCol w:w="8380"/>
      </w:tblGrid>
      <w:tr>
        <w:trPr>
          <w:cantSplit/>
        </w:trPr>
        <w:tc>
          <w:tcPr>
            <w:tcW w:type="dxa" w:w="1700"/>
            <w:tcBorders>
              <w:top w:val="none"/>
              <w:left w:val="none"/>
              <w:bottom w:val="none"/>
              <w:right w:val="none"/>
            </w:tcBorders>
            <w:tcMar>
              <w:top w:type="dxa" w:w="40"/>
              <w:left w:type="dxa" w:w="0"/>
              <w:bottom w:type="dxa" w:w="40"/>
              <w:right w:type="dxa" w:w="120"/>
            </w:tcMar>
          </w:tcPr>
          <w:p>
            <w:pPr>
              <w:spacing w:after="0" w:before="0"/>
            </w:pPr>
            <w:r>
              <w:rPr>
                <w:rFonts w:ascii="Calibri" w:cs="Calibri" w:eastAsia="Calibri" w:hAnsi="Calibri"/>
                <w:b/>
                <w:bCs/>
                <w:color w:val="44A8D9"/>
                <w:sz w:val="30"/>
                <w:szCs w:val="30"/>
              </w:rPr>
              <w:t xml:space="preserve">60% vs 41%</w:t>
            </w:r>
          </w:p>
        </w:tc>
        <w:tc>
          <w:tcPr>
            <w:tcW w:type="dxa" w:w="8380"/>
            <w:tcBorders>
              <w:top w:val="none"/>
              <w:left w:val="none"/>
              <w:bottom w:val="none"/>
              <w:right w:val="none"/>
            </w:tcBorders>
            <w:tcMar>
              <w:top w:type="dxa" w:w="40"/>
              <w:left w:type="dxa" w:w="0"/>
              <w:bottom w:type="dxa" w:w="40"/>
              <w:right w:type="dxa" w:w="0"/>
            </w:tcMar>
          </w:tcPr>
          <w:p>
            <w:pPr>
              <w:spacing w:after="0" w:before="0" w:line="250"/>
            </w:pPr>
            <w:r>
              <w:rPr>
                <w:rFonts w:ascii="Calibri" w:cs="Calibri" w:eastAsia="Calibri" w:hAnsi="Calibri"/>
                <w:color w:val="3D4A5A"/>
                <w:sz w:val="18"/>
                <w:szCs w:val="18"/>
              </w:rPr>
              <w:t xml:space="preserve">breach rate at organizations with ad-hoc or siloed risk management versus integrated, automated GRC. 55.8% still view GRC as a cost centre; only 4% have a board member overseeing compliance; 94.2% of CISOs say continuous controls monitoring improves both compliance and security.</w:t>
            </w:r>
          </w:p>
        </w:tc>
      </w:tr>
    </w:tbl>
    <w:p>
      <w:pPr>
        <w:spacing w:after="160" w:before="0" w:line="276"/>
      </w:pPr>
      <w:r>
        <w:rPr>
          <w:rFonts w:ascii="Calibri" w:cs="Calibri" w:eastAsia="Calibri" w:hAnsi="Calibri"/>
          <w:b/>
          <w:bCs/>
          <w:color w:val="6B7A8C"/>
          <w:sz w:val="16"/>
          <w:szCs w:val="16"/>
        </w:rPr>
        <w:t xml:space="preserve">Source: </w:t>
      </w:r>
      <w:r>
        <w:rPr>
          <w:rFonts w:ascii="Calibri" w:cs="Calibri" w:eastAsia="Calibri" w:hAnsi="Calibri"/>
          <w:color w:val="6B7A8C"/>
          <w:sz w:val="16"/>
          <w:szCs w:val="16"/>
        </w:rPr>
        <w:t xml:space="preserve">Hyperproof, 6th Annual Benchmark and Summer 2025 Benchmark</w:t>
      </w:r>
    </w:p>
    <w:tbl>
      <w:tblPr>
        <w:tblW w:type="dxa" w:w="10080"/>
        <w:tblBorders>
          <w:top w:val="none"/>
          <w:left w:val="none"/>
          <w:bottom w:val="none"/>
          <w:right w:val="none"/>
          <w:insideH w:val="none"/>
          <w:insideV w:val="none"/>
        </w:tblBorders>
      </w:tblPr>
      <w:tblGrid>
        <w:gridCol w:w="1700"/>
        <w:gridCol w:w="8380"/>
      </w:tblGrid>
      <w:tr>
        <w:trPr>
          <w:cantSplit/>
        </w:trPr>
        <w:tc>
          <w:tcPr>
            <w:tcW w:type="dxa" w:w="1700"/>
            <w:tcBorders>
              <w:top w:val="none"/>
              <w:left w:val="none"/>
              <w:bottom w:val="none"/>
              <w:right w:val="none"/>
            </w:tcBorders>
            <w:tcMar>
              <w:top w:type="dxa" w:w="40"/>
              <w:left w:type="dxa" w:w="0"/>
              <w:bottom w:type="dxa" w:w="40"/>
              <w:right w:type="dxa" w:w="120"/>
            </w:tcMar>
          </w:tcPr>
          <w:p>
            <w:pPr>
              <w:spacing w:after="0" w:before="0"/>
            </w:pPr>
            <w:r>
              <w:rPr>
                <w:rFonts w:ascii="Calibri" w:cs="Calibri" w:eastAsia="Calibri" w:hAnsi="Calibri"/>
                <w:b/>
                <w:bCs/>
                <w:color w:val="44A8D9"/>
                <w:sz w:val="30"/>
                <w:szCs w:val="30"/>
              </w:rPr>
              <w:t xml:space="preserve">8</w:t>
            </w:r>
          </w:p>
        </w:tc>
        <w:tc>
          <w:tcPr>
            <w:tcW w:type="dxa" w:w="8380"/>
            <w:tcBorders>
              <w:top w:val="none"/>
              <w:left w:val="none"/>
              <w:bottom w:val="none"/>
              <w:right w:val="none"/>
            </w:tcBorders>
            <w:tcMar>
              <w:top w:type="dxa" w:w="40"/>
              <w:left w:type="dxa" w:w="0"/>
              <w:bottom w:type="dxa" w:w="40"/>
              <w:right w:type="dxa" w:w="0"/>
            </w:tcMar>
          </w:tcPr>
          <w:p>
            <w:pPr>
              <w:spacing w:after="0" w:before="0" w:line="250"/>
            </w:pPr>
            <w:r>
              <w:rPr>
                <w:rFonts w:ascii="Calibri" w:cs="Calibri" w:eastAsia="Calibri" w:hAnsi="Calibri"/>
                <w:color w:val="3D4A5A"/>
                <w:sz w:val="18"/>
                <w:szCs w:val="18"/>
              </w:rPr>
              <w:t xml:space="preserve">frameworks managed on average; 60% juggle five or more; 52% feel overwhelmed identifying which apply; 93% want to automate more GRC work to reclaim roughly fourteen hours a week, but only 4% have end-to-end automation.</w:t>
            </w:r>
          </w:p>
        </w:tc>
      </w:tr>
    </w:tbl>
    <w:p>
      <w:pPr>
        <w:spacing w:after="160" w:before="0" w:line="276"/>
      </w:pPr>
      <w:r>
        <w:rPr>
          <w:rFonts w:ascii="Calibri" w:cs="Calibri" w:eastAsia="Calibri" w:hAnsi="Calibri"/>
          <w:b/>
          <w:bCs/>
          <w:color w:val="6B7A8C"/>
          <w:sz w:val="16"/>
          <w:szCs w:val="16"/>
        </w:rPr>
        <w:t xml:space="preserve">Source: </w:t>
      </w:r>
      <w:r>
        <w:rPr>
          <w:rFonts w:ascii="Calibri" w:cs="Calibri" w:eastAsia="Calibri" w:hAnsi="Calibri"/>
          <w:color w:val="6B7A8C"/>
          <w:sz w:val="16"/>
          <w:szCs w:val="16"/>
        </w:rPr>
        <w:t xml:space="preserve">Drata, State of GRC 2025 · 28 February 2025</w:t>
      </w:r>
    </w:p>
    <w:tbl>
      <w:tblPr>
        <w:tblW w:type="dxa" w:w="10080"/>
        <w:tblBorders>
          <w:top w:val="none"/>
          <w:left w:val="none"/>
          <w:bottom w:val="none"/>
          <w:right w:val="none"/>
          <w:insideH w:val="none"/>
          <w:insideV w:val="none"/>
        </w:tblBorders>
      </w:tblPr>
      <w:tblGrid>
        <w:gridCol w:w="1700"/>
        <w:gridCol w:w="8380"/>
      </w:tblGrid>
      <w:tr>
        <w:trPr>
          <w:cantSplit/>
        </w:trPr>
        <w:tc>
          <w:tcPr>
            <w:tcW w:type="dxa" w:w="1700"/>
            <w:tcBorders>
              <w:top w:val="none"/>
              <w:left w:val="none"/>
              <w:bottom w:val="none"/>
              <w:right w:val="none"/>
            </w:tcBorders>
            <w:tcMar>
              <w:top w:type="dxa" w:w="40"/>
              <w:left w:type="dxa" w:w="0"/>
              <w:bottom w:type="dxa" w:w="40"/>
              <w:right w:type="dxa" w:w="120"/>
            </w:tcMar>
          </w:tcPr>
          <w:p>
            <w:pPr>
              <w:spacing w:after="0" w:before="0"/>
            </w:pPr>
            <w:r>
              <w:rPr>
                <w:rFonts w:ascii="Calibri" w:cs="Calibri" w:eastAsia="Calibri" w:hAnsi="Calibri"/>
                <w:b/>
                <w:bCs/>
                <w:color w:val="44A8D9"/>
                <w:sz w:val="30"/>
                <w:szCs w:val="30"/>
              </w:rPr>
              <w:t xml:space="preserve">&lt;15%</w:t>
            </w:r>
          </w:p>
        </w:tc>
        <w:tc>
          <w:tcPr>
            <w:tcW w:type="dxa" w:w="8380"/>
            <w:tcBorders>
              <w:top w:val="none"/>
              <w:left w:val="none"/>
              <w:bottom w:val="none"/>
              <w:right w:val="none"/>
            </w:tcBorders>
            <w:tcMar>
              <w:top w:type="dxa" w:w="40"/>
              <w:left w:type="dxa" w:w="0"/>
              <w:bottom w:type="dxa" w:w="40"/>
              <w:right w:type="dxa" w:w="0"/>
            </w:tcMar>
          </w:tcPr>
          <w:p>
            <w:pPr>
              <w:spacing w:after="0" w:before="0" w:line="250"/>
            </w:pPr>
            <w:r>
              <w:rPr>
                <w:rFonts w:ascii="Calibri" w:cs="Calibri" w:eastAsia="Calibri" w:hAnsi="Calibri"/>
                <w:color w:val="3D4A5A"/>
                <w:sz w:val="18"/>
                <w:szCs w:val="18"/>
              </w:rPr>
              <w:t xml:space="preserve">of 1,000 US public companies disclose a board member with cybersecurity experience. The median CISO estimates 40% of CISOs filter what they report to management. Non-expert boards ask surface-level questions.</w:t>
            </w:r>
          </w:p>
        </w:tc>
      </w:tr>
    </w:tbl>
    <w:p>
      <w:pPr>
        <w:spacing w:after="160" w:before="0" w:line="276"/>
      </w:pPr>
      <w:r>
        <w:rPr>
          <w:rFonts w:ascii="Calibri" w:cs="Calibri" w:eastAsia="Calibri" w:hAnsi="Calibri"/>
          <w:b/>
          <w:bCs/>
          <w:color w:val="6B7A8C"/>
          <w:sz w:val="16"/>
          <w:szCs w:val="16"/>
        </w:rPr>
        <w:t xml:space="preserve">Source: </w:t>
      </w:r>
      <w:r>
        <w:rPr>
          <w:rFonts w:ascii="Calibri" w:cs="Calibri" w:eastAsia="Calibri" w:hAnsi="Calibri"/>
          <w:color w:val="6B7A8C"/>
          <w:sz w:val="16"/>
          <w:szCs w:val="16"/>
        </w:rPr>
        <w:t xml:space="preserve">Lowry, Vance &amp; Vance via Columbia Law Blue Sky Blog · 13 August 2025</w:t>
      </w:r>
    </w:p>
    <w:tbl>
      <w:tblPr>
        <w:tblW w:type="dxa" w:w="10080"/>
        <w:tblBorders>
          <w:top w:val="none"/>
          <w:left w:val="none"/>
          <w:bottom w:val="none"/>
          <w:right w:val="none"/>
          <w:insideH w:val="none"/>
          <w:insideV w:val="none"/>
        </w:tblBorders>
      </w:tblPr>
      <w:tblGrid>
        <w:gridCol w:w="1700"/>
        <w:gridCol w:w="8380"/>
      </w:tblGrid>
      <w:tr>
        <w:trPr>
          <w:cantSplit/>
        </w:trPr>
        <w:tc>
          <w:tcPr>
            <w:tcW w:type="dxa" w:w="1700"/>
            <w:tcBorders>
              <w:top w:val="none"/>
              <w:left w:val="none"/>
              <w:bottom w:val="none"/>
              <w:right w:val="none"/>
            </w:tcBorders>
            <w:tcMar>
              <w:top w:type="dxa" w:w="40"/>
              <w:left w:type="dxa" w:w="0"/>
              <w:bottom w:type="dxa" w:w="40"/>
              <w:right w:type="dxa" w:w="120"/>
            </w:tcMar>
          </w:tcPr>
          <w:p>
            <w:pPr>
              <w:spacing w:after="0" w:before="0"/>
            </w:pPr>
            <w:r>
              <w:rPr>
                <w:rFonts w:ascii="Calibri" w:cs="Calibri" w:eastAsia="Calibri" w:hAnsi="Calibri"/>
                <w:b/>
                <w:bCs/>
                <w:color w:val="44A8D9"/>
                <w:sz w:val="30"/>
                <w:szCs w:val="30"/>
              </w:rPr>
              <w:t xml:space="preserve">83</w:t>
            </w:r>
          </w:p>
        </w:tc>
        <w:tc>
          <w:tcPr>
            <w:tcW w:type="dxa" w:w="8380"/>
            <w:tcBorders>
              <w:top w:val="none"/>
              <w:left w:val="none"/>
              <w:bottom w:val="none"/>
              <w:right w:val="none"/>
            </w:tcBorders>
            <w:tcMar>
              <w:top w:type="dxa" w:w="40"/>
              <w:left w:type="dxa" w:w="0"/>
              <w:bottom w:type="dxa" w:w="40"/>
              <w:right w:type="dxa" w:w="0"/>
            </w:tcMar>
          </w:tcPr>
          <w:p>
            <w:pPr>
              <w:spacing w:after="0" w:before="0" w:line="250"/>
            </w:pPr>
            <w:r>
              <w:rPr>
                <w:rFonts w:ascii="Calibri" w:cs="Calibri" w:eastAsia="Calibri" w:hAnsi="Calibri"/>
                <w:color w:val="3D4A5A"/>
                <w:sz w:val="18"/>
                <w:szCs w:val="18"/>
              </w:rPr>
              <w:t xml:space="preserve">security tools from 29 vendors at the average organization. Consolidation delivered 4x ROI and cut incident identification by 74 days.</w:t>
            </w:r>
          </w:p>
        </w:tc>
      </w:tr>
    </w:tbl>
    <w:p>
      <w:pPr>
        <w:spacing w:after="160" w:before="0" w:line="276"/>
      </w:pPr>
      <w:r>
        <w:rPr>
          <w:rFonts w:ascii="Calibri" w:cs="Calibri" w:eastAsia="Calibri" w:hAnsi="Calibri"/>
          <w:b/>
          <w:bCs/>
          <w:color w:val="6B7A8C"/>
          <w:sz w:val="16"/>
          <w:szCs w:val="16"/>
        </w:rPr>
        <w:t xml:space="preserve">Source: </w:t>
      </w:r>
      <w:r>
        <w:rPr>
          <w:rFonts w:ascii="Calibri" w:cs="Calibri" w:eastAsia="Calibri" w:hAnsi="Calibri"/>
          <w:color w:val="6B7A8C"/>
          <w:sz w:val="16"/>
          <w:szCs w:val="16"/>
        </w:rPr>
        <w:t xml:space="preserve">IBM Institute for Business Value with Palo Alto Networks · 31 January 2025</w:t>
      </w:r>
    </w:p>
    <w:p>
      <w:pPr>
        <w:pStyle w:val="Heading3"/>
        <w:keepNext/>
        <w:spacing w:after="80" w:before="240"/>
      </w:pPr>
      <w:r>
        <w:rPr>
          <w:rFonts w:ascii="Calibri" w:cs="Calibri" w:eastAsia="Calibri" w:hAnsi="Calibri"/>
          <w:b/>
          <w:bCs/>
          <w:color w:val="14202E"/>
          <w:sz w:val="22"/>
          <w:szCs w:val="22"/>
        </w:rPr>
        <w:t xml:space="preserve">3.5  The vCISO market is exploding and commoditizing at the same time</w:t>
      </w:r>
    </w:p>
    <w:tbl>
      <w:tblPr>
        <w:tblW w:type="dxa" w:w="10080"/>
        <w:tblBorders>
          <w:top w:val="none"/>
          <w:left w:val="none"/>
          <w:bottom w:val="none"/>
          <w:right w:val="none"/>
          <w:insideH w:val="none"/>
          <w:insideV w:val="none"/>
        </w:tblBorders>
      </w:tblPr>
      <w:tblGrid>
        <w:gridCol w:w="1700"/>
        <w:gridCol w:w="8380"/>
      </w:tblGrid>
      <w:tr>
        <w:trPr>
          <w:cantSplit/>
        </w:trPr>
        <w:tc>
          <w:tcPr>
            <w:tcW w:type="dxa" w:w="1700"/>
            <w:tcBorders>
              <w:top w:val="none"/>
              <w:left w:val="none"/>
              <w:bottom w:val="none"/>
              <w:right w:val="none"/>
            </w:tcBorders>
            <w:tcMar>
              <w:top w:type="dxa" w:w="40"/>
              <w:left w:type="dxa" w:w="0"/>
              <w:bottom w:type="dxa" w:w="40"/>
              <w:right w:type="dxa" w:w="120"/>
            </w:tcMar>
          </w:tcPr>
          <w:p>
            <w:pPr>
              <w:spacing w:after="0" w:before="0"/>
            </w:pPr>
            <w:r>
              <w:rPr>
                <w:rFonts w:ascii="Calibri" w:cs="Calibri" w:eastAsia="Calibri" w:hAnsi="Calibri"/>
                <w:b/>
                <w:bCs/>
                <w:color w:val="A8781F"/>
                <w:sz w:val="30"/>
                <w:szCs w:val="30"/>
              </w:rPr>
              <w:t xml:space="preserve">21% → 67%</w:t>
            </w:r>
          </w:p>
        </w:tc>
        <w:tc>
          <w:tcPr>
            <w:tcW w:type="dxa" w:w="8380"/>
            <w:tcBorders>
              <w:top w:val="none"/>
              <w:left w:val="none"/>
              <w:bottom w:val="none"/>
              <w:right w:val="none"/>
            </w:tcBorders>
            <w:tcMar>
              <w:top w:type="dxa" w:w="40"/>
              <w:left w:type="dxa" w:w="0"/>
              <w:bottom w:type="dxa" w:w="40"/>
              <w:right w:type="dxa" w:w="0"/>
            </w:tcMar>
          </w:tcPr>
          <w:p>
            <w:pPr>
              <w:spacing w:after="0" w:before="0" w:line="250"/>
            </w:pPr>
            <w:r>
              <w:rPr>
                <w:rFonts w:ascii="Calibri" w:cs="Calibri" w:eastAsia="Calibri" w:hAnsi="Calibri"/>
                <w:color w:val="3D4A5A"/>
                <w:sz w:val="18"/>
                <w:szCs w:val="18"/>
              </w:rPr>
              <w:t xml:space="preserve">MSPs and MSSPs offering vCISO services, 2024 to 2025. 79% report strong SMB demand. Blockers for the rest: ROI concerns 35%, upfront resource demands 33%, access to qualified talent 32%. 81% of providers already use AI in delivery, reporting a 68% average workload reduction.</w:t>
            </w:r>
          </w:p>
        </w:tc>
      </w:tr>
    </w:tbl>
    <w:p>
      <w:pPr>
        <w:spacing w:after="160" w:before="0" w:line="276"/>
      </w:pPr>
      <w:r>
        <w:rPr>
          <w:rFonts w:ascii="Calibri" w:cs="Calibri" w:eastAsia="Calibri" w:hAnsi="Calibri"/>
          <w:b/>
          <w:bCs/>
          <w:color w:val="6B7A8C"/>
          <w:sz w:val="16"/>
          <w:szCs w:val="16"/>
        </w:rPr>
        <w:t xml:space="preserve">Source: </w:t>
      </w:r>
      <w:r>
        <w:rPr>
          <w:rFonts w:ascii="Calibri" w:cs="Calibri" w:eastAsia="Calibri" w:hAnsi="Calibri"/>
          <w:color w:val="6B7A8C"/>
          <w:sz w:val="16"/>
          <w:szCs w:val="16"/>
        </w:rPr>
        <w:t xml:space="preserve">Cynomi, 2025 State of the vCISO · July 2025 · Channel Insider interview</w:t>
      </w:r>
    </w:p>
    <w:tbl>
      <w:tblPr>
        <w:tblW w:type="dxa" w:w="10080"/>
        <w:tblBorders>
          <w:top w:val="none"/>
          <w:left w:val="none"/>
          <w:bottom w:val="none"/>
          <w:right w:val="none"/>
          <w:insideH w:val="none"/>
          <w:insideV w:val="none"/>
        </w:tblBorders>
      </w:tblPr>
      <w:tblGrid>
        <w:gridCol w:w="1700"/>
        <w:gridCol w:w="8380"/>
      </w:tblGrid>
      <w:tr>
        <w:trPr>
          <w:cantSplit/>
        </w:trPr>
        <w:tc>
          <w:tcPr>
            <w:tcW w:type="dxa" w:w="1700"/>
            <w:tcBorders>
              <w:top w:val="none"/>
              <w:left w:val="none"/>
              <w:bottom w:val="none"/>
              <w:right w:val="none"/>
            </w:tcBorders>
            <w:tcMar>
              <w:top w:type="dxa" w:w="40"/>
              <w:left w:type="dxa" w:w="0"/>
              <w:bottom w:type="dxa" w:w="40"/>
              <w:right w:type="dxa" w:w="120"/>
            </w:tcMar>
          </w:tcPr>
          <w:p>
            <w:pPr>
              <w:spacing w:after="0" w:before="0"/>
            </w:pPr>
            <w:r>
              <w:rPr>
                <w:rFonts w:ascii="Calibri" w:cs="Calibri" w:eastAsia="Calibri" w:hAnsi="Calibri"/>
                <w:b/>
                <w:bCs/>
                <w:color w:val="44A8D9"/>
                <w:sz w:val="30"/>
                <w:szCs w:val="30"/>
              </w:rPr>
              <w:t xml:space="preserve">$92.8B</w:t>
            </w:r>
          </w:p>
        </w:tc>
        <w:tc>
          <w:tcPr>
            <w:tcW w:type="dxa" w:w="8380"/>
            <w:tcBorders>
              <w:top w:val="none"/>
              <w:left w:val="none"/>
              <w:bottom w:val="none"/>
              <w:right w:val="none"/>
            </w:tcBorders>
            <w:tcMar>
              <w:top w:type="dxa" w:w="40"/>
              <w:left w:type="dxa" w:w="0"/>
              <w:bottom w:type="dxa" w:w="40"/>
              <w:right w:type="dxa" w:w="0"/>
            </w:tcMar>
          </w:tcPr>
          <w:p>
            <w:pPr>
              <w:spacing w:after="0" w:before="0" w:line="250"/>
            </w:pPr>
            <w:r>
              <w:rPr>
                <w:rFonts w:ascii="Calibri" w:cs="Calibri" w:eastAsia="Calibri" w:hAnsi="Calibri"/>
                <w:color w:val="3D4A5A"/>
                <w:sz w:val="18"/>
                <w:szCs w:val="18"/>
              </w:rPr>
              <w:t xml:space="preserve">forecast 2026 spend on security services, up from $83.8B, inside $240B total information-security spend. Gartner names increased regulatory requirements, particularly among small and medium-sized businesses, as a driver.</w:t>
            </w:r>
          </w:p>
        </w:tc>
      </w:tr>
    </w:tbl>
    <w:p>
      <w:pPr>
        <w:spacing w:after="160" w:before="0" w:line="276"/>
      </w:pPr>
      <w:r>
        <w:rPr>
          <w:rFonts w:ascii="Calibri" w:cs="Calibri" w:eastAsia="Calibri" w:hAnsi="Calibri"/>
          <w:b/>
          <w:bCs/>
          <w:color w:val="6B7A8C"/>
          <w:sz w:val="16"/>
          <w:szCs w:val="16"/>
        </w:rPr>
        <w:t xml:space="preserve">Source: </w:t>
      </w:r>
      <w:r>
        <w:rPr>
          <w:rFonts w:ascii="Calibri" w:cs="Calibri" w:eastAsia="Calibri" w:hAnsi="Calibri"/>
          <w:color w:val="6B7A8C"/>
          <w:sz w:val="16"/>
          <w:szCs w:val="16"/>
        </w:rPr>
        <w:t xml:space="preserve">Gartner · 29 July 2025</w:t>
      </w:r>
    </w:p>
    <w:tbl>
      <w:tblPr>
        <w:tblW w:type="dxa" w:w="10080"/>
        <w:tblBorders>
          <w:top w:val="none"/>
          <w:left w:val="none"/>
          <w:bottom w:val="none"/>
          <w:right w:val="none"/>
          <w:insideH w:val="none"/>
          <w:insideV w:val="none"/>
        </w:tblBorders>
      </w:tblPr>
      <w:tblGrid>
        <w:gridCol w:w="1700"/>
        <w:gridCol w:w="8380"/>
      </w:tblGrid>
      <w:tr>
        <w:trPr>
          <w:cantSplit/>
        </w:trPr>
        <w:tc>
          <w:tcPr>
            <w:tcW w:type="dxa" w:w="1700"/>
            <w:tcBorders>
              <w:top w:val="none"/>
              <w:left w:val="none"/>
              <w:bottom w:val="none"/>
              <w:right w:val="none"/>
            </w:tcBorders>
            <w:tcMar>
              <w:top w:type="dxa" w:w="40"/>
              <w:left w:type="dxa" w:w="0"/>
              <w:bottom w:type="dxa" w:w="40"/>
              <w:right w:type="dxa" w:w="120"/>
            </w:tcMar>
          </w:tcPr>
          <w:p>
            <w:pPr>
              <w:spacing w:after="0" w:before="0"/>
            </w:pPr>
            <w:r>
              <w:rPr>
                <w:rFonts w:ascii="Calibri" w:cs="Calibri" w:eastAsia="Calibri" w:hAnsi="Calibri"/>
                <w:b/>
                <w:bCs/>
                <w:color w:val="2F8562"/>
                <w:sz w:val="30"/>
                <w:szCs w:val="30"/>
              </w:rPr>
              <w:t xml:space="preserve">84%</w:t>
            </w:r>
          </w:p>
        </w:tc>
        <w:tc>
          <w:tcPr>
            <w:tcW w:type="dxa" w:w="8380"/>
            <w:tcBorders>
              <w:top w:val="none"/>
              <w:left w:val="none"/>
              <w:bottom w:val="none"/>
              <w:right w:val="none"/>
            </w:tcBorders>
            <w:tcMar>
              <w:top w:type="dxa" w:w="40"/>
              <w:left w:type="dxa" w:w="0"/>
              <w:bottom w:type="dxa" w:w="40"/>
              <w:right w:type="dxa" w:w="0"/>
            </w:tcMar>
          </w:tcPr>
          <w:p>
            <w:pPr>
              <w:spacing w:after="0" w:before="0" w:line="250"/>
            </w:pPr>
            <w:r>
              <w:rPr>
                <w:rFonts w:ascii="Calibri" w:cs="Calibri" w:eastAsia="Calibri" w:hAnsi="Calibri"/>
                <w:color w:val="3D4A5A"/>
                <w:sz w:val="18"/>
                <w:szCs w:val="18"/>
              </w:rPr>
              <w:t xml:space="preserve">of SMBs would trust external technology advisors for AI implementation; 70% say SMBs need outside partners to get value from AI. Only 23% of SMBs have documented AI use policies while 90% are already adopting AI.</w:t>
            </w:r>
          </w:p>
        </w:tc>
      </w:tr>
    </w:tbl>
    <w:p>
      <w:pPr>
        <w:spacing w:after="160" w:before="0" w:line="276"/>
      </w:pPr>
      <w:r>
        <w:rPr>
          <w:rFonts w:ascii="Calibri" w:cs="Calibri" w:eastAsia="Calibri" w:hAnsi="Calibri"/>
          <w:b/>
          <w:bCs/>
          <w:color w:val="6B7A8C"/>
          <w:sz w:val="16"/>
          <w:szCs w:val="16"/>
        </w:rPr>
        <w:t xml:space="preserve">Source: </w:t>
      </w:r>
      <w:r>
        <w:rPr>
          <w:rFonts w:ascii="Calibri" w:cs="Calibri" w:eastAsia="Calibri" w:hAnsi="Calibri"/>
          <w:color w:val="6B7A8C"/>
          <w:sz w:val="16"/>
          <w:szCs w:val="16"/>
        </w:rPr>
        <w:t xml:space="preserve">Pax8 · 24 March 2026 · Pax8 Q2 2026 SMB AI Pulse</w:t>
      </w:r>
    </w:p>
    <w:tbl>
      <w:tblPr>
        <w:tblW w:type="dxa" w:w="10080"/>
        <w:tblBorders>
          <w:top w:val="none"/>
          <w:left w:val="none"/>
          <w:bottom w:val="none"/>
          <w:right w:val="none"/>
          <w:insideH w:val="none"/>
          <w:insideV w:val="none"/>
        </w:tblBorders>
      </w:tblPr>
      <w:tblGrid>
        <w:gridCol w:w="1700"/>
        <w:gridCol w:w="8380"/>
      </w:tblGrid>
      <w:tr>
        <w:trPr>
          <w:cantSplit/>
        </w:trPr>
        <w:tc>
          <w:tcPr>
            <w:tcW w:type="dxa" w:w="1700"/>
            <w:tcBorders>
              <w:top w:val="none"/>
              <w:left w:val="none"/>
              <w:bottom w:val="none"/>
              <w:right w:val="none"/>
            </w:tcBorders>
            <w:tcMar>
              <w:top w:type="dxa" w:w="40"/>
              <w:left w:type="dxa" w:w="0"/>
              <w:bottom w:type="dxa" w:w="40"/>
              <w:right w:type="dxa" w:w="120"/>
            </w:tcMar>
          </w:tcPr>
          <w:p>
            <w:pPr>
              <w:spacing w:after="0" w:before="0"/>
            </w:pPr>
            <w:r>
              <w:rPr>
                <w:rFonts w:ascii="Calibri" w:cs="Calibri" w:eastAsia="Calibri" w:hAnsi="Calibri"/>
                <w:b/>
                <w:bCs/>
                <w:color w:val="A4462F"/>
                <w:sz w:val="30"/>
                <w:szCs w:val="30"/>
              </w:rPr>
              <w:t xml:space="preserve">68%</w:t>
            </w:r>
          </w:p>
        </w:tc>
        <w:tc>
          <w:tcPr>
            <w:tcW w:type="dxa" w:w="8380"/>
            <w:tcBorders>
              <w:top w:val="none"/>
              <w:left w:val="none"/>
              <w:bottom w:val="none"/>
              <w:right w:val="none"/>
            </w:tcBorders>
            <w:tcMar>
              <w:top w:type="dxa" w:w="40"/>
              <w:left w:type="dxa" w:w="0"/>
              <w:bottom w:type="dxa" w:w="40"/>
              <w:right w:type="dxa" w:w="0"/>
            </w:tcMar>
          </w:tcPr>
          <w:p>
            <w:pPr>
              <w:spacing w:after="0" w:before="0" w:line="250"/>
            </w:pPr>
            <w:r>
              <w:rPr>
                <w:rFonts w:ascii="Calibri" w:cs="Calibri" w:eastAsia="Calibri" w:hAnsi="Calibri"/>
                <w:color w:val="3D4A5A"/>
                <w:sz w:val="18"/>
                <w:szCs w:val="18"/>
              </w:rPr>
              <w:t xml:space="preserve">of breached organizations lacked AI governance policies in 2026, up from 63% in 2025. Five of six governance controls declined year over year. Shadow-AI incidents doubled to 43% and cost $5.39M on average.</w:t>
            </w:r>
          </w:p>
        </w:tc>
      </w:tr>
    </w:tbl>
    <w:p>
      <w:pPr>
        <w:spacing w:after="160" w:before="0" w:line="276"/>
      </w:pPr>
      <w:r>
        <w:rPr>
          <w:rFonts w:ascii="Calibri" w:cs="Calibri" w:eastAsia="Calibri" w:hAnsi="Calibri"/>
          <w:b/>
          <w:bCs/>
          <w:color w:val="6B7A8C"/>
          <w:sz w:val="16"/>
          <w:szCs w:val="16"/>
        </w:rPr>
        <w:t xml:space="preserve">Source: </w:t>
      </w:r>
      <w:r>
        <w:rPr>
          <w:rFonts w:ascii="Calibri" w:cs="Calibri" w:eastAsia="Calibri" w:hAnsi="Calibri"/>
          <w:color w:val="6B7A8C"/>
          <w:sz w:val="16"/>
          <w:szCs w:val="16"/>
        </w:rPr>
        <w:t xml:space="preserve">IBM, 2026 Cost of a Data Breach — AI governance findings</w:t>
      </w:r>
    </w:p>
    <w:tbl>
      <w:tblPr>
        <w:tblW w:type="dxa" w:w="10080"/>
        <w:tblBorders>
          <w:top w:val="none"/>
          <w:left w:val="none"/>
          <w:bottom w:val="none"/>
          <w:right w:val="none"/>
          <w:insideH w:val="none"/>
          <w:insideV w:val="none"/>
        </w:tblBorders>
      </w:tblPr>
      <w:tblGrid>
        <w:gridCol w:w="1700"/>
        <w:gridCol w:w="8380"/>
      </w:tblGrid>
      <w:tr>
        <w:trPr>
          <w:cantSplit/>
        </w:trPr>
        <w:tc>
          <w:tcPr>
            <w:tcW w:type="dxa" w:w="1700"/>
            <w:tcBorders>
              <w:top w:val="none"/>
              <w:left w:val="none"/>
              <w:bottom w:val="none"/>
              <w:right w:val="none"/>
            </w:tcBorders>
            <w:tcMar>
              <w:top w:type="dxa" w:w="40"/>
              <w:left w:type="dxa" w:w="0"/>
              <w:bottom w:type="dxa" w:w="40"/>
              <w:right w:type="dxa" w:w="120"/>
            </w:tcMar>
          </w:tcPr>
          <w:p>
            <w:pPr>
              <w:spacing w:after="0" w:before="0"/>
            </w:pPr>
            <w:r>
              <w:rPr>
                <w:rFonts w:ascii="Calibri" w:cs="Calibri" w:eastAsia="Calibri" w:hAnsi="Calibri"/>
                <w:b/>
                <w:bCs/>
                <w:color w:val="44A8D9"/>
                <w:sz w:val="30"/>
                <w:szCs w:val="30"/>
              </w:rPr>
              <w:t xml:space="preserve">38%</w:t>
            </w:r>
          </w:p>
        </w:tc>
        <w:tc>
          <w:tcPr>
            <w:tcW w:type="dxa" w:w="8380"/>
            <w:tcBorders>
              <w:top w:val="none"/>
              <w:left w:val="none"/>
              <w:bottom w:val="none"/>
              <w:right w:val="none"/>
            </w:tcBorders>
            <w:tcMar>
              <w:top w:type="dxa" w:w="40"/>
              <w:left w:type="dxa" w:w="0"/>
              <w:bottom w:type="dxa" w:w="40"/>
              <w:right w:type="dxa" w:w="0"/>
            </w:tcMar>
          </w:tcPr>
          <w:p>
            <w:pPr>
              <w:spacing w:after="0" w:before="0" w:line="250"/>
            </w:pPr>
            <w:r>
              <w:rPr>
                <w:rFonts w:ascii="Calibri" w:cs="Calibri" w:eastAsia="Calibri" w:hAnsi="Calibri"/>
                <w:color w:val="3D4A5A"/>
                <w:sz w:val="18"/>
                <w:szCs w:val="18"/>
              </w:rPr>
              <w:t xml:space="preserve">of digital-trust professionals report a formal, comprehensive AI policy, up from 28% a year earlier; 25% have none; only 38% are confident their board understands AI risk; 39% have no documented AI shutdown procedure.</w:t>
            </w:r>
          </w:p>
        </w:tc>
      </w:tr>
    </w:tbl>
    <w:p>
      <w:pPr>
        <w:spacing w:after="160" w:before="0" w:line="276"/>
      </w:pPr>
      <w:r>
        <w:rPr>
          <w:rFonts w:ascii="Calibri" w:cs="Calibri" w:eastAsia="Calibri" w:hAnsi="Calibri"/>
          <w:b/>
          <w:bCs/>
          <w:color w:val="6B7A8C"/>
          <w:sz w:val="16"/>
          <w:szCs w:val="16"/>
        </w:rPr>
        <w:t xml:space="preserve">Source: </w:t>
      </w:r>
      <w:r>
        <w:rPr>
          <w:rFonts w:ascii="Calibri" w:cs="Calibri" w:eastAsia="Calibri" w:hAnsi="Calibri"/>
          <w:color w:val="6B7A8C"/>
          <w:sz w:val="16"/>
          <w:szCs w:val="16"/>
        </w:rPr>
        <w:t xml:space="preserve">ISACA, 2026 AI Pulse Poll · 5 May 2026 · n=3,400+</w:t>
      </w:r>
    </w:p>
    <w:tbl>
      <w:tblPr>
        <w:tblW w:type="dxa" w:w="10080"/>
        <w:tblBorders>
          <w:top w:val="none"/>
          <w:left w:val="none"/>
          <w:bottom w:val="none"/>
          <w:right w:val="none"/>
          <w:insideH w:val="none"/>
          <w:insideV w:val="none"/>
        </w:tblBorders>
      </w:tblPr>
      <w:tblGrid>
        <w:gridCol w:w="1700"/>
        <w:gridCol w:w="8380"/>
      </w:tblGrid>
      <w:tr>
        <w:trPr>
          <w:cantSplit/>
        </w:trPr>
        <w:tc>
          <w:tcPr>
            <w:tcW w:type="dxa" w:w="1700"/>
            <w:tcBorders>
              <w:top w:val="none"/>
              <w:left w:val="none"/>
              <w:bottom w:val="none"/>
              <w:right w:val="none"/>
            </w:tcBorders>
            <w:tcMar>
              <w:top w:type="dxa" w:w="40"/>
              <w:left w:type="dxa" w:w="0"/>
              <w:bottom w:type="dxa" w:w="40"/>
              <w:right w:type="dxa" w:w="120"/>
            </w:tcMar>
          </w:tcPr>
          <w:p>
            <w:pPr>
              <w:spacing w:after="0" w:before="0"/>
            </w:pPr>
            <w:r>
              <w:rPr>
                <w:rFonts w:ascii="Calibri" w:cs="Calibri" w:eastAsia="Calibri" w:hAnsi="Calibri"/>
                <w:b/>
                <w:bCs/>
                <w:color w:val="44A8D9"/>
                <w:sz w:val="30"/>
                <w:szCs w:val="30"/>
              </w:rPr>
              <w:t xml:space="preserve">$492M → $1B+</w:t>
            </w:r>
          </w:p>
        </w:tc>
        <w:tc>
          <w:tcPr>
            <w:tcW w:type="dxa" w:w="8380"/>
            <w:tcBorders>
              <w:top w:val="none"/>
              <w:left w:val="none"/>
              <w:bottom w:val="none"/>
              <w:right w:val="none"/>
            </w:tcBorders>
            <w:tcMar>
              <w:top w:type="dxa" w:w="40"/>
              <w:left w:type="dxa" w:w="0"/>
              <w:bottom w:type="dxa" w:w="40"/>
              <w:right w:type="dxa" w:w="0"/>
            </w:tcMar>
          </w:tcPr>
          <w:p>
            <w:pPr>
              <w:spacing w:after="0" w:before="0" w:line="250"/>
            </w:pPr>
            <w:r>
              <w:rPr>
                <w:rFonts w:ascii="Calibri" w:cs="Calibri" w:eastAsia="Calibri" w:hAnsi="Calibri"/>
                <w:color w:val="3D4A5A"/>
                <w:sz w:val="18"/>
                <w:szCs w:val="18"/>
              </w:rPr>
              <w:t xml:space="preserve">AI governance platform spending, 2026 to 2030. Large enterprises will run an average of ten GRC tools by 2028. Organizations with AI governance platforms are 3.4x more likely to be effective.</w:t>
            </w:r>
          </w:p>
        </w:tc>
      </w:tr>
    </w:tbl>
    <w:p>
      <w:pPr>
        <w:spacing w:after="160" w:before="0" w:line="276"/>
      </w:pPr>
      <w:r>
        <w:rPr>
          <w:rFonts w:ascii="Calibri" w:cs="Calibri" w:eastAsia="Calibri" w:hAnsi="Calibri"/>
          <w:b/>
          <w:bCs/>
          <w:color w:val="6B7A8C"/>
          <w:sz w:val="16"/>
          <w:szCs w:val="16"/>
        </w:rPr>
        <w:t xml:space="preserve">Source: </w:t>
      </w:r>
      <w:r>
        <w:rPr>
          <w:rFonts w:ascii="Calibri" w:cs="Calibri" w:eastAsia="Calibri" w:hAnsi="Calibri"/>
          <w:color w:val="6B7A8C"/>
          <w:sz w:val="16"/>
          <w:szCs w:val="16"/>
        </w:rPr>
        <w:t xml:space="preserve">Gartner · 17 February 2026</w:t>
      </w:r>
    </w:p>
    <w:tbl>
      <w:tblPr>
        <w:tblW w:type="dxa" w:w="10080"/>
        <w:tblBorders>
          <w:top w:val="none"/>
          <w:left w:val="single" w:color="A4462F" w:sz="18"/>
          <w:bottom w:val="none"/>
          <w:right w:val="none"/>
          <w:insideH w:val="none"/>
          <w:insideV w:val="none"/>
        </w:tblBorders>
      </w:tblPr>
      <w:tblGrid>
        <w:gridCol w:w="10080"/>
      </w:tblGrid>
      <w:tr>
        <w:trPr>
          <w:cantSplit/>
        </w:trPr>
        <w:tc>
          <w:tcPr>
            <w:tcW w:type="dxa" w:w="10080"/>
            <w:tcBorders>
              <w:top w:val="none"/>
              <w:left w:val="none"/>
              <w:bottom w:val="none"/>
              <w:right w:val="none"/>
            </w:tcBorders>
            <w:shd w:fill="FBEEEA" w:color="auto" w:val="clear"/>
            <w:tcMar>
              <w:top w:type="dxa" w:w="130"/>
              <w:left w:type="dxa" w:w="180"/>
              <w:bottom w:type="dxa" w:w="130"/>
              <w:right w:type="dxa" w:w="160"/>
            </w:tcMar>
          </w:tcPr>
          <w:p>
            <w:pPr>
              <w:keepNext/>
              <w:spacing w:after="60" w:before="0" w:line="260"/>
            </w:pPr>
            <w:r>
              <w:rPr>
                <w:rFonts w:ascii="Calibri" w:cs="Calibri" w:eastAsia="Calibri" w:hAnsi="Calibri"/>
                <w:b/>
                <w:bCs/>
                <w:color w:val="A4462F"/>
                <w:sz w:val="19"/>
                <w:szCs w:val="19"/>
              </w:rPr>
              <w:t xml:space="preserve">Deliberately not used</w:t>
            </w:r>
          </w:p>
          <w:p>
            <w:pPr>
              <w:spacing w:after="40" w:before="0" w:line="265"/>
            </w:pPr>
            <w:r>
              <w:rPr>
                <w:rFonts w:ascii="Calibri" w:cs="Calibri" w:eastAsia="Calibri" w:hAnsi="Calibri"/>
                <w:color w:val="3D4A5A"/>
                <w:sz w:val="19"/>
                <w:szCs w:val="19"/>
              </w:rPr>
              <w:t xml:space="preserve">Four frequently repeated figures were checked and excluded because no credible primary source supports them: a dollar size for the vCISO market (only SEO aggregators publish one), the number of SOC 2 reports issued annually, current TOGAF and COBIT adoption rates (the newest ITIL adoption survey found is from 2020: 20% adopting ITIL 4, 34% with no plans), and “40% of cyber insurance claims denied.”</w:t>
            </w:r>
          </w:p>
          <w:p>
            <w:pPr>
              <w:spacing w:after="40" w:before="0" w:line="265"/>
            </w:pPr>
            <w:r>
              <w:rPr>
                <w:rFonts w:ascii="Calibri" w:cs="Calibri" w:eastAsia="Calibri" w:hAnsi="Calibri"/>
                <w:color w:val="3D4A5A"/>
                <w:sz w:val="19"/>
                <w:szCs w:val="19"/>
              </w:rPr>
              <w:t xml:space="preserve">ISO 27001’s apparent doubling to 96,709 certificates in the 2024 ISO Survey is a reporting-method change. Cite the level, never the growth.</w:t>
            </w:r>
          </w:p>
        </w:tc>
      </w:tr>
    </w:tbl>
    <w:p>
      <w:pPr>
        <w:pStyle w:val="Heading2"/>
        <w:keepNext/>
        <w:spacing w:after="40" w:before="340"/>
      </w:pPr>
      <w:r>
        <w:rPr>
          <w:rFonts w:ascii="Calibri" w:cs="Calibri" w:eastAsia="Calibri" w:hAnsi="Calibri"/>
          <w:b/>
          <w:bCs/>
          <w:color w:val="2F86B3"/>
          <w:sz w:val="28"/>
          <w:szCs w:val="28"/>
        </w:rPr>
        <w:t xml:space="preserve">4. What people are saying, with receipts</w:t>
      </w:r>
    </w:p>
    <w:p>
      <w:pPr>
        <w:keepNext/>
        <w:spacing w:after="140" w:before="0" w:line="276"/>
      </w:pPr>
      <w:r>
        <w:rPr>
          <w:rFonts w:ascii="Calibri" w:cs="Calibri" w:eastAsia="Calibri" w:hAnsi="Calibri"/>
          <w:i/>
          <w:iCs/>
          <w:color w:val="6B7A8C"/>
          <w:sz w:val="19"/>
          <w:szCs w:val="19"/>
        </w:rPr>
        <w:t xml:space="preserve">Social listening captured 2 September 2026. Every exhibit is a real post, opened and read in a logged-in browser unless marked otherwise.</w:t>
      </w:r>
    </w:p>
    <w:p>
      <w:pPr>
        <w:spacing w:after="120" w:before="0" w:line="276"/>
      </w:pPr>
      <w:r>
        <w:rPr>
          <w:rFonts w:ascii="Calibri" w:cs="Calibri" w:eastAsia="Calibri" w:hAnsi="Calibri"/>
          <w:color w:val="3D4A5A"/>
          <w:sz w:val="20"/>
          <w:szCs w:val="20"/>
        </w:rPr>
        <w:t xml:space="preserve">Engagement is shown as reactions · comments · reposts on LinkedIn, views · likes on X and YouTube, and points · comments on Hacker News. Items marked as search snippets were not opened and should be confirmed before quoting externally.</w:t>
      </w:r>
    </w:p>
    <w:p>
      <w:pPr>
        <w:pStyle w:val="Heading3"/>
        <w:keepNext/>
        <w:spacing w:after="80" w:before="240"/>
      </w:pPr>
      <w:r>
        <w:rPr>
          <w:rFonts w:ascii="Calibri" w:cs="Calibri" w:eastAsia="Calibri" w:hAnsi="Calibri"/>
          <w:b/>
          <w:bCs/>
          <w:color w:val="14202E"/>
          <w:sz w:val="22"/>
          <w:szCs w:val="22"/>
        </w:rPr>
        <w:t xml:space="preserve">4.1  LinkedIn — where the buyers and the sellers argue</w:t>
      </w:r>
    </w:p>
    <w:p>
      <w:pPr>
        <w:spacing w:after="120" w:before="0" w:line="276"/>
      </w:pPr>
      <w:r>
        <w:rPr>
          <w:rFonts w:ascii="Calibri" w:cs="Calibri" w:eastAsia="Calibri" w:hAnsi="Calibri"/>
          <w:color w:val="3D4A5A"/>
          <w:sz w:val="20"/>
          <w:szCs w:val="20"/>
        </w:rPr>
        <w:t xml:space="preserve">This is the platform that matters for 3HUE’s audience. The pattern in the numbers is consistent: one-sentence heretical openers and posts written in the objection’s own voice get engagement; corporate “compliance is a strategic asset” posts get none.</w:t>
      </w:r>
    </w:p>
    <w:tbl>
      <w:tblPr>
        <w:tblW w:type="dxa" w:w="10080"/>
        <w:tblBorders>
          <w:top w:val="none"/>
          <w:left w:val="single" w:color="D3DCE6" w:sz="12"/>
          <w:bottom w:val="none"/>
          <w:right w:val="none"/>
          <w:insideH w:val="none"/>
          <w:insideV w:val="none"/>
        </w:tblBorders>
      </w:tblPr>
      <w:tblGrid>
        <w:gridCol w:w="10080"/>
      </w:tblGrid>
      <w:tr>
        <w:trPr>
          <w:cantSplit/>
        </w:trPr>
        <w:tc>
          <w:tcPr>
            <w:tcW w:type="dxa" w:w="10080"/>
            <w:tcBorders>
              <w:top w:val="none"/>
              <w:left w:val="none"/>
              <w:bottom w:val="none"/>
              <w:right w:val="none"/>
            </w:tcBorders>
            <w:tcMar>
              <w:top w:type="dxa" w:w="100"/>
              <w:left w:type="dxa" w:w="180"/>
              <w:bottom w:type="dxa" w:w="100"/>
              <w:right w:type="dxa" w:w="120"/>
            </w:tcMar>
          </w:tcPr>
          <w:p>
            <w:pPr>
              <w:keepNext/>
              <w:spacing w:after="50" w:before="0"/>
            </w:pPr>
            <w:r>
              <w:rPr>
                <w:rFonts w:ascii="Calibri" w:cs="Calibri" w:eastAsia="Calibri" w:hAnsi="Calibri"/>
                <w:b/>
                <w:bCs/>
                <w:color w:val="14202E"/>
                <w:sz w:val="19"/>
                <w:szCs w:val="19"/>
              </w:rPr>
              <w:t xml:space="preserve">Maya Kaczorowski</w:t>
            </w:r>
            <w:r>
              <w:rPr>
                <w:rFonts w:ascii="Calibri" w:cs="Calibri" w:eastAsia="Calibri" w:hAnsi="Calibri"/>
                <w:color w:val="6B7A8C"/>
                <w:sz w:val="16"/>
                <w:szCs w:val="16"/>
              </w:rPr>
              <w:t xml:space="preserve">  Co-founder &amp; CEO, Oblique; ex-GitHub, ex-Google security · March 2025</w:t>
            </w:r>
          </w:p>
          <w:p>
            <w:pPr>
              <w:spacing w:after="60" w:before="0" w:line="265"/>
            </w:pPr>
            <w:r>
              <w:rPr>
                <w:rFonts w:ascii="Calibri" w:cs="Calibri" w:eastAsia="Calibri" w:hAnsi="Calibri"/>
                <w:i/>
                <w:iCs/>
                <w:color w:val="3D4A5A"/>
                <w:sz w:val="19"/>
                <w:szCs w:val="19"/>
              </w:rPr>
              <w:t xml:space="preserve">“SOC 2 has devolved from a meaningful security framework into an expensive checkbox exercise that mostly serves auditors, not security.”</w:t>
            </w:r>
          </w:p>
          <w:p>
            <w:pPr>
              <w:spacing w:after="60" w:before="0" w:line="265"/>
            </w:pPr>
            <w:r>
              <w:rPr>
                <w:rFonts w:ascii="Calibri" w:cs="Calibri" w:eastAsia="Calibri" w:hAnsi="Calibri"/>
                <w:i/>
                <w:iCs/>
                <w:color w:val="3D4A5A"/>
                <w:sz w:val="19"/>
                <w:szCs w:val="19"/>
              </w:rPr>
              <w:t xml:space="preserve">“Most of your customers requesting your SOC 2 report probably don’t even read it. They check that you have one, mark their vendor security assessment complete, and move on.”</w:t>
            </w:r>
          </w:p>
          <w:p>
            <w:pPr>
              <w:spacing w:after="0" w:before="20"/>
            </w:pPr>
            <w:r>
              <w:rPr>
                <w:rFonts w:ascii="Calibri" w:cs="Calibri" w:eastAsia="Calibri" w:hAnsi="Calibri"/>
                <w:color w:val="6B7A8C"/>
                <w:sz w:val="16"/>
                <w:szCs w:val="16"/>
              </w:rPr>
              <w:t xml:space="preserve">164 reactions · 31 comments · 11 reposts. Top comment: “Getting SOC2 is like learning martial arts in school… you won’t be able to fight on the streets because real fights don’t follow any checklists.”</w:t>
            </w:r>
          </w:p>
        </w:tc>
      </w:tr>
    </w:tbl>
    <w:p>
      <w:pPr>
        <w:spacing w:after="180" w:before="0" w:line="276"/>
      </w:pPr>
      <w:r>
        <w:rPr>
          <w:rFonts w:ascii="Calibri" w:cs="Calibri" w:eastAsia="Calibri" w:hAnsi="Calibri"/>
          <w:color w:val="3D4A5A"/>
          <w:sz w:val="8"/>
          <w:szCs w:val="8"/>
        </w:rPr>
        <w:t xml:space="preserve"/>
      </w:r>
    </w:p>
    <w:tbl>
      <w:tblPr>
        <w:tblW w:type="dxa" w:w="10080"/>
        <w:tblBorders>
          <w:top w:val="none"/>
          <w:left w:val="single" w:color="D3DCE6" w:sz="12"/>
          <w:bottom w:val="none"/>
          <w:right w:val="none"/>
          <w:insideH w:val="none"/>
          <w:insideV w:val="none"/>
        </w:tblBorders>
      </w:tblPr>
      <w:tblGrid>
        <w:gridCol w:w="10080"/>
      </w:tblGrid>
      <w:tr>
        <w:trPr>
          <w:cantSplit/>
        </w:trPr>
        <w:tc>
          <w:tcPr>
            <w:tcW w:type="dxa" w:w="10080"/>
            <w:tcBorders>
              <w:top w:val="none"/>
              <w:left w:val="none"/>
              <w:bottom w:val="none"/>
              <w:right w:val="none"/>
            </w:tcBorders>
            <w:tcMar>
              <w:top w:type="dxa" w:w="100"/>
              <w:left w:type="dxa" w:w="180"/>
              <w:bottom w:type="dxa" w:w="100"/>
              <w:right w:type="dxa" w:w="120"/>
            </w:tcMar>
          </w:tcPr>
          <w:p>
            <w:pPr>
              <w:keepNext/>
              <w:spacing w:after="50" w:before="0"/>
            </w:pPr>
            <w:r>
              <w:rPr>
                <w:rFonts w:ascii="Calibri" w:cs="Calibri" w:eastAsia="Calibri" w:hAnsi="Calibri"/>
                <w:b/>
                <w:bCs/>
                <w:color w:val="14202E"/>
                <w:sz w:val="19"/>
                <w:szCs w:val="19"/>
              </w:rPr>
              <w:t xml:space="preserve">Harris D. Schwartz</w:t>
            </w:r>
            <w:r>
              <w:rPr>
                <w:rFonts w:ascii="Calibri" w:cs="Calibri" w:eastAsia="Calibri" w:hAnsi="Calibri"/>
                <w:color w:val="6B7A8C"/>
                <w:sz w:val="16"/>
                <w:szCs w:val="16"/>
              </w:rPr>
              <w:t xml:space="preserve">  CISO/CSO, fractional CISO, advisor to boards and CEOs · c. March 2026</w:t>
            </w:r>
          </w:p>
          <w:p>
            <w:pPr>
              <w:spacing w:after="60" w:before="0" w:line="265"/>
            </w:pPr>
            <w:r>
              <w:rPr>
                <w:rFonts w:ascii="Calibri" w:cs="Calibri" w:eastAsia="Calibri" w:hAnsi="Calibri"/>
                <w:i/>
                <w:iCs/>
                <w:color w:val="3D4A5A"/>
                <w:sz w:val="19"/>
                <w:szCs w:val="19"/>
              </w:rPr>
              <w:t xml:space="preserve">“You don’t need a full-time CISO. You need someone accountable. Here’s why most SMBs learn this too late.”</w:t>
            </w:r>
          </w:p>
          <w:p>
            <w:pPr>
              <w:spacing w:after="60" w:before="0" w:line="265"/>
            </w:pPr>
            <w:r>
              <w:rPr>
                <w:rFonts w:ascii="Calibri" w:cs="Calibri" w:eastAsia="Calibri" w:hAnsi="Calibri"/>
                <w:i/>
                <w:iCs/>
                <w:color w:val="3D4A5A"/>
                <w:sz w:val="19"/>
                <w:szCs w:val="19"/>
              </w:rPr>
              <w:t xml:space="preserve">“Security is “handled by IT.” Alongside 20 other jobs. Vendor questionnaires create panic. Customer security reviews get delayed. When an incident hits? No clear leader.”</w:t>
            </w:r>
          </w:p>
          <w:p>
            <w:pPr>
              <w:spacing w:after="60" w:before="0" w:line="265"/>
            </w:pPr>
            <w:r>
              <w:rPr>
                <w:rFonts w:ascii="Calibri" w:cs="Calibri" w:eastAsia="Calibri" w:hAnsi="Calibri"/>
                <w:i/>
                <w:iCs/>
                <w:color w:val="3D4A5A"/>
                <w:sz w:val="19"/>
                <w:szCs w:val="19"/>
              </w:rPr>
              <w:t xml:space="preserve">“A CISO function is not about more security. It’s about better decisions. When risk has an owner, teams stop reacting and start prioritizing.”</w:t>
            </w:r>
          </w:p>
          <w:p>
            <w:pPr>
              <w:spacing w:after="0" w:before="20"/>
            </w:pPr>
            <w:r>
              <w:rPr>
                <w:rFonts w:ascii="Calibri" w:cs="Calibri" w:eastAsia="Calibri" w:hAnsi="Calibri"/>
                <w:color w:val="6B7A8C"/>
                <w:sz w:val="16"/>
                <w:szCs w:val="16"/>
              </w:rPr>
              <w:t xml:space="preserve">377 reactions · 52 comments · 56 reposts. The cleanest articulation of 3HUE’s managed-program pitch found anywhere — written by a competitor.</w:t>
            </w:r>
          </w:p>
        </w:tc>
      </w:tr>
    </w:tbl>
    <w:p>
      <w:pPr>
        <w:spacing w:after="180" w:before="0" w:line="276"/>
      </w:pPr>
      <w:r>
        <w:rPr>
          <w:rFonts w:ascii="Calibri" w:cs="Calibri" w:eastAsia="Calibri" w:hAnsi="Calibri"/>
          <w:color w:val="3D4A5A"/>
          <w:sz w:val="8"/>
          <w:szCs w:val="8"/>
        </w:rPr>
        <w:t xml:space="preserve"/>
      </w:r>
    </w:p>
    <w:tbl>
      <w:tblPr>
        <w:tblW w:type="dxa" w:w="10080"/>
        <w:tblBorders>
          <w:top w:val="none"/>
          <w:left w:val="single" w:color="D3DCE6" w:sz="12"/>
          <w:bottom w:val="none"/>
          <w:right w:val="none"/>
          <w:insideH w:val="none"/>
          <w:insideV w:val="none"/>
        </w:tblBorders>
      </w:tblPr>
      <w:tblGrid>
        <w:gridCol w:w="10080"/>
      </w:tblGrid>
      <w:tr>
        <w:trPr>
          <w:cantSplit/>
        </w:trPr>
        <w:tc>
          <w:tcPr>
            <w:tcW w:type="dxa" w:w="10080"/>
            <w:tcBorders>
              <w:top w:val="none"/>
              <w:left w:val="none"/>
              <w:bottom w:val="none"/>
              <w:right w:val="none"/>
            </w:tcBorders>
            <w:tcMar>
              <w:top w:type="dxa" w:w="100"/>
              <w:left w:type="dxa" w:w="180"/>
              <w:bottom w:type="dxa" w:w="100"/>
              <w:right w:type="dxa" w:w="120"/>
            </w:tcMar>
          </w:tcPr>
          <w:p>
            <w:pPr>
              <w:keepNext/>
              <w:spacing w:after="50" w:before="0"/>
            </w:pPr>
            <w:r>
              <w:rPr>
                <w:rFonts w:ascii="Calibri" w:cs="Calibri" w:eastAsia="Calibri" w:hAnsi="Calibri"/>
                <w:b/>
                <w:bCs/>
                <w:color w:val="14202E"/>
                <w:sz w:val="19"/>
                <w:szCs w:val="19"/>
              </w:rPr>
              <w:t xml:space="preserve">Rob Black</w:t>
            </w:r>
            <w:r>
              <w:rPr>
                <w:rFonts w:ascii="Calibri" w:cs="Calibri" w:eastAsia="Calibri" w:hAnsi="Calibri"/>
                <w:color w:val="6B7A8C"/>
                <w:sz w:val="16"/>
                <w:szCs w:val="16"/>
              </w:rPr>
              <w:t xml:space="preserve">  Fractional CISO to SaaS companies; the most consistent vCISO voice on the platform · 2023</w:t>
            </w:r>
          </w:p>
          <w:p>
            <w:pPr>
              <w:spacing w:after="60" w:before="0" w:line="265"/>
            </w:pPr>
            <w:r>
              <w:rPr>
                <w:rFonts w:ascii="Calibri" w:cs="Calibri" w:eastAsia="Calibri" w:hAnsi="Calibri"/>
                <w:i/>
                <w:iCs/>
                <w:color w:val="3D4A5A"/>
                <w:sz w:val="19"/>
                <w:szCs w:val="19"/>
              </w:rPr>
              <w:t xml:space="preserve">“One of the terrible reasons to push the CISO’s reporting down is the inability to effectively communicate business risk to the CEO.”</w:t>
            </w:r>
          </w:p>
          <w:p>
            <w:pPr>
              <w:spacing w:after="60" w:before="0" w:line="265"/>
            </w:pPr>
            <w:r>
              <w:rPr>
                <w:rFonts w:ascii="Calibri" w:cs="Calibri" w:eastAsia="Calibri" w:hAnsi="Calibri"/>
                <w:i/>
                <w:iCs/>
                <w:color w:val="3D4A5A"/>
                <w:sz w:val="19"/>
                <w:szCs w:val="19"/>
              </w:rPr>
              <w:t xml:space="preserve">“The CEO does not deem cyber risk to be important. The CEO does not want to have to parse cyberspeak.”</w:t>
            </w:r>
          </w:p>
          <w:p>
            <w:pPr>
              <w:spacing w:after="0" w:before="20"/>
            </w:pPr>
            <w:r>
              <w:rPr>
                <w:rFonts w:ascii="Calibri" w:cs="Calibri" w:eastAsia="Calibri" w:hAnsi="Calibri"/>
                <w:color w:val="6B7A8C"/>
                <w:sz w:val="16"/>
                <w:szCs w:val="16"/>
              </w:rPr>
              <w:t xml:space="preserve">3,422 reactions · 377 comments · 365 reposts. The highest-engagement post in the entire dataset is not about a framework — it is about the executive translation gap. Rob Black owns the #fCISO hashtag through volume, not one viral post, which is a replicable strategy.</w:t>
            </w:r>
          </w:p>
        </w:tc>
      </w:tr>
    </w:tbl>
    <w:p>
      <w:pPr>
        <w:spacing w:after="180" w:before="0" w:line="276"/>
      </w:pPr>
      <w:r>
        <w:rPr>
          <w:rFonts w:ascii="Calibri" w:cs="Calibri" w:eastAsia="Calibri" w:hAnsi="Calibri"/>
          <w:color w:val="3D4A5A"/>
          <w:sz w:val="8"/>
          <w:szCs w:val="8"/>
        </w:rPr>
        <w:t xml:space="preserve"/>
      </w:r>
    </w:p>
    <w:tbl>
      <w:tblPr>
        <w:tblW w:type="dxa" w:w="10080"/>
        <w:tblBorders>
          <w:top w:val="none"/>
          <w:left w:val="single" w:color="D3DCE6" w:sz="12"/>
          <w:bottom w:val="none"/>
          <w:right w:val="none"/>
          <w:insideH w:val="none"/>
          <w:insideV w:val="none"/>
        </w:tblBorders>
      </w:tblPr>
      <w:tblGrid>
        <w:gridCol w:w="10080"/>
      </w:tblGrid>
      <w:tr>
        <w:trPr>
          <w:cantSplit/>
        </w:trPr>
        <w:tc>
          <w:tcPr>
            <w:tcW w:type="dxa" w:w="10080"/>
            <w:tcBorders>
              <w:top w:val="none"/>
              <w:left w:val="none"/>
              <w:bottom w:val="none"/>
              <w:right w:val="none"/>
            </w:tcBorders>
            <w:tcMar>
              <w:top w:type="dxa" w:w="100"/>
              <w:left w:type="dxa" w:w="180"/>
              <w:bottom w:type="dxa" w:w="100"/>
              <w:right w:type="dxa" w:w="120"/>
            </w:tcMar>
          </w:tcPr>
          <w:p>
            <w:pPr>
              <w:keepNext/>
              <w:spacing w:after="50" w:before="0"/>
            </w:pPr>
            <w:r>
              <w:rPr>
                <w:rFonts w:ascii="Calibri" w:cs="Calibri" w:eastAsia="Calibri" w:hAnsi="Calibri"/>
                <w:b/>
                <w:bCs/>
                <w:color w:val="14202E"/>
                <w:sz w:val="19"/>
                <w:szCs w:val="19"/>
              </w:rPr>
              <w:t xml:space="preserve">David Whitelegg</w:t>
            </w:r>
            <w:r>
              <w:rPr>
                <w:rFonts w:ascii="Calibri" w:cs="Calibri" w:eastAsia="Calibri" w:hAnsi="Calibri"/>
                <w:color w:val="6B7A8C"/>
                <w:sz w:val="16"/>
                <w:szCs w:val="16"/>
              </w:rPr>
              <w:t xml:space="preserve">  Deputy CISO, Global Compliance, Compass Group · 28 August 2026</w:t>
            </w:r>
          </w:p>
          <w:p>
            <w:pPr>
              <w:spacing w:after="60" w:before="0" w:line="265"/>
            </w:pPr>
            <w:r>
              <w:rPr>
                <w:rFonts w:ascii="Calibri" w:cs="Calibri" w:eastAsia="Calibri" w:hAnsi="Calibri"/>
                <w:i/>
                <w:iCs/>
                <w:color w:val="3D4A5A"/>
                <w:sz w:val="19"/>
                <w:szCs w:val="19"/>
              </w:rPr>
              <w:t xml:space="preserve">“AI governance has a control problem, not a policy problem.”</w:t>
            </w:r>
          </w:p>
          <w:p>
            <w:pPr>
              <w:spacing w:after="60" w:before="0" w:line="265"/>
            </w:pPr>
            <w:r>
              <w:rPr>
                <w:rFonts w:ascii="Calibri" w:cs="Calibri" w:eastAsia="Calibri" w:hAnsi="Calibri"/>
                <w:i/>
                <w:iCs/>
                <w:color w:val="3D4A5A"/>
                <w:sz w:val="19"/>
                <w:szCs w:val="19"/>
              </w:rPr>
              <w:t xml:space="preserve">““AI must be used responsibly” is not a control. A control is something you can test, monitor and prove is working.”</w:t>
            </w:r>
          </w:p>
          <w:p>
            <w:pPr>
              <w:spacing w:after="60" w:before="0" w:line="265"/>
            </w:pPr>
            <w:r>
              <w:rPr>
                <w:rFonts w:ascii="Calibri" w:cs="Calibri" w:eastAsia="Calibri" w:hAnsi="Calibri"/>
                <w:i/>
                <w:iCs/>
                <w:color w:val="3D4A5A"/>
                <w:sz w:val="19"/>
                <w:szCs w:val="19"/>
              </w:rPr>
              <w:t xml:space="preserve">“So when an agent can take action, I want four answers: What can it access? What can it change? Who approved that capability? What evidence shows it stayed inside those boundaries?”</w:t>
            </w:r>
          </w:p>
          <w:p>
            <w:pPr>
              <w:spacing w:after="0" w:before="20"/>
            </w:pPr>
            <w:r>
              <w:rPr>
                <w:rFonts w:ascii="Calibri" w:cs="Calibri" w:eastAsia="Calibri" w:hAnsi="Calibri"/>
                <w:color w:val="6B7A8C"/>
                <w:sz w:val="16"/>
                <w:szCs w:val="16"/>
              </w:rPr>
              <w:t xml:space="preserve">65 reactions · 46 comments. An enterprise decision maker describing AiVRIC’s evidence-capture positioning almost word for word. This is the AI-governance conversation 3HUE should be in.</w:t>
            </w:r>
          </w:p>
        </w:tc>
      </w:tr>
    </w:tbl>
    <w:p>
      <w:pPr>
        <w:spacing w:after="180" w:before="0" w:line="276"/>
      </w:pPr>
      <w:r>
        <w:rPr>
          <w:rFonts w:ascii="Calibri" w:cs="Calibri" w:eastAsia="Calibri" w:hAnsi="Calibri"/>
          <w:color w:val="3D4A5A"/>
          <w:sz w:val="8"/>
          <w:szCs w:val="8"/>
        </w:rPr>
        <w:t xml:space="preserve"/>
      </w:r>
    </w:p>
    <w:tbl>
      <w:tblPr>
        <w:tblW w:type="dxa" w:w="10080"/>
        <w:tblBorders>
          <w:top w:val="none"/>
          <w:left w:val="single" w:color="D3DCE6" w:sz="12"/>
          <w:bottom w:val="none"/>
          <w:right w:val="none"/>
          <w:insideH w:val="none"/>
          <w:insideV w:val="none"/>
        </w:tblBorders>
      </w:tblPr>
      <w:tblGrid>
        <w:gridCol w:w="10080"/>
      </w:tblGrid>
      <w:tr>
        <w:trPr>
          <w:cantSplit/>
        </w:trPr>
        <w:tc>
          <w:tcPr>
            <w:tcW w:type="dxa" w:w="10080"/>
            <w:tcBorders>
              <w:top w:val="none"/>
              <w:left w:val="none"/>
              <w:bottom w:val="none"/>
              <w:right w:val="none"/>
            </w:tcBorders>
            <w:tcMar>
              <w:top w:type="dxa" w:w="100"/>
              <w:left w:type="dxa" w:w="180"/>
              <w:bottom w:type="dxa" w:w="100"/>
              <w:right w:type="dxa" w:w="120"/>
            </w:tcMar>
          </w:tcPr>
          <w:p>
            <w:pPr>
              <w:keepNext/>
              <w:spacing w:after="50" w:before="0"/>
            </w:pPr>
            <w:r>
              <w:rPr>
                <w:rFonts w:ascii="Calibri" w:cs="Calibri" w:eastAsia="Calibri" w:hAnsi="Calibri"/>
                <w:b/>
                <w:bCs/>
                <w:color w:val="14202E"/>
                <w:sz w:val="19"/>
                <w:szCs w:val="19"/>
              </w:rPr>
              <w:t xml:space="preserve">Carlota Sage</w:t>
            </w:r>
            <w:r>
              <w:rPr>
                <w:rFonts w:ascii="Calibri" w:cs="Calibri" w:eastAsia="Calibri" w:hAnsi="Calibri"/>
                <w:color w:val="6B7A8C"/>
                <w:sz w:val="16"/>
                <w:szCs w:val="16"/>
              </w:rPr>
              <w:t xml:space="preserve">  “Your Community CISO,” vCISO to startups and SMBs · 2023</w:t>
            </w:r>
          </w:p>
          <w:p>
            <w:pPr>
              <w:spacing w:after="60" w:before="0" w:line="265"/>
            </w:pPr>
            <w:r>
              <w:rPr>
                <w:rFonts w:ascii="Calibri" w:cs="Calibri" w:eastAsia="Calibri" w:hAnsi="Calibri"/>
                <w:i/>
                <w:iCs/>
                <w:color w:val="3D4A5A"/>
                <w:sz w:val="19"/>
                <w:szCs w:val="19"/>
              </w:rPr>
              <w:t xml:space="preserve">“I had a very talented CISO call vCISO work “bullshit” last night… So many CISOs have come up through the enterprise ranks, they just don’t care about the SMB space. And this is exactly why vCISOs exist.”</w:t>
            </w:r>
          </w:p>
          <w:p>
            <w:pPr>
              <w:spacing w:after="60" w:before="0" w:line="265"/>
            </w:pPr>
            <w:r>
              <w:rPr>
                <w:rFonts w:ascii="Calibri" w:cs="Calibri" w:eastAsia="Calibri" w:hAnsi="Calibri"/>
                <w:i/>
                <w:iCs/>
                <w:color w:val="3D4A5A"/>
                <w:sz w:val="19"/>
                <w:szCs w:val="19"/>
              </w:rPr>
              <w:t xml:space="preserve">“Helping out the SMB folks that the enterprise CISOs can’t be bothered with because those little guys don’t come with $250-$350k starting compensation.”</w:t>
            </w:r>
          </w:p>
          <w:p>
            <w:pPr>
              <w:spacing w:after="0" w:before="20"/>
            </w:pPr>
            <w:r>
              <w:rPr>
                <w:rFonts w:ascii="Calibri" w:cs="Calibri" w:eastAsia="Calibri" w:hAnsi="Calibri"/>
                <w:color w:val="6B7A8C"/>
                <w:sz w:val="16"/>
                <w:szCs w:val="16"/>
              </w:rPr>
              <w:t xml:space="preserve">202 reactions · 44 comments · 8 reposts. A commenter’s reply is the objection in one line: “The SMB market is considered consumer to the Enterprise space.” The unserved middle is the market.</w:t>
            </w:r>
          </w:p>
        </w:tc>
      </w:tr>
    </w:tbl>
    <w:p>
      <w:pPr>
        <w:spacing w:after="180" w:before="0" w:line="276"/>
      </w:pPr>
      <w:r>
        <w:rPr>
          <w:rFonts w:ascii="Calibri" w:cs="Calibri" w:eastAsia="Calibri" w:hAnsi="Calibri"/>
          <w:color w:val="3D4A5A"/>
          <w:sz w:val="8"/>
          <w:szCs w:val="8"/>
        </w:rPr>
        <w:t xml:space="preserve"/>
      </w:r>
    </w:p>
    <w:tbl>
      <w:tblPr>
        <w:tblW w:type="dxa" w:w="10080"/>
        <w:tblBorders>
          <w:top w:val="none"/>
          <w:left w:val="single" w:color="D3DCE6" w:sz="12"/>
          <w:bottom w:val="none"/>
          <w:right w:val="none"/>
          <w:insideH w:val="none"/>
          <w:insideV w:val="none"/>
        </w:tblBorders>
      </w:tblPr>
      <w:tblGrid>
        <w:gridCol w:w="10080"/>
      </w:tblGrid>
      <w:tr>
        <w:trPr>
          <w:cantSplit/>
        </w:trPr>
        <w:tc>
          <w:tcPr>
            <w:tcW w:type="dxa" w:w="10080"/>
            <w:tcBorders>
              <w:top w:val="none"/>
              <w:left w:val="none"/>
              <w:bottom w:val="none"/>
              <w:right w:val="none"/>
            </w:tcBorders>
            <w:tcMar>
              <w:top w:type="dxa" w:w="100"/>
              <w:left w:type="dxa" w:w="180"/>
              <w:bottom w:type="dxa" w:w="100"/>
              <w:right w:type="dxa" w:w="120"/>
            </w:tcMar>
          </w:tcPr>
          <w:p>
            <w:pPr>
              <w:keepNext/>
              <w:spacing w:after="50" w:before="0"/>
            </w:pPr>
            <w:r>
              <w:rPr>
                <w:rFonts w:ascii="Calibri" w:cs="Calibri" w:eastAsia="Calibri" w:hAnsi="Calibri"/>
                <w:b/>
                <w:bCs/>
                <w:color w:val="14202E"/>
                <w:sz w:val="19"/>
                <w:szCs w:val="19"/>
              </w:rPr>
              <w:t xml:space="preserve">Sierra Miramontez</w:t>
            </w:r>
            <w:r>
              <w:rPr>
                <w:rFonts w:ascii="Calibri" w:cs="Calibri" w:eastAsia="Calibri" w:hAnsi="Calibri"/>
                <w:color w:val="6B7A8C"/>
                <w:sz w:val="16"/>
                <w:szCs w:val="16"/>
              </w:rPr>
              <w:t xml:space="preserve">  Managing Principal, Monte Vista Oversight Group · c. May 2026</w:t>
            </w:r>
          </w:p>
          <w:p>
            <w:pPr>
              <w:spacing w:after="60" w:before="0" w:line="265"/>
            </w:pPr>
            <w:r>
              <w:rPr>
                <w:rFonts w:ascii="Calibri" w:cs="Calibri" w:eastAsia="Calibri" w:hAnsi="Calibri"/>
                <w:i/>
                <w:iCs/>
                <w:color w:val="3D4A5A"/>
                <w:sz w:val="19"/>
                <w:szCs w:val="19"/>
              </w:rPr>
              <w:t xml:space="preserve">“A director of sales at a growth-stage SaaS company lost the biggest deal of his year on a single sentence. “Call us back when you have a SOC 2 in hand to provide.””</w:t>
            </w:r>
          </w:p>
          <w:p>
            <w:pPr>
              <w:spacing w:after="60" w:before="0" w:line="265"/>
            </w:pPr>
            <w:r>
              <w:rPr>
                <w:rFonts w:ascii="Calibri" w:cs="Calibri" w:eastAsia="Calibri" w:hAnsi="Calibri"/>
                <w:i/>
                <w:iCs/>
                <w:color w:val="3D4A5A"/>
                <w:sz w:val="19"/>
                <w:szCs w:val="19"/>
              </w:rPr>
              <w:t xml:space="preserve">““Building toward” is not a thing you can hand to a procurement officer. Procurement was polite and unmovable. The competitor that won wasn’t better. They were provable.”</w:t>
            </w:r>
          </w:p>
          <w:p>
            <w:pPr>
              <w:spacing w:after="0" w:before="20"/>
            </w:pPr>
            <w:r>
              <w:rPr>
                <w:rFonts w:ascii="Calibri" w:cs="Calibri" w:eastAsia="Calibri" w:hAnsi="Calibri"/>
                <w:color w:val="6B7A8C"/>
                <w:sz w:val="16"/>
                <w:szCs w:val="16"/>
              </w:rPr>
              <w:t xml:space="preserve">“Provable” is the word. It is what an operated program with continuous evidence sells, and what a certificate alone does not.</w:t>
            </w:r>
          </w:p>
        </w:tc>
      </w:tr>
    </w:tbl>
    <w:p>
      <w:pPr>
        <w:spacing w:after="180" w:before="0" w:line="276"/>
      </w:pPr>
      <w:r>
        <w:rPr>
          <w:rFonts w:ascii="Calibri" w:cs="Calibri" w:eastAsia="Calibri" w:hAnsi="Calibri"/>
          <w:color w:val="3D4A5A"/>
          <w:sz w:val="8"/>
          <w:szCs w:val="8"/>
        </w:rPr>
        <w:t xml:space="preserve"/>
      </w:r>
    </w:p>
    <w:tbl>
      <w:tblPr>
        <w:tblW w:type="dxa" w:w="10080"/>
        <w:tblBorders>
          <w:top w:val="none"/>
          <w:left w:val="single" w:color="D3DCE6" w:sz="12"/>
          <w:bottom w:val="none"/>
          <w:right w:val="none"/>
          <w:insideH w:val="none"/>
          <w:insideV w:val="none"/>
        </w:tblBorders>
      </w:tblPr>
      <w:tblGrid>
        <w:gridCol w:w="10080"/>
      </w:tblGrid>
      <w:tr>
        <w:trPr>
          <w:cantSplit/>
        </w:trPr>
        <w:tc>
          <w:tcPr>
            <w:tcW w:type="dxa" w:w="10080"/>
            <w:tcBorders>
              <w:top w:val="none"/>
              <w:left w:val="none"/>
              <w:bottom w:val="none"/>
              <w:right w:val="none"/>
            </w:tcBorders>
            <w:tcMar>
              <w:top w:type="dxa" w:w="100"/>
              <w:left w:type="dxa" w:w="180"/>
              <w:bottom w:type="dxa" w:w="100"/>
              <w:right w:type="dxa" w:w="120"/>
            </w:tcMar>
          </w:tcPr>
          <w:p>
            <w:pPr>
              <w:keepNext/>
              <w:spacing w:after="50" w:before="0"/>
            </w:pPr>
            <w:r>
              <w:rPr>
                <w:rFonts w:ascii="Calibri" w:cs="Calibri" w:eastAsia="Calibri" w:hAnsi="Calibri"/>
                <w:b/>
                <w:bCs/>
                <w:color w:val="14202E"/>
                <w:sz w:val="19"/>
                <w:szCs w:val="19"/>
              </w:rPr>
              <w:t xml:space="preserve">Bryce W.</w:t>
            </w:r>
            <w:r>
              <w:rPr>
                <w:rFonts w:ascii="Calibri" w:cs="Calibri" w:eastAsia="Calibri" w:hAnsi="Calibri"/>
                <w:color w:val="6B7A8C"/>
                <w:sz w:val="16"/>
                <w:szCs w:val="16"/>
              </w:rPr>
              <w:t xml:space="preserve">  IT &amp; cybersecurity specialist for smaller banks, credit unions, PE firms and family offices · August 2026</w:t>
            </w:r>
          </w:p>
          <w:p>
            <w:pPr>
              <w:spacing w:after="60" w:before="0" w:line="265"/>
            </w:pPr>
            <w:r>
              <w:rPr>
                <w:rFonts w:ascii="Calibri" w:cs="Calibri" w:eastAsia="Calibri" w:hAnsi="Calibri"/>
                <w:i/>
                <w:iCs/>
                <w:color w:val="3D4A5A"/>
                <w:sz w:val="19"/>
                <w:szCs w:val="19"/>
              </w:rPr>
              <w:t xml:space="preserve">“A firm files a cyber insurance claim after a breach. The insurer sends someone to verify the controls that were attested to on the application. What they find does not match what was written down. The policy gets voided. Not because the firm lied.”</w:t>
            </w:r>
          </w:p>
          <w:p>
            <w:pPr>
              <w:spacing w:after="60" w:before="0" w:line="265"/>
            </w:pPr>
            <w:r>
              <w:rPr>
                <w:rFonts w:ascii="Calibri" w:cs="Calibri" w:eastAsia="Calibri" w:hAnsi="Calibri"/>
                <w:i/>
                <w:iCs/>
                <w:color w:val="3D4A5A"/>
                <w:sz w:val="19"/>
                <w:szCs w:val="19"/>
              </w:rPr>
              <w:t xml:space="preserve">“Because the person who filled out the application had a general sense of the firm’s security posture rather than a verified picture of it.”</w:t>
            </w:r>
          </w:p>
          <w:p>
            <w:pPr>
              <w:spacing w:after="0" w:before="20"/>
            </w:pPr>
            <w:r>
              <w:rPr>
                <w:rFonts w:ascii="Calibri" w:cs="Calibri" w:eastAsia="Calibri" w:hAnsi="Calibri"/>
                <w:color w:val="6B7A8C"/>
                <w:sz w:val="16"/>
                <w:szCs w:val="16"/>
              </w:rPr>
              <w:t xml:space="preserve">Low reach, high relevance: a direct competitor working 3HUE’s own PE and family-office vertical with the attestation-versus-reality story.</w:t>
            </w:r>
          </w:p>
        </w:tc>
      </w:tr>
    </w:tbl>
    <w:p>
      <w:pPr>
        <w:spacing w:after="180" w:before="0" w:line="276"/>
      </w:pPr>
      <w:r>
        <w:rPr>
          <w:rFonts w:ascii="Calibri" w:cs="Calibri" w:eastAsia="Calibri" w:hAnsi="Calibri"/>
          <w:color w:val="3D4A5A"/>
          <w:sz w:val="8"/>
          <w:szCs w:val="8"/>
        </w:rPr>
        <w:t xml:space="preserve"/>
      </w:r>
    </w:p>
    <w:tbl>
      <w:tblPr>
        <w:tblW w:type="dxa" w:w="10080"/>
        <w:tblBorders>
          <w:top w:val="none"/>
          <w:left w:val="single" w:color="D3DCE6" w:sz="12"/>
          <w:bottom w:val="none"/>
          <w:right w:val="none"/>
          <w:insideH w:val="none"/>
          <w:insideV w:val="none"/>
        </w:tblBorders>
      </w:tblPr>
      <w:tblGrid>
        <w:gridCol w:w="10080"/>
      </w:tblGrid>
      <w:tr>
        <w:trPr>
          <w:cantSplit/>
        </w:trPr>
        <w:tc>
          <w:tcPr>
            <w:tcW w:type="dxa" w:w="10080"/>
            <w:tcBorders>
              <w:top w:val="none"/>
              <w:left w:val="none"/>
              <w:bottom w:val="none"/>
              <w:right w:val="none"/>
            </w:tcBorders>
            <w:tcMar>
              <w:top w:type="dxa" w:w="100"/>
              <w:left w:type="dxa" w:w="180"/>
              <w:bottom w:type="dxa" w:w="100"/>
              <w:right w:type="dxa" w:w="120"/>
            </w:tcMar>
          </w:tcPr>
          <w:p>
            <w:pPr>
              <w:keepNext/>
              <w:spacing w:after="50" w:before="0"/>
            </w:pPr>
            <w:r>
              <w:rPr>
                <w:rFonts w:ascii="Calibri" w:cs="Calibri" w:eastAsia="Calibri" w:hAnsi="Calibri"/>
                <w:b/>
                <w:bCs/>
                <w:color w:val="14202E"/>
                <w:sz w:val="19"/>
                <w:szCs w:val="19"/>
              </w:rPr>
              <w:t xml:space="preserve">Marcin Zawadzki</w:t>
            </w:r>
            <w:r>
              <w:rPr>
                <w:rFonts w:ascii="Calibri" w:cs="Calibri" w:eastAsia="Calibri" w:hAnsi="Calibri"/>
                <w:color w:val="6B7A8C"/>
                <w:sz w:val="16"/>
                <w:szCs w:val="16"/>
              </w:rPr>
              <w:t xml:space="preserve">  Founder, CloudSentinel.io (vCISO platform for EU SMEs) · c. May 2026</w:t>
            </w:r>
          </w:p>
          <w:p>
            <w:pPr>
              <w:spacing w:after="60" w:before="0" w:line="265"/>
            </w:pPr>
            <w:r>
              <w:rPr>
                <w:rFonts w:ascii="Calibri" w:cs="Calibri" w:eastAsia="Calibri" w:hAnsi="Calibri"/>
                <w:i/>
                <w:iCs/>
                <w:color w:val="3D4A5A"/>
                <w:sz w:val="19"/>
                <w:szCs w:val="19"/>
              </w:rPr>
              <w:t xml:space="preserve">“I kept hearing the same question: “NIS2 is coming. We don’t have a CISO. We can’t afford one. What do we do?” The honest answer? Today, there’s no good option.”</w:t>
            </w:r>
          </w:p>
          <w:p>
            <w:pPr>
              <w:spacing w:after="60" w:before="0" w:line="265"/>
            </w:pPr>
            <w:r>
              <w:rPr>
                <w:rFonts w:ascii="Calibri" w:cs="Calibri" w:eastAsia="Calibri" w:hAnsi="Calibri"/>
                <w:i/>
                <w:iCs/>
                <w:color w:val="3D4A5A"/>
                <w:sz w:val="19"/>
                <w:szCs w:val="19"/>
              </w:rPr>
              <w:t xml:space="preserve">“A full-time CISO: €180,000-€350,000/year. An MSP/consultant: €30,000-€140,000/year. US compliance platforms: €7,000-€50,000/year — and they’re not built for NIS2.”</w:t>
            </w:r>
          </w:p>
          <w:p>
            <w:pPr>
              <w:spacing w:after="0" w:before="20"/>
            </w:pPr>
            <w:r>
              <w:rPr>
                <w:rFonts w:ascii="Calibri" w:cs="Calibri" w:eastAsia="Calibri" w:hAnsi="Calibri"/>
                <w:color w:val="6B7A8C"/>
                <w:sz w:val="16"/>
                <w:szCs w:val="16"/>
              </w:rPr>
              <w:t xml:space="preserve">A buyer’s price ladder, stated publicly. Note where a founder-led managed program sits on it, and that nobody names that option.</w:t>
            </w:r>
          </w:p>
        </w:tc>
      </w:tr>
    </w:tbl>
    <w:p>
      <w:pPr>
        <w:spacing w:after="180" w:before="0" w:line="276"/>
      </w:pPr>
      <w:r>
        <w:rPr>
          <w:rFonts w:ascii="Calibri" w:cs="Calibri" w:eastAsia="Calibri" w:hAnsi="Calibri"/>
          <w:color w:val="3D4A5A"/>
          <w:sz w:val="8"/>
          <w:szCs w:val="8"/>
        </w:rPr>
        <w:t xml:space="preserve"/>
      </w:r>
    </w:p>
    <w:tbl>
      <w:tblPr>
        <w:tblW w:type="dxa" w:w="10080"/>
        <w:tblBorders>
          <w:top w:val="none"/>
          <w:left w:val="single" w:color="D3DCE6" w:sz="12"/>
          <w:bottom w:val="none"/>
          <w:right w:val="none"/>
          <w:insideH w:val="none"/>
          <w:insideV w:val="none"/>
        </w:tblBorders>
      </w:tblPr>
      <w:tblGrid>
        <w:gridCol w:w="10080"/>
      </w:tblGrid>
      <w:tr>
        <w:trPr>
          <w:cantSplit/>
        </w:trPr>
        <w:tc>
          <w:tcPr>
            <w:tcW w:type="dxa" w:w="10080"/>
            <w:tcBorders>
              <w:top w:val="none"/>
              <w:left w:val="none"/>
              <w:bottom w:val="none"/>
              <w:right w:val="none"/>
            </w:tcBorders>
            <w:tcMar>
              <w:top w:type="dxa" w:w="100"/>
              <w:left w:type="dxa" w:w="180"/>
              <w:bottom w:type="dxa" w:w="100"/>
              <w:right w:type="dxa" w:w="120"/>
            </w:tcMar>
          </w:tcPr>
          <w:p>
            <w:pPr>
              <w:keepNext/>
              <w:spacing w:after="50" w:before="0"/>
            </w:pPr>
            <w:r>
              <w:rPr>
                <w:rFonts w:ascii="Calibri" w:cs="Calibri" w:eastAsia="Calibri" w:hAnsi="Calibri"/>
                <w:b/>
                <w:bCs/>
                <w:color w:val="14202E"/>
                <w:sz w:val="19"/>
                <w:szCs w:val="19"/>
              </w:rPr>
              <w:t xml:space="preserve">J. Michael Daniel</w:t>
            </w:r>
            <w:r>
              <w:rPr>
                <w:rFonts w:ascii="Calibri" w:cs="Calibri" w:eastAsia="Calibri" w:hAnsi="Calibri"/>
                <w:color w:val="6B7A8C"/>
                <w:sz w:val="16"/>
                <w:szCs w:val="16"/>
              </w:rPr>
              <w:t xml:space="preserve">  President &amp; CEO, Cyber Threat Alliance; former White House cybersecurity coordinator · August 2026</w:t>
            </w:r>
          </w:p>
          <w:p>
            <w:pPr>
              <w:spacing w:after="60" w:before="0" w:line="265"/>
            </w:pPr>
            <w:r>
              <w:rPr>
                <w:rFonts w:ascii="Calibri" w:cs="Calibri" w:eastAsia="Calibri" w:hAnsi="Calibri"/>
                <w:i/>
                <w:iCs/>
                <w:color w:val="3D4A5A"/>
                <w:sz w:val="19"/>
                <w:szCs w:val="19"/>
              </w:rPr>
              <w:t xml:space="preserve">“Too small to target is another version of the old “security by obscurity” approach. While that idea was pretty dead before widespread generative and agentic AI tools, it is most assuredly dead now.”</w:t>
            </w:r>
          </w:p>
          <w:p>
            <w:pPr>
              <w:spacing w:after="0" w:before="20"/>
            </w:pPr>
            <w:r>
              <w:rPr>
                <w:rFonts w:ascii="Calibri" w:cs="Calibri" w:eastAsia="Calibri" w:hAnsi="Calibri"/>
                <w:color w:val="6B7A8C"/>
                <w:sz w:val="16"/>
                <w:szCs w:val="16"/>
              </w:rPr>
              <w:t xml:space="preserve">Resharing the Center for Long-Term Cybersecurity: “target-rich, resource-poor” is a phrase worth borrowing — it names the ICP’s condition without insulting them.</w:t>
            </w:r>
          </w:p>
        </w:tc>
      </w:tr>
    </w:tbl>
    <w:p>
      <w:pPr>
        <w:spacing w:after="180" w:before="0" w:line="276"/>
      </w:pPr>
      <w:r>
        <w:rPr>
          <w:rFonts w:ascii="Calibri" w:cs="Calibri" w:eastAsia="Calibri" w:hAnsi="Calibri"/>
          <w:color w:val="3D4A5A"/>
          <w:sz w:val="8"/>
          <w:szCs w:val="8"/>
        </w:rPr>
        <w:t xml:space="preserve"/>
      </w:r>
    </w:p>
    <w:p>
      <w:pPr>
        <w:spacing w:after="120" w:before="0" w:line="276"/>
      </w:pPr>
      <w:r>
        <w:rPr>
          <w:rFonts w:ascii="Calibri" w:cs="Calibri" w:eastAsia="Calibri" w:hAnsi="Calibri"/>
          <w:b/>
          <w:bCs/>
          <w:color w:val="14202E"/>
          <w:sz w:val="20"/>
          <w:szCs w:val="20"/>
        </w:rPr>
        <w:t xml:space="preserve">Also captured on LinkedIn: </w:t>
      </w:r>
      <w:r>
        <w:rPr>
          <w:rFonts w:ascii="Calibri" w:cs="Calibri" w:eastAsia="Calibri" w:hAnsi="Calibri"/>
          <w:color w:val="3D4A5A"/>
          <w:sz w:val="20"/>
          <w:szCs w:val="20"/>
        </w:rPr>
        <w:t xml:space="preserve">Gita Poudel — “Ten years ago, ‘we don’t have a CISO’ was a red flag investors and boards took seriously. Today, ‘we don’t have an AI governance framework’ is heading the same direction.” Shivani Sharma — “SOC 2 is a deal breaker… an enterprise deal got stuck and stalled because the vendor couldn’t furnish a SOC 2 Type II report.” Deepika Kanakamedala — “Founders are losing deals they don’t even know they lost. Getting charged $50K–$100K and told to wait 6–9 months.” Josh Duffy, in the customer’s objection voice — “But we pay for cyber insurance… why won’t they pay out?”</w:t>
      </w:r>
    </w:p>
    <w:p>
      <w:pPr>
        <w:pStyle w:val="Heading3"/>
        <w:keepNext/>
        <w:spacing w:after="80" w:before="240"/>
      </w:pPr>
      <w:r>
        <w:rPr>
          <w:rFonts w:ascii="Calibri" w:cs="Calibri" w:eastAsia="Calibri" w:hAnsi="Calibri"/>
          <w:b/>
          <w:bCs/>
          <w:color w:val="14202E"/>
          <w:sz w:val="22"/>
          <w:szCs w:val="22"/>
        </w:rPr>
        <w:t xml:space="preserve">4.2  X — reputation, news cycles and the sharpest skepticism</w:t>
      </w:r>
    </w:p>
    <w:p>
      <w:pPr>
        <w:spacing w:after="120" w:before="0" w:line="276"/>
      </w:pPr>
      <w:r>
        <w:rPr>
          <w:rFonts w:ascii="Calibri" w:cs="Calibri" w:eastAsia="Calibri" w:hAnsi="Calibri"/>
          <w:color w:val="3D4A5A"/>
          <w:sz w:val="20"/>
          <w:szCs w:val="20"/>
        </w:rPr>
        <w:t xml:space="preserve">X is not where mid-market buyers shop, but it is where the industry’s mood is set. In 2026 that mood was set by one story.</w:t>
      </w:r>
    </w:p>
    <w:tbl>
      <w:tblPr>
        <w:tblW w:type="dxa" w:w="10080"/>
        <w:tblBorders>
          <w:top w:val="none"/>
          <w:left w:val="single" w:color="D3DCE6" w:sz="12"/>
          <w:bottom w:val="none"/>
          <w:right w:val="none"/>
          <w:insideH w:val="none"/>
          <w:insideV w:val="none"/>
        </w:tblBorders>
      </w:tblPr>
      <w:tblGrid>
        <w:gridCol w:w="10080"/>
      </w:tblGrid>
      <w:tr>
        <w:trPr>
          <w:cantSplit/>
        </w:trPr>
        <w:tc>
          <w:tcPr>
            <w:tcW w:type="dxa" w:w="10080"/>
            <w:tcBorders>
              <w:top w:val="none"/>
              <w:left w:val="none"/>
              <w:bottom w:val="none"/>
              <w:right w:val="none"/>
            </w:tcBorders>
            <w:tcMar>
              <w:top w:type="dxa" w:w="100"/>
              <w:left w:type="dxa" w:w="180"/>
              <w:bottom w:type="dxa" w:w="100"/>
              <w:right w:type="dxa" w:w="120"/>
            </w:tcMar>
          </w:tcPr>
          <w:p>
            <w:pPr>
              <w:keepNext/>
              <w:spacing w:after="50" w:before="0"/>
            </w:pPr>
            <w:r>
              <w:rPr>
                <w:rFonts w:ascii="Calibri" w:cs="Calibri" w:eastAsia="Calibri" w:hAnsi="Calibri"/>
                <w:b/>
                <w:bCs/>
                <w:color w:val="14202E"/>
                <w:sz w:val="19"/>
                <w:szCs w:val="19"/>
              </w:rPr>
              <w:t xml:space="preserve">Ryan (@ohryansbelt)</w:t>
            </w:r>
            <w:r>
              <w:rPr>
                <w:rFonts w:ascii="Calibri" w:cs="Calibri" w:eastAsia="Calibri" w:hAnsi="Calibri"/>
                <w:color w:val="6B7A8C"/>
                <w:sz w:val="16"/>
                <w:szCs w:val="16"/>
              </w:rPr>
              <w:t xml:space="preserve">  quoting Erin Griffith, New York Times · 19 March 2026</w:t>
            </w:r>
          </w:p>
          <w:p>
            <w:pPr>
              <w:spacing w:after="60" w:before="0" w:line="265"/>
            </w:pPr>
            <w:r>
              <w:rPr>
                <w:rFonts w:ascii="Calibri" w:cs="Calibri" w:eastAsia="Calibri" w:hAnsi="Calibri"/>
                <w:i/>
                <w:iCs/>
                <w:color w:val="3D4A5A"/>
                <w:sz w:val="19"/>
                <w:szCs w:val="19"/>
              </w:rPr>
              <w:t xml:space="preserve">“Delve, a YC-backed compliance startup that raised $32 million, has been accused of systematically faking SOC 2, ISO 27001, HIPAA, and GDPR compliance reports for hundreds of clients.”</w:t>
            </w:r>
          </w:p>
          <w:p>
            <w:pPr>
              <w:spacing w:after="0" w:before="20"/>
            </w:pPr>
            <w:r>
              <w:rPr>
                <w:rFonts w:ascii="Calibri" w:cs="Calibri" w:eastAsia="Calibri" w:hAnsi="Calibri"/>
                <w:color w:val="6B7A8C"/>
                <w:sz w:val="16"/>
                <w:szCs w:val="16"/>
              </w:rPr>
              <w:t xml:space="preserve">5.6 million views · 8,000 likes · 1,300 reposts · 378 replies. The single most valuable narrative asset available to a firm that sells operated, evidence-backed programs: the market watched “fastest compliance on the planet” turn into 493 near-identical reports.</w:t>
            </w:r>
          </w:p>
        </w:tc>
      </w:tr>
    </w:tbl>
    <w:p>
      <w:pPr>
        <w:spacing w:after="180" w:before="0" w:line="276"/>
      </w:pPr>
      <w:r>
        <w:rPr>
          <w:rFonts w:ascii="Calibri" w:cs="Calibri" w:eastAsia="Calibri" w:hAnsi="Calibri"/>
          <w:color w:val="3D4A5A"/>
          <w:sz w:val="8"/>
          <w:szCs w:val="8"/>
        </w:rPr>
        <w:t xml:space="preserve"/>
      </w:r>
    </w:p>
    <w:tbl>
      <w:tblPr>
        <w:tblW w:type="dxa" w:w="10080"/>
        <w:tblBorders>
          <w:top w:val="none"/>
          <w:left w:val="single" w:color="D3DCE6" w:sz="12"/>
          <w:bottom w:val="none"/>
          <w:right w:val="none"/>
          <w:insideH w:val="none"/>
          <w:insideV w:val="none"/>
        </w:tblBorders>
      </w:tblPr>
      <w:tblGrid>
        <w:gridCol w:w="10080"/>
      </w:tblGrid>
      <w:tr>
        <w:trPr>
          <w:cantSplit/>
        </w:trPr>
        <w:tc>
          <w:tcPr>
            <w:tcW w:type="dxa" w:w="10080"/>
            <w:tcBorders>
              <w:top w:val="none"/>
              <w:left w:val="none"/>
              <w:bottom w:val="none"/>
              <w:right w:val="none"/>
            </w:tcBorders>
            <w:tcMar>
              <w:top w:type="dxa" w:w="100"/>
              <w:left w:type="dxa" w:w="180"/>
              <w:bottom w:type="dxa" w:w="100"/>
              <w:right w:type="dxa" w:w="120"/>
            </w:tcMar>
          </w:tcPr>
          <w:p>
            <w:pPr>
              <w:keepNext/>
              <w:spacing w:after="50" w:before="0"/>
            </w:pPr>
            <w:r>
              <w:rPr>
                <w:rFonts w:ascii="Calibri" w:cs="Calibri" w:eastAsia="Calibri" w:hAnsi="Calibri"/>
                <w:b/>
                <w:bCs/>
                <w:color w:val="14202E"/>
                <w:sz w:val="19"/>
                <w:szCs w:val="19"/>
              </w:rPr>
              <w:t xml:space="preserve">Peter Girnus (@gothburz)</w:t>
            </w:r>
            <w:r>
              <w:rPr>
                <w:rFonts w:ascii="Calibri" w:cs="Calibri" w:eastAsia="Calibri" w:hAnsi="Calibri"/>
                <w:color w:val="6B7A8C"/>
                <w:sz w:val="16"/>
                <w:szCs w:val="16"/>
              </w:rPr>
              <w:t xml:space="preserve">  Security researcher, satire · March 2026</w:t>
            </w:r>
          </w:p>
          <w:p>
            <w:pPr>
              <w:spacing w:after="60" w:before="0" w:line="265"/>
            </w:pPr>
            <w:r>
              <w:rPr>
                <w:rFonts w:ascii="Calibri" w:cs="Calibri" w:eastAsia="Calibri" w:hAnsi="Calibri"/>
                <w:i/>
                <w:iCs/>
                <w:color w:val="3D4A5A"/>
                <w:sz w:val="19"/>
                <w:szCs w:val="19"/>
              </w:rPr>
              <w:t xml:space="preserve">“I am the VP of Compliant Outcomes at Delve… We sell SOC 2 certifications. The industry standard takes 6 to 12 months. Ours take 5 days. Nobody asked how. Not our customers. Not our investors. Not the auditors. Nobody asked because nobody wanted the answer.”</w:t>
            </w:r>
          </w:p>
          <w:p>
            <w:pPr>
              <w:spacing w:after="0" w:before="20"/>
            </w:pPr>
            <w:r>
              <w:rPr>
                <w:rFonts w:ascii="Calibri" w:cs="Calibri" w:eastAsia="Calibri" w:hAnsi="Calibri"/>
                <w:color w:val="6B7A8C"/>
                <w:sz w:val="16"/>
                <w:szCs w:val="16"/>
              </w:rPr>
              <w:t xml:space="preserve">24,500 views · 164 likes. “Nobody asked how” is the most sellable line in this dossier. A firm whose founder delivers the work can answer “how” on every engagement.</w:t>
            </w:r>
          </w:p>
        </w:tc>
      </w:tr>
    </w:tbl>
    <w:p>
      <w:pPr>
        <w:spacing w:after="180" w:before="0" w:line="276"/>
      </w:pPr>
      <w:r>
        <w:rPr>
          <w:rFonts w:ascii="Calibri" w:cs="Calibri" w:eastAsia="Calibri" w:hAnsi="Calibri"/>
          <w:color w:val="3D4A5A"/>
          <w:sz w:val="8"/>
          <w:szCs w:val="8"/>
        </w:rPr>
        <w:t xml:space="preserve"/>
      </w:r>
    </w:p>
    <w:tbl>
      <w:tblPr>
        <w:tblW w:type="dxa" w:w="10080"/>
        <w:tblBorders>
          <w:top w:val="none"/>
          <w:left w:val="single" w:color="D3DCE6" w:sz="12"/>
          <w:bottom w:val="none"/>
          <w:right w:val="none"/>
          <w:insideH w:val="none"/>
          <w:insideV w:val="none"/>
        </w:tblBorders>
      </w:tblPr>
      <w:tblGrid>
        <w:gridCol w:w="10080"/>
      </w:tblGrid>
      <w:tr>
        <w:trPr>
          <w:cantSplit/>
        </w:trPr>
        <w:tc>
          <w:tcPr>
            <w:tcW w:type="dxa" w:w="10080"/>
            <w:tcBorders>
              <w:top w:val="none"/>
              <w:left w:val="none"/>
              <w:bottom w:val="none"/>
              <w:right w:val="none"/>
            </w:tcBorders>
            <w:tcMar>
              <w:top w:type="dxa" w:w="100"/>
              <w:left w:type="dxa" w:w="180"/>
              <w:bottom w:type="dxa" w:w="100"/>
              <w:right w:type="dxa" w:w="120"/>
            </w:tcMar>
          </w:tcPr>
          <w:p>
            <w:pPr>
              <w:keepNext/>
              <w:spacing w:after="50" w:before="0"/>
            </w:pPr>
            <w:r>
              <w:rPr>
                <w:rFonts w:ascii="Calibri" w:cs="Calibri" w:eastAsia="Calibri" w:hAnsi="Calibri"/>
                <w:b/>
                <w:bCs/>
                <w:color w:val="14202E"/>
                <w:sz w:val="19"/>
                <w:szCs w:val="19"/>
              </w:rPr>
              <w:t xml:space="preserve">@DoW_CIO</w:t>
            </w:r>
            <w:r>
              <w:rPr>
                <w:rFonts w:ascii="Calibri" w:cs="Calibri" w:eastAsia="Calibri" w:hAnsi="Calibri"/>
                <w:color w:val="6B7A8C"/>
                <w:sz w:val="16"/>
                <w:szCs w:val="16"/>
              </w:rPr>
              <w:t xml:space="preserve">  Office of the CIO, US Department of War (official) · 13 July 2026</w:t>
            </w:r>
          </w:p>
          <w:p>
            <w:pPr>
              <w:spacing w:after="60" w:before="0" w:line="265"/>
            </w:pPr>
            <w:r>
              <w:rPr>
                <w:rFonts w:ascii="Calibri" w:cs="Calibri" w:eastAsia="Calibri" w:hAnsi="Calibri"/>
                <w:i/>
                <w:iCs/>
                <w:color w:val="3D4A5A"/>
                <w:sz w:val="19"/>
                <w:szCs w:val="19"/>
              </w:rPr>
              <w:t xml:space="preserve">“The DoW is immediately suspending CMMC Phase II requirements to clear bureaucratic roadblocks for the DIB. We must scale warfighter readiness, not paperwork.”</w:t>
            </w:r>
          </w:p>
          <w:p>
            <w:pPr>
              <w:spacing w:after="60" w:before="0" w:line="265"/>
            </w:pPr>
            <w:r>
              <w:rPr>
                <w:rFonts w:ascii="Calibri" w:cs="Calibri" w:eastAsia="Calibri" w:hAnsi="Calibri"/>
                <w:i/>
                <w:iCs/>
                <w:color w:val="3D4A5A"/>
                <w:sz w:val="19"/>
                <w:szCs w:val="19"/>
              </w:rPr>
              <w:t xml:space="preserve">“Phase I self-assessments remain firmly in place. NIST SP 800-171 Rev 2 and DFARS 252.204-7012 compliance are still required. Focus is shifting to tangible cybersecurity and operational resilience, not red tape.”</w:t>
            </w:r>
          </w:p>
          <w:p>
            <w:pPr>
              <w:spacing w:after="0" w:before="20"/>
            </w:pPr>
            <w:r>
              <w:rPr>
                <w:rFonts w:ascii="Calibri" w:cs="Calibri" w:eastAsia="Calibri" w:hAnsi="Calibri"/>
                <w:color w:val="6B7A8C"/>
                <w:sz w:val="16"/>
                <w:szCs w:val="16"/>
              </w:rPr>
              <w:t xml:space="preserve">184,000 views · 963 likes · 193 reposts · 87 replies. A government CIO endorsing the anti-checkbox argument changes the DIB pitch from “get certified” to “be actually secure against 800-171, and be able to prove it.”</w:t>
            </w:r>
          </w:p>
        </w:tc>
      </w:tr>
    </w:tbl>
    <w:p>
      <w:pPr>
        <w:spacing w:after="180" w:before="0" w:line="276"/>
      </w:pPr>
      <w:r>
        <w:rPr>
          <w:rFonts w:ascii="Calibri" w:cs="Calibri" w:eastAsia="Calibri" w:hAnsi="Calibri"/>
          <w:color w:val="3D4A5A"/>
          <w:sz w:val="8"/>
          <w:szCs w:val="8"/>
        </w:rPr>
        <w:t xml:space="preserve"/>
      </w:r>
    </w:p>
    <w:tbl>
      <w:tblPr>
        <w:tblW w:type="dxa" w:w="10080"/>
        <w:tblBorders>
          <w:top w:val="none"/>
          <w:left w:val="single" w:color="D3DCE6" w:sz="12"/>
          <w:bottom w:val="none"/>
          <w:right w:val="none"/>
          <w:insideH w:val="none"/>
          <w:insideV w:val="none"/>
        </w:tblBorders>
      </w:tblPr>
      <w:tblGrid>
        <w:gridCol w:w="10080"/>
      </w:tblGrid>
      <w:tr>
        <w:trPr>
          <w:cantSplit/>
        </w:trPr>
        <w:tc>
          <w:tcPr>
            <w:tcW w:type="dxa" w:w="10080"/>
            <w:tcBorders>
              <w:top w:val="none"/>
              <w:left w:val="none"/>
              <w:bottom w:val="none"/>
              <w:right w:val="none"/>
            </w:tcBorders>
            <w:tcMar>
              <w:top w:type="dxa" w:w="100"/>
              <w:left w:type="dxa" w:w="180"/>
              <w:bottom w:type="dxa" w:w="100"/>
              <w:right w:type="dxa" w:w="120"/>
            </w:tcMar>
          </w:tcPr>
          <w:p>
            <w:pPr>
              <w:keepNext/>
              <w:spacing w:after="50" w:before="0"/>
            </w:pPr>
            <w:r>
              <w:rPr>
                <w:rFonts w:ascii="Calibri" w:cs="Calibri" w:eastAsia="Calibri" w:hAnsi="Calibri"/>
                <w:b/>
                <w:bCs/>
                <w:color w:val="14202E"/>
                <w:sz w:val="19"/>
                <w:szCs w:val="19"/>
              </w:rPr>
              <w:t xml:space="preserve">Accidental CISO (@AccidentalCISO)</w:t>
            </w:r>
            <w:r>
              <w:rPr>
                <w:rFonts w:ascii="Calibri" w:cs="Calibri" w:eastAsia="Calibri" w:hAnsi="Calibri"/>
                <w:color w:val="6B7A8C"/>
                <w:sz w:val="16"/>
                <w:szCs w:val="16"/>
              </w:rPr>
              <w:t xml:space="preserve">  Practitioner, answering an MSP building a vCISO practice · 31 July 2026</w:t>
            </w:r>
          </w:p>
          <w:p>
            <w:pPr>
              <w:spacing w:after="60" w:before="0" w:line="265"/>
            </w:pPr>
            <w:r>
              <w:rPr>
                <w:rFonts w:ascii="Calibri" w:cs="Calibri" w:eastAsia="Calibri" w:hAnsi="Calibri"/>
                <w:i/>
                <w:iCs/>
                <w:color w:val="3D4A5A"/>
                <w:sz w:val="19"/>
                <w:szCs w:val="19"/>
              </w:rPr>
              <w:t xml:space="preserve">“The pure advisory consulting workload can be very inconsistent, and SMB clients struggle to see the value in a retainer for advisory services only. It’s execution that produces value for them.”</w:t>
            </w:r>
          </w:p>
          <w:p>
            <w:pPr>
              <w:spacing w:after="60" w:before="0" w:line="265"/>
            </w:pPr>
            <w:r>
              <w:rPr>
                <w:rFonts w:ascii="Calibri" w:cs="Calibri" w:eastAsia="Calibri" w:hAnsi="Calibri"/>
                <w:i/>
                <w:iCs/>
                <w:color w:val="3D4A5A"/>
                <w:sz w:val="19"/>
                <w:szCs w:val="19"/>
              </w:rPr>
              <w:t xml:space="preserve">“The pattern I suggest has three components. A security assessment up front, the retainer to build and operate the program, and hourly vCISO advisory sprinkled on top sparingly.”</w:t>
            </w:r>
          </w:p>
          <w:p>
            <w:pPr>
              <w:spacing w:after="0" w:before="20"/>
            </w:pPr>
            <w:r>
              <w:rPr>
                <w:rFonts w:ascii="Calibri" w:cs="Calibri" w:eastAsia="Calibri" w:hAnsi="Calibri"/>
                <w:color w:val="6B7A8C"/>
                <w:sz w:val="16"/>
                <w:szCs w:val="16"/>
              </w:rPr>
              <w:t xml:space="preserve">3,820 views. This is 3HUE’s model described from the outside — and it names the failure mode: “MSPs get burned because they sold a retainer without understanding the client’s current state.”</w:t>
            </w:r>
          </w:p>
        </w:tc>
      </w:tr>
    </w:tbl>
    <w:p>
      <w:pPr>
        <w:spacing w:after="180" w:before="0" w:line="276"/>
      </w:pPr>
      <w:r>
        <w:rPr>
          <w:rFonts w:ascii="Calibri" w:cs="Calibri" w:eastAsia="Calibri" w:hAnsi="Calibri"/>
          <w:color w:val="3D4A5A"/>
          <w:sz w:val="8"/>
          <w:szCs w:val="8"/>
        </w:rPr>
        <w:t xml:space="preserve"/>
      </w:r>
    </w:p>
    <w:tbl>
      <w:tblPr>
        <w:tblW w:type="dxa" w:w="10080"/>
        <w:tblBorders>
          <w:top w:val="none"/>
          <w:left w:val="single" w:color="D3DCE6" w:sz="12"/>
          <w:bottom w:val="none"/>
          <w:right w:val="none"/>
          <w:insideH w:val="none"/>
          <w:insideV w:val="none"/>
        </w:tblBorders>
      </w:tblPr>
      <w:tblGrid>
        <w:gridCol w:w="10080"/>
      </w:tblGrid>
      <w:tr>
        <w:trPr>
          <w:cantSplit/>
        </w:trPr>
        <w:tc>
          <w:tcPr>
            <w:tcW w:type="dxa" w:w="10080"/>
            <w:tcBorders>
              <w:top w:val="none"/>
              <w:left w:val="none"/>
              <w:bottom w:val="none"/>
              <w:right w:val="none"/>
            </w:tcBorders>
            <w:tcMar>
              <w:top w:type="dxa" w:w="100"/>
              <w:left w:type="dxa" w:w="180"/>
              <w:bottom w:type="dxa" w:w="100"/>
              <w:right w:type="dxa" w:w="120"/>
            </w:tcMar>
          </w:tcPr>
          <w:p>
            <w:pPr>
              <w:keepNext/>
              <w:spacing w:after="50" w:before="0"/>
            </w:pPr>
            <w:r>
              <w:rPr>
                <w:rFonts w:ascii="Calibri" w:cs="Calibri" w:eastAsia="Calibri" w:hAnsi="Calibri"/>
                <w:b/>
                <w:bCs/>
                <w:color w:val="14202E"/>
                <w:sz w:val="19"/>
                <w:szCs w:val="19"/>
              </w:rPr>
              <w:t xml:space="preserve">Bhavesh Patil (@bhaveshpatil094)</w:t>
            </w:r>
            <w:r>
              <w:rPr>
                <w:rFonts w:ascii="Calibri" w:cs="Calibri" w:eastAsia="Calibri" w:hAnsi="Calibri"/>
                <w:color w:val="6B7A8C"/>
                <w:sz w:val="16"/>
                <w:szCs w:val="16"/>
              </w:rPr>
              <w:t xml:space="preserve">  Founder · 19 January 2026</w:t>
            </w:r>
          </w:p>
          <w:p>
            <w:pPr>
              <w:spacing w:after="60" w:before="0" w:line="265"/>
            </w:pPr>
            <w:r>
              <w:rPr>
                <w:rFonts w:ascii="Calibri" w:cs="Calibri" w:eastAsia="Calibri" w:hAnsi="Calibri"/>
                <w:i/>
                <w:iCs/>
                <w:color w:val="3D4A5A"/>
                <w:sz w:val="19"/>
                <w:szCs w:val="19"/>
              </w:rPr>
              <w:t xml:space="preserve">“Just lost a $500k deal because we didn’t have SOC 2. The consultant quoted us $80,000 and 9 months. I’m a founder, not a compliance expert. There has to be a better way.”</w:t>
            </w:r>
          </w:p>
          <w:p>
            <w:pPr>
              <w:spacing w:after="0" w:before="20"/>
            </w:pPr>
            <w:r>
              <w:rPr>
                <w:rFonts w:ascii="Calibri" w:cs="Calibri" w:eastAsia="Calibri" w:hAnsi="Calibri"/>
                <w:color w:val="6B7A8C"/>
                <w:sz w:val="16"/>
                <w:szCs w:val="16"/>
              </w:rPr>
              <w:t xml:space="preserve">84 views. Tiny reach, perfect specimen: the trigger, the objection, and the identity in three sentences.</w:t>
            </w:r>
          </w:p>
        </w:tc>
      </w:tr>
    </w:tbl>
    <w:p>
      <w:pPr>
        <w:spacing w:after="180" w:before="0" w:line="276"/>
      </w:pPr>
      <w:r>
        <w:rPr>
          <w:rFonts w:ascii="Calibri" w:cs="Calibri" w:eastAsia="Calibri" w:hAnsi="Calibri"/>
          <w:color w:val="3D4A5A"/>
          <w:sz w:val="8"/>
          <w:szCs w:val="8"/>
        </w:rPr>
        <w:t xml:space="preserve"/>
      </w:r>
    </w:p>
    <w:p>
      <w:pPr>
        <w:pStyle w:val="Heading3"/>
        <w:keepNext/>
        <w:spacing w:after="80" w:before="240"/>
      </w:pPr>
      <w:r>
        <w:rPr>
          <w:rFonts w:ascii="Calibri" w:cs="Calibri" w:eastAsia="Calibri" w:hAnsi="Calibri"/>
          <w:b/>
          <w:bCs/>
          <w:color w:val="14202E"/>
          <w:sz w:val="22"/>
          <w:szCs w:val="22"/>
        </w:rPr>
        <w:t xml:space="preserve">4.3  YouTube — search demand is for beginners and careers, not for vendors</w:t>
      </w:r>
    </w:p>
    <w:p>
      <w:pPr>
        <w:spacing w:after="120" w:before="0" w:line="276"/>
      </w:pPr>
      <w:r>
        <w:rPr>
          <w:rFonts w:ascii="Calibri" w:cs="Calibri" w:eastAsia="Calibri" w:hAnsi="Calibri"/>
          <w:color w:val="3D4A5A"/>
          <w:sz w:val="20"/>
          <w:szCs w:val="20"/>
        </w:rPr>
        <w:t xml:space="preserve">The pattern is stark: step-by-step ISO 27001 and “get a GRC job” content draws six figures, while vendor and consultant videos about compliance-versus-security or vCISO draw double digits.</w:t>
      </w:r>
    </w:p>
    <w:tbl>
      <w:tblPr>
        <w:tblW w:type="dxa" w:w="10080"/>
        <w:tblBorders>
          <w:top w:val="single" w:color="D3DCE6" w:sz="2"/>
          <w:left w:val="none"/>
          <w:bottom w:val="single" w:color="D3DCE6" w:sz="2"/>
          <w:right w:val="none"/>
          <w:insideH w:val="single" w:color="D3DCE6" w:sz="2"/>
          <w:insideV w:val="none"/>
        </w:tblBorders>
      </w:tblPr>
      <w:tblGrid>
        <w:gridCol w:w="3830"/>
        <w:gridCol w:w="1613"/>
        <w:gridCol w:w="1008"/>
        <w:gridCol w:w="3629"/>
      </w:tblGrid>
      <w:tr>
        <w:trPr>
          <w:cantSplit/>
          <w:tblHeader/>
        </w:trPr>
        <w:tc>
          <w:tcPr>
            <w:tcW w:type="dxa" w:w="3830"/>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Video</w:t>
            </w:r>
          </w:p>
        </w:tc>
        <w:tc>
          <w:tcPr>
            <w:tcW w:type="dxa" w:w="1613"/>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Channel</w:t>
            </w:r>
          </w:p>
        </w:tc>
        <w:tc>
          <w:tcPr>
            <w:tcW w:type="dxa" w:w="1008"/>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jc w:val="right"/>
            </w:pPr>
            <w:r>
              <w:rPr>
                <w:rFonts w:ascii="Calibri" w:cs="Calibri" w:eastAsia="Calibri" w:hAnsi="Calibri"/>
                <w:b/>
                <w:bCs/>
                <w:color w:val="6B7A8C"/>
                <w:sz w:val="16"/>
                <w:szCs w:val="16"/>
              </w:rPr>
              <w:t xml:space="preserve">Views</w:t>
            </w:r>
          </w:p>
        </w:tc>
        <w:tc>
          <w:tcPr>
            <w:tcW w:type="dxa" w:w="3629"/>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What it proves</w:t>
            </w:r>
          </w:p>
        </w:tc>
      </w:tr>
      <w:tr>
        <w:trPr>
          <w:cantSplit/>
        </w:trPr>
        <w:tc>
          <w:tcPr>
            <w:tcW w:type="dxa" w:w="383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“7 Steps to a Successful ISO 27001 Implementation”</w:t>
            </w:r>
          </w:p>
        </w:tc>
        <w:tc>
          <w:tcPr>
            <w:tcW w:type="dxa" w:w="1613"/>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Dejan Kosutic</w:t>
            </w:r>
          </w:p>
        </w:tc>
        <w:tc>
          <w:tcPr>
            <w:tcW w:type="dxa" w:w="100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right"/>
            </w:pPr>
            <w:r>
              <w:rPr>
                <w:rFonts w:ascii="Calibri" w:cs="Calibri" w:eastAsia="Calibri" w:hAnsi="Calibri"/>
                <w:color w:val="3D4A5A"/>
                <w:sz w:val="18"/>
                <w:szCs w:val="18"/>
              </w:rPr>
              <w:t xml:space="preserve">382,428</w:t>
            </w:r>
          </w:p>
        </w:tc>
        <w:tc>
          <w:tcPr>
            <w:tcW w:type="dxa" w:w="362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Demand for ISO 27001 basics is real and largely unmet by US advisory firms.</w:t>
            </w:r>
          </w:p>
        </w:tc>
      </w:tr>
      <w:tr>
        <w:trPr>
          <w:cantSplit/>
        </w:trPr>
        <w:tc>
          <w:tcPr>
            <w:tcW w:type="dxa" w:w="3830"/>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“FASTEST Way to Learn GRC and ACTUALLY Get a Job (2026)”</w:t>
            </w:r>
          </w:p>
        </w:tc>
        <w:tc>
          <w:tcPr>
            <w:tcW w:type="dxa" w:w="1613"/>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UnixGuy</w:t>
            </w:r>
          </w:p>
        </w:tc>
        <w:tc>
          <w:tcPr>
            <w:tcW w:type="dxa" w:w="1008"/>
            <w:tcBorders>
              <w:top w:val="single" w:color="D3DCE6" w:sz="2"/>
              <w:left w:val="none"/>
              <w:bottom w:val="single" w:color="D3DCE6" w:sz="2"/>
              <w:right w:val="none"/>
            </w:tcBorders>
            <w:tcMar>
              <w:top w:type="dxa" w:w="70"/>
              <w:left w:type="dxa" w:w="100"/>
              <w:bottom w:type="dxa" w:w="70"/>
              <w:right w:type="dxa" w:w="100"/>
            </w:tcMar>
          </w:tcPr>
          <w:p>
            <w:pPr>
              <w:spacing w:after="0" w:before="0" w:line="250"/>
              <w:jc w:val="right"/>
            </w:pPr>
            <w:r>
              <w:rPr>
                <w:rFonts w:ascii="Calibri" w:cs="Calibri" w:eastAsia="Calibri" w:hAnsi="Calibri"/>
                <w:color w:val="3D4A5A"/>
                <w:sz w:val="18"/>
                <w:szCs w:val="18"/>
              </w:rPr>
              <w:t xml:space="preserve">113,562</w:t>
            </w:r>
          </w:p>
        </w:tc>
        <w:tc>
          <w:tcPr>
            <w:tcW w:type="dxa" w:w="3629"/>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Career content outperforms practitioner content by roughly 300x.</w:t>
            </w:r>
          </w:p>
        </w:tc>
      </w:tr>
      <w:tr>
        <w:trPr>
          <w:cantSplit/>
        </w:trPr>
        <w:tc>
          <w:tcPr>
            <w:tcW w:type="dxa" w:w="383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“SOC 2 for Startups: Quick Guide” (Short)</w:t>
            </w:r>
          </w:p>
        </w:tc>
        <w:tc>
          <w:tcPr>
            <w:tcW w:type="dxa" w:w="1613"/>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w:t>
            </w:r>
          </w:p>
        </w:tc>
        <w:tc>
          <w:tcPr>
            <w:tcW w:type="dxa" w:w="100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right"/>
            </w:pPr>
            <w:r>
              <w:rPr>
                <w:rFonts w:ascii="Calibri" w:cs="Calibri" w:eastAsia="Calibri" w:hAnsi="Calibri"/>
                <w:color w:val="3D4A5A"/>
                <w:sz w:val="18"/>
                <w:szCs w:val="18"/>
              </w:rPr>
              <w:t xml:space="preserve">228,000</w:t>
            </w:r>
          </w:p>
        </w:tc>
        <w:tc>
          <w:tcPr>
            <w:tcW w:type="dxa" w:w="362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Short, plain, price-transparent formats win.</w:t>
            </w:r>
          </w:p>
        </w:tc>
      </w:tr>
      <w:tr>
        <w:trPr>
          <w:cantSplit/>
        </w:trPr>
        <w:tc>
          <w:tcPr>
            <w:tcW w:type="dxa" w:w="3830"/>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“SOC2 Compliance for Startups”</w:t>
            </w:r>
          </w:p>
        </w:tc>
        <w:tc>
          <w:tcPr>
            <w:tcW w:type="dxa" w:w="1613"/>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Vanta</w:t>
            </w:r>
          </w:p>
        </w:tc>
        <w:tc>
          <w:tcPr>
            <w:tcW w:type="dxa" w:w="1008"/>
            <w:tcBorders>
              <w:top w:val="single" w:color="D3DCE6" w:sz="2"/>
              <w:left w:val="none"/>
              <w:bottom w:val="single" w:color="D3DCE6" w:sz="2"/>
              <w:right w:val="none"/>
            </w:tcBorders>
            <w:tcMar>
              <w:top w:type="dxa" w:w="70"/>
              <w:left w:type="dxa" w:w="100"/>
              <w:bottom w:type="dxa" w:w="70"/>
              <w:right w:type="dxa" w:w="100"/>
            </w:tcMar>
          </w:tcPr>
          <w:p>
            <w:pPr>
              <w:spacing w:after="0" w:before="0" w:line="250"/>
              <w:jc w:val="right"/>
            </w:pPr>
            <w:r>
              <w:rPr>
                <w:rFonts w:ascii="Calibri" w:cs="Calibri" w:eastAsia="Calibri" w:hAnsi="Calibri"/>
                <w:color w:val="3D4A5A"/>
                <w:sz w:val="18"/>
                <w:szCs w:val="18"/>
              </w:rPr>
              <w:t xml:space="preserve">18,445</w:t>
            </w:r>
          </w:p>
        </w:tc>
        <w:tc>
          <w:tcPr>
            <w:tcW w:type="dxa" w:w="3629"/>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The category’s largest vendor, six years of shelf life, 18K views.</w:t>
            </w:r>
          </w:p>
        </w:tc>
      </w:tr>
      <w:tr>
        <w:trPr>
          <w:cantSplit/>
        </w:trPr>
        <w:tc>
          <w:tcPr>
            <w:tcW w:type="dxa" w:w="383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“ISO 27001 Getting Started”</w:t>
            </w:r>
          </w:p>
        </w:tc>
        <w:tc>
          <w:tcPr>
            <w:tcW w:type="dxa" w:w="1613"/>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Stuart Barker</w:t>
            </w:r>
          </w:p>
        </w:tc>
        <w:tc>
          <w:tcPr>
            <w:tcW w:type="dxa" w:w="100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right"/>
            </w:pPr>
            <w:r>
              <w:rPr>
                <w:rFonts w:ascii="Calibri" w:cs="Calibri" w:eastAsia="Calibri" w:hAnsi="Calibri"/>
                <w:color w:val="3D4A5A"/>
                <w:sz w:val="18"/>
                <w:szCs w:val="18"/>
              </w:rPr>
              <w:t xml:space="preserve">34,800</w:t>
            </w:r>
          </w:p>
        </w:tc>
        <w:tc>
          <w:tcPr>
            <w:tcW w:type="dxa" w:w="362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Framework-named, beginner-level, consistently performs.</w:t>
            </w:r>
          </w:p>
        </w:tc>
      </w:tr>
      <w:tr>
        <w:trPr>
          <w:cantSplit/>
        </w:trPr>
        <w:tc>
          <w:tcPr>
            <w:tcW w:type="dxa" w:w="3830"/>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“Why Compliance Doesn’t Always Equal Security”</w:t>
            </w:r>
          </w:p>
        </w:tc>
        <w:tc>
          <w:tcPr>
            <w:tcW w:type="dxa" w:w="1613"/>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Virtru</w:t>
            </w:r>
          </w:p>
        </w:tc>
        <w:tc>
          <w:tcPr>
            <w:tcW w:type="dxa" w:w="1008"/>
            <w:tcBorders>
              <w:top w:val="single" w:color="D3DCE6" w:sz="2"/>
              <w:left w:val="none"/>
              <w:bottom w:val="single" w:color="D3DCE6" w:sz="2"/>
              <w:right w:val="none"/>
            </w:tcBorders>
            <w:tcMar>
              <w:top w:type="dxa" w:w="70"/>
              <w:left w:type="dxa" w:w="100"/>
              <w:bottom w:type="dxa" w:w="70"/>
              <w:right w:type="dxa" w:w="100"/>
            </w:tcMar>
          </w:tcPr>
          <w:p>
            <w:pPr>
              <w:spacing w:after="0" w:before="0" w:line="250"/>
              <w:jc w:val="right"/>
            </w:pPr>
            <w:r>
              <w:rPr>
                <w:rFonts w:ascii="Calibri" w:cs="Calibri" w:eastAsia="Calibri" w:hAnsi="Calibri"/>
                <w:color w:val="A4462F"/>
                <w:sz w:val="18"/>
                <w:szCs w:val="18"/>
              </w:rPr>
              <w:t xml:space="preserve">18</w:t>
            </w:r>
          </w:p>
        </w:tc>
        <w:tc>
          <w:tcPr>
            <w:tcW w:type="dxa" w:w="3629"/>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Eighteen views in eight months. Do not build a YouTube strategy on this thesis.</w:t>
            </w:r>
          </w:p>
        </w:tc>
      </w:tr>
      <w:tr>
        <w:trPr>
          <w:cantSplit/>
        </w:trPr>
        <w:tc>
          <w:tcPr>
            <w:tcW w:type="dxa" w:w="383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“NIST CSF 2.0 for Small Business, Explained in 10 Minutes”</w:t>
            </w:r>
          </w:p>
        </w:tc>
        <w:tc>
          <w:tcPr>
            <w:tcW w:type="dxa" w:w="1613"/>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HailBytes</w:t>
            </w:r>
          </w:p>
        </w:tc>
        <w:tc>
          <w:tcPr>
            <w:tcW w:type="dxa" w:w="100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right"/>
            </w:pPr>
            <w:r>
              <w:rPr>
                <w:rFonts w:ascii="Calibri" w:cs="Calibri" w:eastAsia="Calibri" w:hAnsi="Calibri"/>
                <w:color w:val="A4462F"/>
                <w:sz w:val="18"/>
                <w:szCs w:val="18"/>
              </w:rPr>
              <w:t xml:space="preserve">~71</w:t>
            </w:r>
          </w:p>
        </w:tc>
        <w:tc>
          <w:tcPr>
            <w:tcW w:type="dxa" w:w="362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NIST CSF is a practitioner’s word, not a buyer’s.</w:t>
            </w:r>
          </w:p>
        </w:tc>
      </w:tr>
      <w:tr>
        <w:trPr>
          <w:cantSplit/>
        </w:trPr>
        <w:tc>
          <w:tcPr>
            <w:tcW w:type="dxa" w:w="3830"/>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“The Strategic Guide to Virtual CISO (vCISO) in 2026”</w:t>
            </w:r>
          </w:p>
        </w:tc>
        <w:tc>
          <w:tcPr>
            <w:tcW w:type="dxa" w:w="1613"/>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PBER Academy</w:t>
            </w:r>
          </w:p>
        </w:tc>
        <w:tc>
          <w:tcPr>
            <w:tcW w:type="dxa" w:w="1008"/>
            <w:tcBorders>
              <w:top w:val="single" w:color="D3DCE6" w:sz="2"/>
              <w:left w:val="none"/>
              <w:bottom w:val="single" w:color="D3DCE6" w:sz="2"/>
              <w:right w:val="none"/>
            </w:tcBorders>
            <w:tcMar>
              <w:top w:type="dxa" w:w="70"/>
              <w:left w:type="dxa" w:w="100"/>
              <w:bottom w:type="dxa" w:w="70"/>
              <w:right w:type="dxa" w:w="100"/>
            </w:tcMar>
          </w:tcPr>
          <w:p>
            <w:pPr>
              <w:spacing w:after="0" w:before="0" w:line="250"/>
              <w:jc w:val="right"/>
            </w:pPr>
            <w:r>
              <w:rPr>
                <w:rFonts w:ascii="Calibri" w:cs="Calibri" w:eastAsia="Calibri" w:hAnsi="Calibri"/>
                <w:color w:val="A4462F"/>
                <w:sz w:val="18"/>
                <w:szCs w:val="18"/>
              </w:rPr>
              <w:t xml:space="preserve">~6</w:t>
            </w:r>
          </w:p>
        </w:tc>
        <w:tc>
          <w:tcPr>
            <w:tcW w:type="dxa" w:w="3629"/>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vCISO is a sales-led category, not a search-led one.</w:t>
            </w:r>
          </w:p>
        </w:tc>
      </w:tr>
    </w:tbl>
    <w:p>
      <w:pPr>
        <w:spacing w:after="180" w:before="0" w:line="276"/>
      </w:pPr>
      <w:r>
        <w:rPr>
          <w:rFonts w:ascii="Calibri" w:cs="Calibri" w:eastAsia="Calibri" w:hAnsi="Calibri"/>
          <w:color w:val="3D4A5A"/>
          <w:sz w:val="8"/>
          <w:szCs w:val="8"/>
        </w:rPr>
        <w:t xml:space="preserve"/>
      </w:r>
    </w:p>
    <w:p>
      <w:pPr>
        <w:pStyle w:val="Heading3"/>
        <w:keepNext/>
        <w:spacing w:after="80" w:before="240"/>
      </w:pPr>
      <w:r>
        <w:rPr>
          <w:rFonts w:ascii="Calibri" w:cs="Calibri" w:eastAsia="Calibri" w:hAnsi="Calibri"/>
          <w:b/>
          <w:bCs/>
          <w:color w:val="14202E"/>
          <w:sz w:val="22"/>
          <w:szCs w:val="22"/>
        </w:rPr>
        <w:t xml:space="preserve">4.4  Reddit — IT managers, MSP owners and small-business founders, unfiltered</w:t>
      </w:r>
    </w:p>
    <w:p>
      <w:pPr>
        <w:spacing w:after="120" w:before="0" w:line="276"/>
      </w:pPr>
      <w:r>
        <w:rPr>
          <w:rFonts w:ascii="Calibri" w:cs="Calibri" w:eastAsia="Calibri" w:hAnsi="Calibri"/>
          <w:color w:val="3D4A5A"/>
          <w:sz w:val="20"/>
          <w:szCs w:val="20"/>
        </w:rPr>
        <w:t xml:space="preserve">Reddit is where the buyer side of the mid-market talks without a vendor in the room. Threads were read through a logged-in browser on 2 September 2026.</w:t>
      </w:r>
    </w:p>
    <w:p>
      <w:pPr>
        <w:keepNext/>
        <w:spacing w:after="60" w:before="180"/>
      </w:pPr>
      <w:r>
        <w:rPr>
          <w:rFonts w:ascii="Calibri" w:cs="Calibri" w:eastAsia="Calibri" w:hAnsi="Calibri"/>
          <w:b/>
          <w:bCs/>
          <w:color w:val="3D4A5A"/>
          <w:sz w:val="20"/>
          <w:szCs w:val="20"/>
        </w:rPr>
        <w:t xml:space="preserve">r/cybersecurity — “10 years of IR work (~1,000 incidents). Here’s the security report template that gets clients moving” · 667 points · 221 comments</w:t>
      </w:r>
    </w:p>
    <w:p>
      <w:pPr>
        <w:spacing w:after="120" w:before="0" w:line="276"/>
      </w:pPr>
      <w:r>
        <w:rPr>
          <w:rFonts w:ascii="Calibri" w:cs="Calibri" w:eastAsia="Calibri" w:hAnsi="Calibri"/>
          <w:color w:val="3D4A5A"/>
          <w:sz w:val="20"/>
          <w:szCs w:val="20"/>
        </w:rPr>
        <w:t xml:space="preserve">An incident-response lead who has worked “from 5-person joinery shops to multi-national retail” lists what a decade taught him: compliance framing creates false confidence; clients respond to money, not maturity scores; lead executive readouts with a “time to low risk” plan — months, cost, who does the work, how success is measured — rather than 47 technical findings; organizations die on the periphery systems everyone forgot. A commenter names the “watermelon effect”: green dashboards, red inside. An ex-MSP consultant notes clients “go straight to the cost breakdown” and read nothing else.</w:t>
      </w:r>
    </w:p>
    <w:tbl>
      <w:tblPr>
        <w:tblW w:type="dxa" w:w="10080"/>
        <w:tblBorders>
          <w:top w:val="none"/>
          <w:left w:val="single" w:color="2F86B3" w:sz="18"/>
          <w:bottom w:val="none"/>
          <w:right w:val="none"/>
          <w:insideH w:val="none"/>
          <w:insideV w:val="none"/>
        </w:tblBorders>
      </w:tblPr>
      <w:tblGrid>
        <w:gridCol w:w="10080"/>
      </w:tblGrid>
      <w:tr>
        <w:trPr>
          <w:cantSplit/>
        </w:trPr>
        <w:tc>
          <w:tcPr>
            <w:tcW w:type="dxa" w:w="10080"/>
            <w:tcBorders>
              <w:top w:val="none"/>
              <w:left w:val="none"/>
              <w:bottom w:val="none"/>
              <w:right w:val="none"/>
            </w:tcBorders>
            <w:shd w:fill="EEF4F9" w:color="auto" w:val="clear"/>
            <w:tcMar>
              <w:top w:type="dxa" w:w="130"/>
              <w:left w:type="dxa" w:w="180"/>
              <w:bottom w:type="dxa" w:w="130"/>
              <w:right w:type="dxa" w:w="160"/>
            </w:tcMar>
          </w:tcPr>
          <w:p>
            <w:pPr>
              <w:keepNext/>
              <w:spacing w:after="60" w:before="0" w:line="260"/>
            </w:pPr>
            <w:r>
              <w:rPr>
                <w:rFonts w:ascii="Calibri" w:cs="Calibri" w:eastAsia="Calibri" w:hAnsi="Calibri"/>
                <w:b/>
                <w:bCs/>
                <w:color w:val="2F86B3"/>
                <w:sz w:val="19"/>
                <w:szCs w:val="19"/>
              </w:rPr>
              <w:t xml:space="preserve">This one thread answers the brief more directly than any survey</w:t>
            </w:r>
          </w:p>
          <w:p>
            <w:pPr>
              <w:spacing w:after="40" w:before="0" w:line="265"/>
            </w:pPr>
            <w:r>
              <w:rPr>
                <w:rFonts w:ascii="Calibri" w:cs="Calibri" w:eastAsia="Calibri" w:hAnsi="Calibri"/>
                <w:color w:val="3D4A5A"/>
                <w:sz w:val="19"/>
                <w:szCs w:val="19"/>
              </w:rPr>
              <w:t xml:space="preserve">The buyer does not want maturity. The buyer wants to know what a bad year costs and what it takes to make it not happen. The author’s own exchange: a client asks for a NIST CSF report, then asks “what’s our biggest risk?” — and the honest answer is that a maturity assessment never told them. Build the Snapshot readout this way.</w:t>
            </w:r>
          </w:p>
        </w:tc>
      </w:tr>
    </w:tbl>
    <w:p>
      <w:pPr>
        <w:keepNext/>
        <w:spacing w:after="60" w:before="180"/>
      </w:pPr>
      <w:r>
        <w:rPr>
          <w:rFonts w:ascii="Calibri" w:cs="Calibri" w:eastAsia="Calibri" w:hAnsi="Calibri"/>
          <w:b/>
          <w:bCs/>
          <w:color w:val="3D4A5A"/>
          <w:sz w:val="20"/>
          <w:szCs w:val="20"/>
        </w:rPr>
        <w:t xml:space="preserve">r/ITManagers — “What are small and mid-size IT teams actually doing for cybersecurity right now?”</w:t>
      </w:r>
    </w:p>
    <w:p>
      <w:pPr>
        <w:spacing w:after="120" w:before="0" w:line="276"/>
      </w:pPr>
      <w:r>
        <w:rPr>
          <w:rFonts w:ascii="Calibri" w:cs="Calibri" w:eastAsia="Calibri" w:hAnsi="Calibri"/>
          <w:color w:val="3D4A5A"/>
          <w:sz w:val="20"/>
          <w:szCs w:val="20"/>
        </w:rPr>
        <w:t xml:space="preserve">A CIO/CISO at a 700-user firm with a staff of ten: “We’ve been reactionary to compliance checks since 2020,” starting with a contract that required cyber coverage; “compliance is a way bigger driver over recognized risk due to resource and budget limitations”; incident response is whoever is online when something happens. A ~150-person shop: a fix that costs “70 consultant hours” is hard to approve at 200 employees and easy at 5,000; keeping up feels like “bailing out the Titanic with a teaspoon.” Another: dropped two MSPs to save cost, now runs no threat detection — “we do carry insurance.”</w:t>
      </w:r>
    </w:p>
    <w:p>
      <w:pPr>
        <w:keepNext/>
        <w:spacing w:after="60" w:before="180"/>
      </w:pPr>
      <w:r>
        <w:rPr>
          <w:rFonts w:ascii="Calibri" w:cs="Calibri" w:eastAsia="Calibri" w:hAnsi="Calibri"/>
          <w:b/>
          <w:bCs/>
          <w:color w:val="3D4A5A"/>
          <w:sz w:val="20"/>
          <w:szCs w:val="20"/>
        </w:rPr>
        <w:t xml:space="preserve">r/Compliance — “Lost a $95k deal because we don’t have SOC2” · 43 points · 70 comments</w:t>
      </w:r>
    </w:p>
    <w:p>
      <w:pPr>
        <w:spacing w:after="120" w:before="0" w:line="276"/>
      </w:pPr>
      <w:r>
        <w:rPr>
          <w:rFonts w:ascii="Calibri" w:cs="Calibri" w:eastAsia="Calibri" w:hAnsi="Calibri"/>
          <w:color w:val="3D4A5A"/>
          <w:sz w:val="20"/>
          <w:szCs w:val="20"/>
        </w:rPr>
        <w:t xml:space="preserve">Three months of demos, the customer’s CEO loved it, then IT asked for a SOC 2 report and said no report, no deal. The replies are the buyer’s side: a mid-size regulated company says the diligence needed for a non-SOC 2 vendor “is not worth it” for anything non-core; vendors who send their cloud provider’s SOC 2 get blacklisted; scope the first audit to Security criteria only and use a local firm. Several commenters suspect the post itself is compliance marketing — the “lost deal” genre is real and partly manufactured. Use the buyer-side comments, which are unambiguous.</w:t>
      </w:r>
    </w:p>
    <w:p>
      <w:pPr>
        <w:keepNext/>
        <w:spacing w:after="60" w:before="180"/>
      </w:pPr>
      <w:r>
        <w:rPr>
          <w:rFonts w:ascii="Calibri" w:cs="Calibri" w:eastAsia="Calibri" w:hAnsi="Calibri"/>
          <w:b/>
          <w:bCs/>
          <w:color w:val="3D4A5A"/>
          <w:sz w:val="20"/>
          <w:szCs w:val="20"/>
        </w:rPr>
        <w:t xml:space="preserve">r/msp — “vCISO” and “Those offering vCISO… how do you charge?”</w:t>
      </w:r>
    </w:p>
    <w:p>
      <w:pPr>
        <w:spacing w:after="120" w:before="0" w:line="276"/>
      </w:pPr>
      <w:r>
        <w:rPr>
          <w:rFonts w:ascii="Calibri" w:cs="Calibri" w:eastAsia="Calibri" w:hAnsi="Calibri"/>
          <w:color w:val="3D4A5A"/>
          <w:sz w:val="20"/>
          <w:szCs w:val="20"/>
        </w:rPr>
        <w:t xml:space="preserve">A former MSP CISO: make one person accountable, price it monthly and separately from user count, avoid blocks of hours, and understand that the first question the client is really asking is whether they can get away with doing nothing. SideChannel’s CEO, running about 50 vCISOs across hundreds of clients: bolting compliance checklists onto an MSP “doesn’t hold up when a client has a real audit, a breach, or a board member who asks the hard questions.” NIST CSF 2.0 and CIS Controls v8.1 are the practical US standards; price tiered retainers by size, complexity and compliance burden; sell outcomes not hours; lead with a formal assessment as the entry point. Many MSPs conclude they should white-label or partner rather than build.</w:t>
      </w:r>
    </w:p>
    <w:tbl>
      <w:tblPr>
        <w:tblW w:type="dxa" w:w="10080"/>
        <w:tblBorders>
          <w:top w:val="none"/>
          <w:left w:val="single" w:color="2F8562" w:sz="18"/>
          <w:bottom w:val="none"/>
          <w:right w:val="none"/>
          <w:insideH w:val="none"/>
          <w:insideV w:val="none"/>
        </w:tblBorders>
      </w:tblPr>
      <w:tblGrid>
        <w:gridCol w:w="10080"/>
      </w:tblGrid>
      <w:tr>
        <w:trPr>
          <w:cantSplit/>
        </w:trPr>
        <w:tc>
          <w:tcPr>
            <w:tcW w:type="dxa" w:w="10080"/>
            <w:tcBorders>
              <w:top w:val="none"/>
              <w:left w:val="none"/>
              <w:bottom w:val="none"/>
              <w:right w:val="none"/>
            </w:tcBorders>
            <w:shd w:fill="EAF4EF" w:color="auto" w:val="clear"/>
            <w:tcMar>
              <w:top w:type="dxa" w:w="130"/>
              <w:left w:type="dxa" w:w="180"/>
              <w:bottom w:type="dxa" w:w="130"/>
              <w:right w:type="dxa" w:w="160"/>
            </w:tcMar>
          </w:tcPr>
          <w:p>
            <w:pPr>
              <w:keepNext/>
              <w:spacing w:after="60" w:before="0" w:line="260"/>
            </w:pPr>
            <w:r>
              <w:rPr>
                <w:rFonts w:ascii="Calibri" w:cs="Calibri" w:eastAsia="Calibri" w:hAnsi="Calibri"/>
                <w:b/>
                <w:bCs/>
                <w:color w:val="2F8562"/>
                <w:sz w:val="19"/>
                <w:szCs w:val="19"/>
              </w:rPr>
              <w:t xml:space="preserve">Two implications</w:t>
            </w:r>
          </w:p>
          <w:p>
            <w:pPr>
              <w:spacing w:after="40" w:before="0" w:line="265"/>
            </w:pPr>
            <w:r>
              <w:rPr>
                <w:rFonts w:ascii="Calibri" w:cs="Calibri" w:eastAsia="Calibri" w:hAnsi="Calibri"/>
                <w:color w:val="3D4A5A"/>
                <w:sz w:val="19"/>
                <w:szCs w:val="19"/>
              </w:rPr>
              <w:t xml:space="preserve">The delivery model the market has converged on is the one 3HUE already runs: assessment, retainer, founder advisory.</w:t>
            </w:r>
          </w:p>
          <w:p>
            <w:pPr>
              <w:spacing w:after="40" w:before="0" w:line="265"/>
            </w:pPr>
            <w:r>
              <w:rPr>
                <w:rFonts w:ascii="Calibri" w:cs="Calibri" w:eastAsia="Calibri" w:hAnsi="Calibri"/>
                <w:color w:val="3D4A5A"/>
                <w:sz w:val="19"/>
                <w:szCs w:val="19"/>
              </w:rPr>
              <w:t xml:space="preserve">The MSPs deciding to partner rather than build are AiVRIC’s channel — which is exactly what its MSP page sells, with no marketing behind it.</w:t>
            </w:r>
          </w:p>
        </w:tc>
      </w:tr>
    </w:tbl>
    <w:p>
      <w:pPr>
        <w:keepNext/>
        <w:spacing w:after="60" w:before="180"/>
      </w:pPr>
      <w:r>
        <w:rPr>
          <w:rFonts w:ascii="Calibri" w:cs="Calibri" w:eastAsia="Calibri" w:hAnsi="Calibri"/>
          <w:b/>
          <w:bCs/>
          <w:color w:val="3D4A5A"/>
          <w:sz w:val="20"/>
          <w:szCs w:val="20"/>
        </w:rPr>
        <w:t xml:space="preserve">r/ITManagers — “Nobody has a good answer yet for how to govern AI coding”</w:t>
      </w:r>
    </w:p>
    <w:p>
      <w:pPr>
        <w:spacing w:after="120" w:before="0" w:line="276"/>
      </w:pPr>
      <w:r>
        <w:rPr>
          <w:rFonts w:ascii="Calibri" w:cs="Calibri" w:eastAsia="Calibri" w:hAnsi="Calibri"/>
          <w:color w:val="3D4A5A"/>
          <w:sz w:val="20"/>
          <w:szCs w:val="20"/>
        </w:rPr>
        <w:t xml:space="preserve">An IT lead at a 600-person company with 120 developers: every developer now uses AI tools and there is “zero governance” — no inventory, no cost control, no security review, and engineering leadership saying “we can’t be the company that doesn’t.” The top replies: “AI isn’t your issue. IT governance is,” and “this is not a technology problem, this is an organizational one.” One reply asks which governance frameworks to read. Nobody answers with a name.</w:t>
      </w:r>
    </w:p>
    <w:p>
      <w:pPr>
        <w:spacing w:after="160" w:before="0" w:line="276"/>
      </w:pPr>
      <w:r>
        <w:rPr>
          <w:rFonts w:ascii="Calibri" w:cs="Calibri" w:eastAsia="Calibri" w:hAnsi="Calibri"/>
          <w:i/>
          <w:iCs/>
          <w:color w:val="6B7A8C"/>
          <w:sz w:val="16"/>
          <w:szCs w:val="16"/>
        </w:rPr>
        <w:t xml:space="preserve">That unanswered question is the AI Risk &amp; Readiness Snapshot’s buyer, and the only place governance-framework thinking is actively wanted — as long as nobody says the acronym.</w:t>
      </w:r>
    </w:p>
    <w:p>
      <w:pPr>
        <w:pStyle w:val="Heading3"/>
        <w:keepNext/>
        <w:spacing w:after="80" w:before="240"/>
      </w:pPr>
      <w:r>
        <w:rPr>
          <w:rFonts w:ascii="Calibri" w:cs="Calibri" w:eastAsia="Calibri" w:hAnsi="Calibri"/>
          <w:b/>
          <w:bCs/>
          <w:color w:val="14202E"/>
          <w:sz w:val="22"/>
          <w:szCs w:val="22"/>
        </w:rPr>
        <w:t xml:space="preserve">4.5  Hacker News — the founder, CTO and CISO forum</w:t>
      </w:r>
    </w:p>
    <w:tbl>
      <w:tblPr>
        <w:tblW w:type="dxa" w:w="10080"/>
        <w:tblBorders>
          <w:top w:val="single" w:color="D3DCE6" w:sz="2"/>
          <w:left w:val="none"/>
          <w:bottom w:val="single" w:color="D3DCE6" w:sz="2"/>
          <w:right w:val="none"/>
          <w:insideH w:val="single" w:color="D3DCE6" w:sz="2"/>
          <w:insideV w:val="none"/>
        </w:tblBorders>
      </w:tblPr>
      <w:tblGrid>
        <w:gridCol w:w="2621"/>
        <w:gridCol w:w="1714"/>
        <w:gridCol w:w="5746"/>
      </w:tblGrid>
      <w:tr>
        <w:trPr>
          <w:cantSplit/>
          <w:tblHeader/>
        </w:trPr>
        <w:tc>
          <w:tcPr>
            <w:tcW w:type="dxa" w:w="2621"/>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Thread</w:t>
            </w:r>
          </w:p>
        </w:tc>
        <w:tc>
          <w:tcPr>
            <w:tcW w:type="dxa" w:w="1714"/>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Engagement</w:t>
            </w:r>
          </w:p>
        </w:tc>
        <w:tc>
          <w:tcPr>
            <w:tcW w:type="dxa" w:w="5746"/>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What is said</w:t>
            </w:r>
          </w:p>
        </w:tc>
      </w:tr>
      <w:tr>
        <w:trPr>
          <w:cantSplit/>
        </w:trPr>
        <w:tc>
          <w:tcPr>
            <w:tcW w:type="dxa" w:w="262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Ask HN: How to be SOC2 Type 2 compliant as a solo-entrepreneur?</w:t>
            </w:r>
          </w:p>
        </w:tc>
        <w:tc>
          <w:tcPr>
            <w:tcW w:type="dxa" w:w="1714"/>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173 pts · 138 comments</w:t>
            </w:r>
          </w:p>
        </w:tc>
        <w:tc>
          <w:tcPr>
            <w:tcW w:type="dxa" w:w="574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“It’s 100% a racket… a legal box-checking exercise.” · “I doubt you could get it under $20k.” · “It is non-negotiable that all of our vendors must themselves be SOC2 compliant.”</w:t>
            </w:r>
          </w:p>
        </w:tc>
      </w:tr>
      <w:tr>
        <w:trPr>
          <w:cantSplit/>
        </w:trPr>
        <w:tc>
          <w:tcPr>
            <w:tcW w:type="dxa" w:w="262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SOC2: The screenshots will continue until security improves (fly.io)</w:t>
            </w:r>
          </w:p>
        </w:tc>
        <w:tc>
          <w:tcPr>
            <w:tcW w:type="dxa" w:w="1714"/>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546 pts · 244 comments</w:t>
            </w:r>
          </w:p>
        </w:tc>
        <w:tc>
          <w:tcPr>
            <w:tcW w:type="dxa" w:w="5746"/>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“Alarm bells should go off when you do engineering work specifically for SOC2.” · “Much of the skill involved is in managing (strangling) down the scope of the framework.”</w:t>
            </w:r>
          </w:p>
        </w:tc>
      </w:tr>
      <w:tr>
        <w:trPr>
          <w:cantSplit/>
        </w:trPr>
        <w:tc>
          <w:tcPr>
            <w:tcW w:type="dxa" w:w="262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Ask HN: Is the ISO 27001 certification worth it?</w:t>
            </w:r>
          </w:p>
        </w:tc>
        <w:tc>
          <w:tcPr>
            <w:tcW w:type="dxa" w:w="1714"/>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125 pts · 103 comments</w:t>
            </w:r>
          </w:p>
        </w:tc>
        <w:tc>
          <w:tcPr>
            <w:tcW w:type="dxa" w:w="574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“The very first customer required us to get it before we could go live.” · “I have seen consulting costs range from £20k to £100k.”</w:t>
            </w:r>
          </w:p>
        </w:tc>
      </w:tr>
      <w:tr>
        <w:trPr>
          <w:cantSplit/>
        </w:trPr>
        <w:tc>
          <w:tcPr>
            <w:tcW w:type="dxa" w:w="262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Our Dumb Security Questionnaire · Launch HN: Stacksi</w:t>
            </w:r>
          </w:p>
        </w:tc>
        <w:tc>
          <w:tcPr>
            <w:tcW w:type="dxa" w:w="1714"/>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149 pts · 88 comments; 134 pts · 89 comments</w:t>
            </w:r>
          </w:p>
        </w:tc>
        <w:tc>
          <w:tcPr>
            <w:tcW w:type="dxa" w:w="5746"/>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“Everybody lies on these.” · “I get one almost every other week and yes, they are indeed 200+ questions.” · “It costs more than $2 per question on average.” · “We have customers filling out 5-10 of these per week.”</w:t>
            </w:r>
          </w:p>
        </w:tc>
      </w:tr>
      <w:tr>
        <w:trPr>
          <w:cantSplit/>
        </w:trPr>
        <w:tc>
          <w:tcPr>
            <w:tcW w:type="dxa" w:w="262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Excalidraw+ Is Now SOC 2 Certified</w:t>
            </w:r>
          </w:p>
        </w:tc>
        <w:tc>
          <w:tcPr>
            <w:tcW w:type="dxa" w:w="1714"/>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234 pts · 79 comments</w:t>
            </w:r>
          </w:p>
        </w:tc>
        <w:tc>
          <w:tcPr>
            <w:tcW w:type="dxa" w:w="574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“Carrying a SOC 2 attestation won’t save you from vendor questionnaires.” · “Pay for the better auditors.”</w:t>
            </w:r>
          </w:p>
        </w:tc>
      </w:tr>
      <w:tr>
        <w:trPr>
          <w:cantSplit/>
        </w:trPr>
        <w:tc>
          <w:tcPr>
            <w:tcW w:type="dxa" w:w="262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Three CISOs walk into a startup · SEC charges SolarWinds and its CISO</w:t>
            </w:r>
          </w:p>
        </w:tc>
        <w:tc>
          <w:tcPr>
            <w:tcW w:type="dxa" w:w="1714"/>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75 pts · 61 comments; 248 pts · 98 comments</w:t>
            </w:r>
          </w:p>
        </w:tc>
        <w:tc>
          <w:tcPr>
            <w:tcW w:type="dxa" w:w="5746"/>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“In quite a few organizations, CISO stands for ‘Chief Incident Scapegoat Officer’.” · “The company sincerely believed that hiring the security person is all the resources required.”</w:t>
            </w:r>
          </w:p>
        </w:tc>
      </w:tr>
      <w:tr>
        <w:trPr>
          <w:cantSplit/>
        </w:trPr>
        <w:tc>
          <w:tcPr>
            <w:tcW w:type="dxa" w:w="262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Ask HN: What does HN think of TOGAF, ITIL and CBAP?</w:t>
            </w:r>
          </w:p>
        </w:tc>
        <w:tc>
          <w:tcPr>
            <w:tcW w:type="dxa" w:w="1714"/>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5 comments total</w:t>
            </w:r>
          </w:p>
        </w:tc>
        <w:tc>
          <w:tcPr>
            <w:tcW w:type="dxa" w:w="574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“My boss was big on TOGAF and ITIL… In 4 years we never got farther than talk.” · “Never heard of them.” The low engagement is the finding.</w:t>
            </w:r>
          </w:p>
        </w:tc>
      </w:tr>
    </w:tbl>
    <w:p>
      <w:pPr>
        <w:spacing w:after="180" w:before="0" w:line="276"/>
      </w:pPr>
      <w:r>
        <w:rPr>
          <w:rFonts w:ascii="Calibri" w:cs="Calibri" w:eastAsia="Calibri" w:hAnsi="Calibri"/>
          <w:color w:val="3D4A5A"/>
          <w:sz w:val="8"/>
          <w:szCs w:val="8"/>
        </w:rPr>
        <w:t xml:space="preserve"/>
      </w:r>
    </w:p>
    <w:tbl>
      <w:tblPr>
        <w:tblW w:type="dxa" w:w="10080"/>
        <w:tblBorders>
          <w:top w:val="none"/>
          <w:left w:val="single" w:color="2F8562" w:sz="18"/>
          <w:bottom w:val="none"/>
          <w:right w:val="none"/>
          <w:insideH w:val="none"/>
          <w:insideV w:val="none"/>
        </w:tblBorders>
      </w:tblPr>
      <w:tblGrid>
        <w:gridCol w:w="10080"/>
      </w:tblGrid>
      <w:tr>
        <w:trPr>
          <w:cantSplit/>
        </w:trPr>
        <w:tc>
          <w:tcPr>
            <w:tcW w:type="dxa" w:w="10080"/>
            <w:tcBorders>
              <w:top w:val="none"/>
              <w:left w:val="none"/>
              <w:bottom w:val="none"/>
              <w:right w:val="none"/>
            </w:tcBorders>
            <w:shd w:fill="EAF4EF" w:color="auto" w:val="clear"/>
            <w:tcMar>
              <w:top w:type="dxa" w:w="130"/>
              <w:left w:type="dxa" w:w="180"/>
              <w:bottom w:type="dxa" w:w="130"/>
              <w:right w:type="dxa" w:w="160"/>
            </w:tcMar>
          </w:tcPr>
          <w:p>
            <w:pPr>
              <w:keepNext/>
              <w:spacing w:after="60" w:before="0" w:line="260"/>
            </w:pPr>
            <w:r>
              <w:rPr>
                <w:rFonts w:ascii="Calibri" w:cs="Calibri" w:eastAsia="Calibri" w:hAnsi="Calibri"/>
                <w:b/>
                <w:bCs/>
                <w:color w:val="2F8562"/>
                <w:sz w:val="19"/>
                <w:szCs w:val="19"/>
              </w:rPr>
              <w:t xml:space="preserve">The most quantified pain in the dataset</w:t>
            </w:r>
          </w:p>
          <w:p>
            <w:pPr>
              <w:spacing w:after="40" w:before="0" w:line="265"/>
            </w:pPr>
            <w:r>
              <w:rPr>
                <w:rFonts w:ascii="Calibri" w:cs="Calibri" w:eastAsia="Calibri" w:hAnsi="Calibri"/>
                <w:color w:val="3D4A5A"/>
                <w:sz w:val="19"/>
                <w:szCs w:val="19"/>
              </w:rPr>
              <w:t xml:space="preserve">$2 a question, 200+ questions, five to ten arriving per week at scale. A managed questionnaire-response service is a measurable land-and-expand wedge — and it is the basis of the lead magnet in Part VII.</w:t>
            </w:r>
          </w:p>
        </w:tc>
      </w:tr>
    </w:tbl>
    <w:p>
      <w:pPr>
        <w:pStyle w:val="Heading3"/>
        <w:keepNext/>
        <w:spacing w:after="80" w:before="240"/>
      </w:pPr>
      <w:r>
        <w:rPr>
          <w:rFonts w:ascii="Calibri" w:cs="Calibri" w:eastAsia="Calibri" w:hAnsi="Calibri"/>
          <w:b/>
          <w:bCs/>
          <w:color w:val="14202E"/>
          <w:sz w:val="22"/>
          <w:szCs w:val="22"/>
        </w:rPr>
        <w:t xml:space="preserve">4.6  TikTok — content exists, engagement does not</w:t>
      </w:r>
    </w:p>
    <w:p>
      <w:pPr>
        <w:spacing w:after="120" w:before="0" w:line="276"/>
      </w:pPr>
      <w:r>
        <w:rPr>
          <w:rFonts w:ascii="Calibri" w:cs="Calibri" w:eastAsia="Calibri" w:hAnsi="Calibri"/>
          <w:color w:val="3D4A5A"/>
          <w:sz w:val="20"/>
          <w:szCs w:val="20"/>
        </w:rPr>
        <w:t xml:space="preserve">Searched logged in on 2 September 2026. “SOC 2 compliance” returns a first page led by paid partnerships (Rippling, Vanta) and a handful of creators; “vCISO” returns vendor and consultant videos with one to three likes each; “cyber insurance small business” is dominated by insurance agents and MSPs in single digits. The audience that engages on TikTok is job seekers and founders, not IT directors or CFOs.</w:t>
      </w:r>
    </w:p>
    <w:p>
      <w:pPr>
        <w:spacing w:after="120" w:before="0" w:line="276"/>
      </w:pPr>
      <w:r>
        <w:rPr>
          <w:rFonts w:ascii="Calibri" w:cs="Calibri" w:eastAsia="Calibri" w:hAnsi="Calibri"/>
          <w:b/>
          <w:bCs/>
          <w:color w:val="14202E"/>
          <w:sz w:val="20"/>
          <w:szCs w:val="20"/>
        </w:rPr>
        <w:t xml:space="preserve">The one format that works: </w:t>
      </w:r>
      <w:r>
        <w:rPr>
          <w:rFonts w:ascii="Calibri" w:cs="Calibri" w:eastAsia="Calibri" w:hAnsi="Calibri"/>
          <w:color w:val="3D4A5A"/>
          <w:sz w:val="20"/>
          <w:szCs w:val="20"/>
        </w:rPr>
        <w:t xml:space="preserve">the narrow-vertical compliance checklist with a call to action. @aestheticcomplianceco (HIPAA for med spas) is the template — “Is your telehealth video platform actually HIPAA compliant?”, a five-item checklist, “don’t assume, verify,” book a call. A 3HUE analogue (“Is your SOC 2 actually covering your AI vendors?”) is the only TikTok experiment worth running, and the same clip will perform better on LinkedIn and YouTube Shorts.</w:t>
      </w:r>
    </w:p>
    <w:p>
      <w:pPr>
        <w:pStyle w:val="Heading2"/>
        <w:keepNext/>
        <w:spacing w:after="40" w:before="340"/>
      </w:pPr>
      <w:r>
        <w:rPr>
          <w:rFonts w:ascii="Calibri" w:cs="Calibri" w:eastAsia="Calibri" w:hAnsi="Calibri"/>
          <w:b/>
          <w:bCs/>
          <w:color w:val="2F86B3"/>
          <w:sz w:val="28"/>
          <w:szCs w:val="28"/>
        </w:rPr>
        <w:t xml:space="preserve">5. The words decision makers actually use</w:t>
      </w:r>
    </w:p>
    <w:p>
      <w:pPr>
        <w:keepNext/>
        <w:spacing w:after="140" w:before="0" w:line="276"/>
      </w:pPr>
      <w:r>
        <w:rPr>
          <w:rFonts w:ascii="Calibri" w:cs="Calibri" w:eastAsia="Calibri" w:hAnsi="Calibri"/>
          <w:i/>
          <w:iCs/>
          <w:color w:val="6B7A8C"/>
          <w:sz w:val="19"/>
          <w:szCs w:val="19"/>
        </w:rPr>
        <w:t xml:space="preserve">Pulled verbatim or near-verbatim from the exhibits above. This is the vocabulary 3HUE’s copy has to speak.</w:t>
      </w:r>
    </w:p>
    <w:p>
      <w:pPr>
        <w:pStyle w:val="Heading3"/>
        <w:keepNext/>
        <w:spacing w:after="80" w:before="240"/>
      </w:pPr>
      <w:r>
        <w:rPr>
          <w:rFonts w:ascii="Calibri" w:cs="Calibri" w:eastAsia="Calibri" w:hAnsi="Calibri"/>
          <w:b/>
          <w:bCs/>
          <w:color w:val="14202E"/>
          <w:sz w:val="22"/>
          <w:szCs w:val="22"/>
        </w:rPr>
        <w:t xml:space="preserve">5.1  On the trigger</w:t>
      </w:r>
    </w:p>
    <w:p>
      <w:pPr>
        <w:spacing w:after="120" w:before="0" w:line="276"/>
      </w:pPr>
      <w:r>
        <w:rPr>
          <w:rFonts w:ascii="Calibri" w:cs="Calibri" w:eastAsia="Calibri" w:hAnsi="Calibri"/>
          <w:color w:val="3D4A5A"/>
          <w:sz w:val="20"/>
          <w:szCs w:val="20"/>
        </w:rPr>
        <w:t xml:space="preserve">“the very first customer required us to get it” · “call us back when you have a SOC 2 in hand” · “just lost a $500k deal because we didn’t have SOC 2” · “non-negotiable that all of our vendors must themselves be SOC2 compliant” · “table stakes” · “they were provable” · “losing deals they don’t even know they lost” · “the policy gets voided” · “but we pay for cyber insurance” · “auto-decline” · “contingent on certain actions” · “NIS2 is coming. We don’t have a CISO. We can’t afford one.” · “we don’t have an AI governance framework” · “no SOC 2, no deal” · “can we get away with doing nothing?” · “AI isn’t your issue. IT governance is.”</w:t>
      </w:r>
    </w:p>
    <w:p>
      <w:pPr>
        <w:pStyle w:val="Heading3"/>
        <w:keepNext/>
        <w:spacing w:after="80" w:before="240"/>
      </w:pPr>
      <w:r>
        <w:rPr>
          <w:rFonts w:ascii="Calibri" w:cs="Calibri" w:eastAsia="Calibri" w:hAnsi="Calibri"/>
          <w:b/>
          <w:bCs/>
          <w:color w:val="14202E"/>
          <w:sz w:val="22"/>
          <w:szCs w:val="22"/>
        </w:rPr>
        <w:t xml:space="preserve">5.2  On the pain</w:t>
      </w:r>
    </w:p>
    <w:p>
      <w:pPr>
        <w:spacing w:after="120" w:before="0" w:line="276"/>
      </w:pPr>
      <w:r>
        <w:rPr>
          <w:rFonts w:ascii="Calibri" w:cs="Calibri" w:eastAsia="Calibri" w:hAnsi="Calibri"/>
          <w:color w:val="3D4A5A"/>
          <w:sz w:val="20"/>
          <w:szCs w:val="20"/>
        </w:rPr>
        <w:t xml:space="preserve">“security is handled by IT, alongside 20 other jobs” · “vendor questionnaires create panic” · “200+ questions” · “everybody lies on these” · “hundreds of hours” · “a stack of disconnected tools” · “a longer to-do list” · “brutal rabbit hole” · “$50K–$100K and 6–9 months” · “scrambling later” · “target-rich, resource-poor” · “I’m a founder, not a compliance expert” · “we never got farther than talk” (ITIL/TOGAF) · “bailing out the Titanic with a teaspoon” · “70 consultant hours” at a 200-person company · “compliance is a way bigger driver than recognized risk” · “whoever is online” is the incident-response team · “nobody outside security knows what Level 3 maturity means” · the watermelon effect: green dashboards, red inside · “we do carry insurance” instead of detection.</w:t>
      </w:r>
    </w:p>
    <w:p>
      <w:pPr>
        <w:pStyle w:val="Heading3"/>
        <w:keepNext/>
        <w:spacing w:after="80" w:before="240"/>
      </w:pPr>
      <w:r>
        <w:rPr>
          <w:rFonts w:ascii="Calibri" w:cs="Calibri" w:eastAsia="Calibri" w:hAnsi="Calibri"/>
          <w:b/>
          <w:bCs/>
          <w:color w:val="14202E"/>
          <w:sz w:val="22"/>
          <w:szCs w:val="22"/>
        </w:rPr>
        <w:t xml:space="preserve">5.3  On the skepticism you must disarm</w:t>
      </w:r>
    </w:p>
    <w:p>
      <w:pPr>
        <w:spacing w:after="120" w:before="0" w:line="276"/>
      </w:pPr>
      <w:r>
        <w:rPr>
          <w:rFonts w:ascii="Calibri" w:cs="Calibri" w:eastAsia="Calibri" w:hAnsi="Calibri"/>
          <w:color w:val="3D4A5A"/>
          <w:sz w:val="20"/>
          <w:szCs w:val="20"/>
        </w:rPr>
        <w:t xml:space="preserve">“expensive checkbox exercise” · “compliance theater” · “racket” / “audit mafia” · “box-checking” · “Compliance ≠ Security” · “paper compliance” · “nobody asked how” · “one click away” · “burdensome red tape-driven check-the-box” · “Chief Incident Scapegoat Officer” · “the board doesn’t understand” · “management underestimates security risks” · “policy is not a control.”</w:t>
      </w:r>
    </w:p>
    <w:p>
      <w:pPr>
        <w:pStyle w:val="Heading3"/>
        <w:keepNext/>
        <w:spacing w:after="80" w:before="240"/>
      </w:pPr>
      <w:r>
        <w:rPr>
          <w:rFonts w:ascii="Calibri" w:cs="Calibri" w:eastAsia="Calibri" w:hAnsi="Calibri"/>
          <w:b/>
          <w:bCs/>
          <w:color w:val="14202E"/>
          <w:sz w:val="22"/>
          <w:szCs w:val="22"/>
        </w:rPr>
        <w:t xml:space="preserve">5.4  What they say they want</w:t>
      </w:r>
    </w:p>
    <w:p>
      <w:pPr>
        <w:spacing w:after="120" w:before="0" w:line="276"/>
      </w:pPr>
      <w:r>
        <w:rPr>
          <w:rFonts w:ascii="Calibri" w:cs="Calibri" w:eastAsia="Calibri" w:hAnsi="Calibri"/>
          <w:color w:val="3D4A5A"/>
          <w:sz w:val="20"/>
          <w:szCs w:val="20"/>
        </w:rPr>
        <w:t xml:space="preserve">“someone accountable” · “tell me what I don’t have to do” · “a company that has done it before” · “transparent pricing” · “pay for the better auditors” · “it’s execution that produces value” · “pragmatic about what we can tackle today” · “coach, not sheriff” · “make autonomy auditable” · “evidence that the controls actually work” · “time to low risk”: months, cost, who, how measured · “sell outcomes, not hours” · “a security MSP is an absolute must.”</w:t>
      </w:r>
    </w:p>
    <w:p>
      <w:r>
        <w:br w:type="page"/>
      </w:r>
    </w:p>
    <w:p>
      <w:pPr>
        <w:spacing w:after="40" w:before="200"/>
      </w:pPr>
      <w:r>
        <w:rPr>
          <w:rFonts w:ascii="Calibri" w:cs="Calibri" w:eastAsia="Calibri" w:hAnsi="Calibri"/>
          <w:b/>
          <w:bCs/>
          <w:color w:val="44A8D9"/>
          <w:sz w:val="18"/>
          <w:szCs w:val="18"/>
        </w:rPr>
        <w:t xml:space="preserve">PART II</w:t>
      </w:r>
    </w:p>
    <w:p>
      <w:pPr>
        <w:pStyle w:val="Heading1"/>
        <w:spacing w:after="120" w:before="0"/>
      </w:pPr>
      <w:r>
        <w:rPr>
          <w:rFonts w:ascii="Calibri" w:cs="Calibri" w:eastAsia="Calibri" w:hAnsi="Calibri"/>
          <w:b/>
          <w:bCs/>
          <w:color w:val="14202E"/>
          <w:sz w:val="40"/>
          <w:szCs w:val="40"/>
        </w:rPr>
        <w:t xml:space="preserve">The Customer</w:t>
      </w:r>
    </w:p>
    <w:p>
      <w:pPr>
        <w:spacing w:after="200" w:before="0" w:line="276"/>
      </w:pPr>
      <w:r>
        <w:rPr>
          <w:rFonts w:ascii="Calibri" w:cs="Calibri" w:eastAsia="Calibri" w:hAnsi="Calibri"/>
          <w:color w:val="3D4A5A"/>
          <w:sz w:val="21"/>
          <w:szCs w:val="21"/>
        </w:rPr>
        <w:t xml:space="preserve">3HUE’s best customer is a company that has just been told to prove it by someone with leverage — and has nobody inside to do it. This part is the qualification instrument, not a persona poster.</w:t>
      </w:r>
    </w:p>
    <w:p>
      <w:pPr>
        <w:pBdr>
          <w:bottom w:val="single" w:color="D3DCE6" w:sz="6" w:space="1"/>
        </w:pBdr>
        <w:spacing w:after="160" w:before="0"/>
      </w:pPr>
      <w:r>
        <w:rPr>
          <w:rFonts w:ascii="Calibri" w:cs="Calibri" w:eastAsia="Calibri" w:hAnsi="Calibri"/>
          <w:color w:val="3D4A5A"/>
          <w:sz w:val="2"/>
          <w:szCs w:val="2"/>
        </w:rPr>
        <w:t xml:space="preserve"/>
      </w:r>
    </w:p>
    <w:p>
      <w:pPr>
        <w:pStyle w:val="Heading2"/>
        <w:keepNext/>
        <w:spacing w:after="40" w:before="340"/>
      </w:pPr>
      <w:r>
        <w:rPr>
          <w:rFonts w:ascii="Calibri" w:cs="Calibri" w:eastAsia="Calibri" w:hAnsi="Calibri"/>
          <w:b/>
          <w:bCs/>
          <w:color w:val="2F86B3"/>
          <w:sz w:val="28"/>
          <w:szCs w:val="28"/>
        </w:rPr>
        <w:t xml:space="preserve">6. The three segments</w:t>
      </w:r>
    </w:p>
    <w:p>
      <w:pPr>
        <w:keepNext/>
        <w:spacing w:after="140" w:before="0" w:line="276"/>
      </w:pPr>
      <w:r>
        <w:rPr>
          <w:rFonts w:ascii="Calibri" w:cs="Calibri" w:eastAsia="Calibri" w:hAnsi="Calibri"/>
          <w:i/>
          <w:iCs/>
          <w:color w:val="6B7A8C"/>
          <w:sz w:val="19"/>
          <w:szCs w:val="19"/>
        </w:rPr>
        <w:t xml:space="preserve">Ranked by where effort should go, not by deal size. Each is a different trigger, a different buyer and a different first sentence — but the same underlying product.</w:t>
      </w:r>
    </w:p>
    <w:tbl>
      <w:tblPr>
        <w:tblW w:type="dxa" w:w="10080"/>
        <w:tblBorders>
          <w:top w:val="single" w:color="D3DCE6" w:sz="2"/>
          <w:left w:val="none"/>
          <w:bottom w:val="single" w:color="D3DCE6" w:sz="2"/>
          <w:right w:val="none"/>
          <w:insideH w:val="single" w:color="D3DCE6" w:sz="2"/>
          <w:insideV w:val="none"/>
        </w:tblBorders>
      </w:tblPr>
      <w:tblGrid>
        <w:gridCol w:w="1008"/>
        <w:gridCol w:w="2419"/>
        <w:gridCol w:w="5242"/>
        <w:gridCol w:w="1411"/>
      </w:tblGrid>
      <w:tr>
        <w:trPr>
          <w:cantSplit/>
          <w:tblHeader/>
        </w:trPr>
        <w:tc>
          <w:tcPr>
            <w:tcW w:type="dxa" w:w="1008"/>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
            </w:r>
          </w:p>
        </w:tc>
        <w:tc>
          <w:tcPr>
            <w:tcW w:type="dxa" w:w="2419"/>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Segment</w:t>
            </w:r>
          </w:p>
        </w:tc>
        <w:tc>
          <w:tcPr>
            <w:tcW w:type="dxa" w:w="5242"/>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Who they are</w:t>
            </w:r>
          </w:p>
        </w:tc>
        <w:tc>
          <w:tcPr>
            <w:tcW w:type="dxa" w:w="1411"/>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jc w:val="center"/>
            </w:pPr>
            <w:r>
              <w:rPr>
                <w:rFonts w:ascii="Calibri" w:cs="Calibri" w:eastAsia="Calibri" w:hAnsi="Calibri"/>
                <w:b/>
                <w:bCs/>
                <w:color w:val="6B7A8C"/>
                <w:sz w:val="16"/>
                <w:szCs w:val="16"/>
              </w:rPr>
              <w:t xml:space="preserve">Share of effort</w:t>
            </w:r>
          </w:p>
        </w:tc>
      </w:tr>
      <w:tr>
        <w:trPr>
          <w:cantSplit/>
        </w:trPr>
        <w:tc>
          <w:tcPr>
            <w:tcW w:type="dxa" w:w="100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2F86B3"/>
                <w:sz w:val="18"/>
                <w:szCs w:val="18"/>
              </w:rPr>
              <w:t xml:space="preserve">HUE 01</w:t>
            </w:r>
          </w:p>
        </w:tc>
        <w:tc>
          <w:tcPr>
            <w:tcW w:type="dxa" w:w="241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The Provable Vendor</w:t>
            </w:r>
          </w:p>
        </w:tc>
        <w:tc>
          <w:tcPr>
            <w:tcW w:type="dxa" w:w="5242"/>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Software and tech-enabled services companies whose next contract depends on evidence they cannot currently produce.</w:t>
            </w:r>
          </w:p>
        </w:tc>
        <w:tc>
          <w:tcPr>
            <w:tcW w:type="dxa" w:w="141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center"/>
            </w:pPr>
            <w:r>
              <w:rPr>
                <w:rFonts w:ascii="Calibri" w:cs="Calibri" w:eastAsia="Calibri" w:hAnsi="Calibri"/>
                <w:color w:val="3D4A5A"/>
                <w:sz w:val="18"/>
                <w:szCs w:val="18"/>
              </w:rPr>
              <w:t xml:space="preserve">≈60%</w:t>
            </w:r>
          </w:p>
        </w:tc>
      </w:tr>
      <w:tr>
        <w:trPr>
          <w:cantSplit/>
        </w:trPr>
        <w:tc>
          <w:tcPr>
            <w:tcW w:type="dxa" w:w="1008"/>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2F86B3"/>
                <w:sz w:val="18"/>
                <w:szCs w:val="18"/>
              </w:rPr>
              <w:t xml:space="preserve">HUE 02</w:t>
            </w:r>
          </w:p>
        </w:tc>
        <w:tc>
          <w:tcPr>
            <w:tcW w:type="dxa" w:w="2419"/>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The Portfolio</w:t>
            </w:r>
          </w:p>
        </w:tc>
        <w:tc>
          <w:tcPr>
            <w:tcW w:type="dxa" w:w="5242"/>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Sub-$25B private equity sponsors and family offices carrying cyber risk across operating companies with no standard.</w:t>
            </w:r>
          </w:p>
        </w:tc>
        <w:tc>
          <w:tcPr>
            <w:tcW w:type="dxa" w:w="1411"/>
            <w:tcBorders>
              <w:top w:val="single" w:color="D3DCE6" w:sz="2"/>
              <w:left w:val="none"/>
              <w:bottom w:val="single" w:color="D3DCE6" w:sz="2"/>
              <w:right w:val="none"/>
            </w:tcBorders>
            <w:tcMar>
              <w:top w:type="dxa" w:w="70"/>
              <w:left w:type="dxa" w:w="100"/>
              <w:bottom w:type="dxa" w:w="70"/>
              <w:right w:type="dxa" w:w="100"/>
            </w:tcMar>
          </w:tcPr>
          <w:p>
            <w:pPr>
              <w:spacing w:after="0" w:before="0" w:line="250"/>
              <w:jc w:val="center"/>
            </w:pPr>
            <w:r>
              <w:rPr>
                <w:rFonts w:ascii="Calibri" w:cs="Calibri" w:eastAsia="Calibri" w:hAnsi="Calibri"/>
                <w:color w:val="3D4A5A"/>
                <w:sz w:val="18"/>
                <w:szCs w:val="18"/>
              </w:rPr>
              <w:t xml:space="preserve">≈25%</w:t>
            </w:r>
          </w:p>
        </w:tc>
      </w:tr>
      <w:tr>
        <w:trPr>
          <w:cantSplit/>
        </w:trPr>
        <w:tc>
          <w:tcPr>
            <w:tcW w:type="dxa" w:w="100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2F86B3"/>
                <w:sz w:val="18"/>
                <w:szCs w:val="18"/>
              </w:rPr>
              <w:t xml:space="preserve">HUE 03</w:t>
            </w:r>
          </w:p>
        </w:tc>
        <w:tc>
          <w:tcPr>
            <w:tcW w:type="dxa" w:w="241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The Regulated Operator</w:t>
            </w:r>
          </w:p>
        </w:tc>
        <w:tc>
          <w:tcPr>
            <w:tcW w:type="dxa" w:w="5242"/>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Banks, credit unions, lenders and OT-heavy operators with governance on paper and an examiner in the building.</w:t>
            </w:r>
          </w:p>
        </w:tc>
        <w:tc>
          <w:tcPr>
            <w:tcW w:type="dxa" w:w="141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center"/>
            </w:pPr>
            <w:r>
              <w:rPr>
                <w:rFonts w:ascii="Calibri" w:cs="Calibri" w:eastAsia="Calibri" w:hAnsi="Calibri"/>
                <w:color w:val="3D4A5A"/>
                <w:sz w:val="18"/>
                <w:szCs w:val="18"/>
              </w:rPr>
              <w:t xml:space="preserve">≈15%</w:t>
            </w:r>
          </w:p>
        </w:tc>
      </w:tr>
    </w:tbl>
    <w:p>
      <w:pPr>
        <w:spacing w:after="180" w:before="0" w:line="276"/>
      </w:pPr>
      <w:r>
        <w:rPr>
          <w:rFonts w:ascii="Calibri" w:cs="Calibri" w:eastAsia="Calibri" w:hAnsi="Calibri"/>
          <w:color w:val="3D4A5A"/>
          <w:sz w:val="8"/>
          <w:szCs w:val="8"/>
        </w:rPr>
        <w:t xml:space="preserve"/>
      </w:r>
    </w:p>
    <w:p>
      <w:pPr>
        <w:spacing w:after="160" w:before="0" w:line="276"/>
      </w:pPr>
      <w:r>
        <w:rPr>
          <w:rFonts w:ascii="Calibri" w:cs="Calibri" w:eastAsia="Calibri" w:hAnsi="Calibri"/>
          <w:i/>
          <w:iCs/>
          <w:color w:val="6B7A8C"/>
          <w:sz w:val="16"/>
          <w:szCs w:val="16"/>
        </w:rPr>
        <w:t xml:space="preserve">The segments and triggers are evidence-backed. The revenue bands and the 60/25/15 split are judgment calls, to be corrected against 3HUE’s own won-lost data once it exists.</w:t>
      </w:r>
    </w:p>
    <w:p>
      <w:pPr>
        <w:pStyle w:val="Heading3"/>
        <w:keepNext/>
        <w:spacing w:after="80" w:before="240"/>
      </w:pPr>
      <w:r>
        <w:rPr>
          <w:rFonts w:ascii="Calibri" w:cs="Calibri" w:eastAsia="Calibri" w:hAnsi="Calibri"/>
          <w:b/>
          <w:bCs/>
          <w:color w:val="14202E"/>
          <w:sz w:val="22"/>
          <w:szCs w:val="22"/>
        </w:rPr>
        <w:t xml:space="preserve">6.1  Hue 01 — The Provable Vendor  ·  primary, ≈60% of effort</w:t>
      </w:r>
    </w:p>
    <w:p>
      <w:pPr>
        <w:spacing w:after="120" w:before="0" w:line="276"/>
      </w:pPr>
      <w:r>
        <w:rPr>
          <w:rFonts w:ascii="Calibri" w:cs="Calibri" w:eastAsia="Calibri" w:hAnsi="Calibri"/>
          <w:color w:val="3D4A5A"/>
          <w:sz w:val="20"/>
          <w:szCs w:val="20"/>
        </w:rPr>
        <w:t xml:space="preserve">A US B2B software or tech-enabled services company, 50–500 employees and roughly $10M–$150M revenue, selling into enterprise, healthcare, financial services or public-sector buyers. Multi-cloud or SaaS-heavy. Zero or one security FTE. Frequently VC- or PE-backed. Their product is fine; their evidence is not.</w:t>
      </w:r>
    </w:p>
    <w:p>
      <w:pPr>
        <w:keepNext/>
        <w:spacing w:after="60" w:before="180"/>
      </w:pPr>
      <w:r>
        <w:rPr>
          <w:rFonts w:ascii="Calibri" w:cs="Calibri" w:eastAsia="Calibri" w:hAnsi="Calibri"/>
          <w:b/>
          <w:bCs/>
          <w:color w:val="3D4A5A"/>
          <w:sz w:val="20"/>
          <w:szCs w:val="20"/>
        </w:rPr>
        <w:t xml:space="preserve">What sets them off</w:t>
      </w:r>
    </w:p>
    <w:p>
      <w:pPr>
        <w:pStyle w:val="ListParagraph"/>
        <w:numPr>
          <w:ilvl w:val="0"/>
          <w:numId w:val="1"/>
        </w:numPr>
        <w:spacing w:after="70" w:line="270"/>
      </w:pPr>
      <w:r>
        <w:rPr>
          <w:rFonts w:ascii="Calibri" w:cs="Calibri" w:eastAsia="Calibri" w:hAnsi="Calibri"/>
          <w:color w:val="3D4A5A"/>
          <w:sz w:val="20"/>
          <w:szCs w:val="20"/>
        </w:rPr>
        <w:t xml:space="preserve">A deal or renewal frozen pending SOC 2 Type II or ISO 27001</w:t>
      </w:r>
    </w:p>
    <w:p>
      <w:pPr>
        <w:pStyle w:val="ListParagraph"/>
        <w:numPr>
          <w:ilvl w:val="0"/>
          <w:numId w:val="1"/>
        </w:numPr>
        <w:spacing w:after="70" w:line="270"/>
      </w:pPr>
      <w:r>
        <w:rPr>
          <w:rFonts w:ascii="Calibri" w:cs="Calibri" w:eastAsia="Calibri" w:hAnsi="Calibri"/>
          <w:color w:val="3D4A5A"/>
          <w:sz w:val="20"/>
          <w:szCs w:val="20"/>
        </w:rPr>
        <w:t xml:space="preserve">A 200-question security questionnaire with a due date</w:t>
      </w:r>
    </w:p>
    <w:p>
      <w:pPr>
        <w:pStyle w:val="ListParagraph"/>
        <w:numPr>
          <w:ilvl w:val="0"/>
          <w:numId w:val="1"/>
        </w:numPr>
        <w:spacing w:after="70" w:line="270"/>
      </w:pPr>
      <w:r>
        <w:rPr>
          <w:rFonts w:ascii="Calibri" w:cs="Calibri" w:eastAsia="Calibri" w:hAnsi="Calibri"/>
          <w:color w:val="3D4A5A"/>
          <w:sz w:val="20"/>
          <w:szCs w:val="20"/>
        </w:rPr>
        <w:t xml:space="preserve">A customer asking how they govern AI in the product</w:t>
      </w:r>
    </w:p>
    <w:p>
      <w:pPr>
        <w:pStyle w:val="ListParagraph"/>
        <w:numPr>
          <w:ilvl w:val="0"/>
          <w:numId w:val="1"/>
        </w:numPr>
        <w:spacing w:after="70" w:line="270"/>
      </w:pPr>
      <w:r>
        <w:rPr>
          <w:rFonts w:ascii="Calibri" w:cs="Calibri" w:eastAsia="Calibri" w:hAnsi="Calibri"/>
          <w:color w:val="3D4A5A"/>
          <w:sz w:val="20"/>
          <w:szCs w:val="20"/>
        </w:rPr>
        <w:t xml:space="preserve">An insurance renewal with new control conditions</w:t>
      </w:r>
    </w:p>
    <w:p>
      <w:pPr>
        <w:pStyle w:val="ListParagraph"/>
        <w:numPr>
          <w:ilvl w:val="0"/>
          <w:numId w:val="1"/>
        </w:numPr>
        <w:spacing w:after="70" w:line="270"/>
      </w:pPr>
      <w:r>
        <w:rPr>
          <w:rFonts w:ascii="Calibri" w:cs="Calibri" w:eastAsia="Calibri" w:hAnsi="Calibri"/>
          <w:color w:val="3D4A5A"/>
          <w:sz w:val="20"/>
          <w:szCs w:val="20"/>
        </w:rPr>
        <w:t xml:space="preserve">Diligence ahead of a raise or an acquisition</w:t>
      </w:r>
    </w:p>
    <w:p>
      <w:pPr>
        <w:keepNext/>
        <w:spacing w:after="60" w:before="180"/>
      </w:pPr>
      <w:r>
        <w:rPr>
          <w:rFonts w:ascii="Calibri" w:cs="Calibri" w:eastAsia="Calibri" w:hAnsi="Calibri"/>
          <w:b/>
          <w:bCs/>
          <w:color w:val="3D4A5A"/>
          <w:sz w:val="20"/>
          <w:szCs w:val="20"/>
        </w:rPr>
        <w:t xml:space="preserve">Who is in the room</w:t>
      </w:r>
    </w:p>
    <w:p>
      <w:pPr>
        <w:spacing w:after="120" w:before="0" w:line="276"/>
      </w:pPr>
      <w:r>
        <w:rPr>
          <w:rFonts w:ascii="Calibri" w:cs="Calibri" w:eastAsia="Calibri" w:hAnsi="Calibri"/>
          <w:color w:val="3D4A5A"/>
          <w:sz w:val="20"/>
          <w:szCs w:val="20"/>
        </w:rPr>
        <w:t xml:space="preserve">Signs: CEO or COO. Champions: CTO or VP Engineering, and increasingly the Head of Sales whose deal is blocked. Influences: the lead investor, outside counsel, the insurance broker. There is usually no CISO to sell to — which is the point.</w:t>
      </w:r>
    </w:p>
    <w:p>
      <w:pPr>
        <w:keepNext/>
        <w:spacing w:after="60" w:before="180"/>
      </w:pPr>
      <w:r>
        <w:rPr>
          <w:rFonts w:ascii="Calibri" w:cs="Calibri" w:eastAsia="Calibri" w:hAnsi="Calibri"/>
          <w:b/>
          <w:bCs/>
          <w:color w:val="3D4A5A"/>
          <w:sz w:val="20"/>
          <w:szCs w:val="20"/>
        </w:rPr>
        <w:t xml:space="preserve">What 3HUE sells them</w:t>
      </w:r>
    </w:p>
    <w:p>
      <w:pPr>
        <w:spacing w:after="120" w:before="0" w:line="276"/>
      </w:pPr>
      <w:r>
        <w:rPr>
          <w:rFonts w:ascii="Calibri" w:cs="Calibri" w:eastAsia="Calibri" w:hAnsi="Calibri"/>
          <w:color w:val="3D4A5A"/>
          <w:sz w:val="20"/>
          <w:szCs w:val="20"/>
        </w:rPr>
        <w:t xml:space="preserve">Snapshot scoped to the actual obligation → readiness program with continuous evidence on AiVRIC → managed program with questionnaire ownership and auditor management. The differentiator is scope negotiation: telling them what they don’t have to do.</w:t>
      </w:r>
    </w:p>
    <w:p>
      <w:pPr>
        <w:keepNext/>
        <w:spacing w:after="60" w:before="180"/>
      </w:pPr>
      <w:r>
        <w:rPr>
          <w:rFonts w:ascii="Calibri" w:cs="Calibri" w:eastAsia="Calibri" w:hAnsi="Calibri"/>
          <w:b/>
          <w:bCs/>
          <w:color w:val="3D4A5A"/>
          <w:sz w:val="20"/>
          <w:szCs w:val="20"/>
        </w:rPr>
        <w:t xml:space="preserve">Proof 3HUE already owns</w:t>
      </w:r>
    </w:p>
    <w:p>
      <w:pPr>
        <w:spacing w:after="120" w:before="0" w:line="276"/>
      </w:pPr>
      <w:r>
        <w:rPr>
          <w:rFonts w:ascii="Calibri" w:cs="Calibri" w:eastAsia="Calibri" w:hAnsi="Calibri"/>
          <w:color w:val="3D4A5A"/>
          <w:sz w:val="20"/>
          <w:szCs w:val="20"/>
        </w:rPr>
        <w:t xml:space="preserve">Transit Technologies is this exact story: no formal security program, then SOC 2 Type I with zero findings and multi-entity Type II across a software portfolio. That case study should be the segment’s landing page.</w:t>
      </w:r>
    </w:p>
    <w:p>
      <w:pPr>
        <w:pStyle w:val="Heading3"/>
        <w:keepNext/>
        <w:spacing w:after="80" w:before="240"/>
      </w:pPr>
      <w:r>
        <w:rPr>
          <w:rFonts w:ascii="Calibri" w:cs="Calibri" w:eastAsia="Calibri" w:hAnsi="Calibri"/>
          <w:b/>
          <w:bCs/>
          <w:color w:val="14202E"/>
          <w:sz w:val="22"/>
          <w:szCs w:val="22"/>
        </w:rPr>
        <w:t xml:space="preserve">6.2  Hue 02 — The Portfolio  ·  leverage, ≈25% of effort</w:t>
      </w:r>
    </w:p>
    <w:p>
      <w:pPr>
        <w:spacing w:after="120" w:before="0" w:line="276"/>
      </w:pPr>
      <w:r>
        <w:rPr>
          <w:rFonts w:ascii="Calibri" w:cs="Calibri" w:eastAsia="Calibri" w:hAnsi="Calibri"/>
          <w:color w:val="3D4A5A"/>
          <w:sz w:val="20"/>
          <w:szCs w:val="20"/>
        </w:rPr>
        <w:t xml:space="preserve">Private equity sponsors and family offices below $25B AUM, holding five to thirty lower-middle-market operating companies. Kroll’s 2026 survey found firms above $25B include cybersecurity in transaction diligence 81% of the time — and firms below $25B only 29%. That 52-point gap is the entire opportunity, and those portfolios are full of Hue 01 companies.</w:t>
      </w:r>
    </w:p>
    <w:p>
      <w:pPr>
        <w:keepNext/>
        <w:spacing w:after="60" w:before="180"/>
      </w:pPr>
      <w:r>
        <w:rPr>
          <w:rFonts w:ascii="Calibri" w:cs="Calibri" w:eastAsia="Calibri" w:hAnsi="Calibri"/>
          <w:b/>
          <w:bCs/>
          <w:color w:val="3D4A5A"/>
          <w:sz w:val="20"/>
          <w:szCs w:val="20"/>
        </w:rPr>
        <w:t xml:space="preserve">What sets them off</w:t>
      </w:r>
    </w:p>
    <w:p>
      <w:pPr>
        <w:pStyle w:val="ListParagraph"/>
        <w:numPr>
          <w:ilvl w:val="0"/>
          <w:numId w:val="1"/>
        </w:numPr>
        <w:spacing w:after="70" w:line="270"/>
      </w:pPr>
      <w:r>
        <w:rPr>
          <w:rFonts w:ascii="Calibri" w:cs="Calibri" w:eastAsia="Calibri" w:hAnsi="Calibri"/>
          <w:color w:val="3D4A5A"/>
          <w:sz w:val="20"/>
          <w:szCs w:val="20"/>
        </w:rPr>
        <w:t xml:space="preserve">A new platform acquisition entering diligence</w:t>
      </w:r>
    </w:p>
    <w:p>
      <w:pPr>
        <w:pStyle w:val="ListParagraph"/>
        <w:numPr>
          <w:ilvl w:val="0"/>
          <w:numId w:val="1"/>
        </w:numPr>
        <w:spacing w:after="70" w:line="270"/>
      </w:pPr>
      <w:r>
        <w:rPr>
          <w:rFonts w:ascii="Calibri" w:cs="Calibri" w:eastAsia="Calibri" w:hAnsi="Calibri"/>
          <w:color w:val="3D4A5A"/>
          <w:sz w:val="20"/>
          <w:szCs w:val="20"/>
        </w:rPr>
        <w:t xml:space="preserve">Exit preparation, where a cyber finding becomes a valuation haircut</w:t>
      </w:r>
    </w:p>
    <w:p>
      <w:pPr>
        <w:pStyle w:val="ListParagraph"/>
        <w:numPr>
          <w:ilvl w:val="0"/>
          <w:numId w:val="1"/>
        </w:numPr>
        <w:spacing w:after="70" w:line="270"/>
      </w:pPr>
      <w:r>
        <w:rPr>
          <w:rFonts w:ascii="Calibri" w:cs="Calibri" w:eastAsia="Calibri" w:hAnsi="Calibri"/>
          <w:color w:val="3D4A5A"/>
          <w:sz w:val="20"/>
          <w:szCs w:val="20"/>
        </w:rPr>
        <w:t xml:space="preserve">An incident at one portfolio company</w:t>
      </w:r>
    </w:p>
    <w:p>
      <w:pPr>
        <w:pStyle w:val="ListParagraph"/>
        <w:numPr>
          <w:ilvl w:val="0"/>
          <w:numId w:val="1"/>
        </w:numPr>
        <w:spacing w:after="70" w:line="270"/>
      </w:pPr>
      <w:r>
        <w:rPr>
          <w:rFonts w:ascii="Calibri" w:cs="Calibri" w:eastAsia="Calibri" w:hAnsi="Calibri"/>
          <w:color w:val="3D4A5A"/>
          <w:sz w:val="20"/>
          <w:szCs w:val="20"/>
        </w:rPr>
        <w:t xml:space="preserve">A lender or insurer imposing conditions across the fund</w:t>
      </w:r>
    </w:p>
    <w:p>
      <w:pPr>
        <w:pStyle w:val="ListParagraph"/>
        <w:numPr>
          <w:ilvl w:val="0"/>
          <w:numId w:val="1"/>
        </w:numPr>
        <w:spacing w:after="70" w:line="270"/>
      </w:pPr>
      <w:r>
        <w:rPr>
          <w:rFonts w:ascii="Calibri" w:cs="Calibri" w:eastAsia="Calibri" w:hAnsi="Calibri"/>
          <w:color w:val="3D4A5A"/>
          <w:sz w:val="20"/>
          <w:szCs w:val="20"/>
        </w:rPr>
        <w:t xml:space="preserve">An LP asking what the fund’s cyber posture actually is</w:t>
      </w:r>
    </w:p>
    <w:p>
      <w:pPr>
        <w:keepNext/>
        <w:spacing w:after="60" w:before="180"/>
      </w:pPr>
      <w:r>
        <w:rPr>
          <w:rFonts w:ascii="Calibri" w:cs="Calibri" w:eastAsia="Calibri" w:hAnsi="Calibri"/>
          <w:b/>
          <w:bCs/>
          <w:color w:val="3D4A5A"/>
          <w:sz w:val="20"/>
          <w:szCs w:val="20"/>
        </w:rPr>
        <w:t xml:space="preserve">What 3HUE sells them</w:t>
      </w:r>
    </w:p>
    <w:p>
      <w:pPr>
        <w:spacing w:after="120" w:before="0" w:line="276"/>
      </w:pPr>
      <w:r>
        <w:rPr>
          <w:rFonts w:ascii="Calibri" w:cs="Calibri" w:eastAsia="Calibri" w:hAnsi="Calibri"/>
          <w:color w:val="3D4A5A"/>
          <w:sz w:val="20"/>
          <w:szCs w:val="20"/>
        </w:rPr>
        <w:t xml:space="preserve">Diligence-grade assessment per acquisition, one control set applied across every entity, quarterly board- and IC-ready reporting, and AiVRIC multi-tenant underneath so each company is isolated but the fund sees one view. Priced per entity with a fund-level retainer.</w:t>
      </w:r>
    </w:p>
    <w:p>
      <w:pPr>
        <w:spacing w:after="120" w:before="0" w:line="276"/>
      </w:pPr>
      <w:r>
        <w:rPr>
          <w:rFonts w:ascii="Calibri" w:cs="Calibri" w:eastAsia="Calibri" w:hAnsi="Calibri"/>
          <w:b/>
          <w:bCs/>
          <w:color w:val="14202E"/>
          <w:sz w:val="20"/>
          <w:szCs w:val="20"/>
        </w:rPr>
        <w:t xml:space="preserve">Why this segment is worth 25%: </w:t>
      </w:r>
      <w:r>
        <w:rPr>
          <w:rFonts w:ascii="Calibri" w:cs="Calibri" w:eastAsia="Calibri" w:hAnsi="Calibri"/>
          <w:color w:val="3D4A5A"/>
          <w:sz w:val="20"/>
          <w:szCs w:val="20"/>
        </w:rPr>
        <w:t xml:space="preserve">one sponsor relationship converts into many logos and a standing engagement, and it puts 3HUE upstream of the Hue 01 companies rather than competing for them one at a time. It is also the segment where “will the policy actually pay?” lands hardest.</w:t>
      </w:r>
    </w:p>
    <w:p>
      <w:pPr>
        <w:pStyle w:val="Heading3"/>
        <w:keepNext/>
        <w:spacing w:after="80" w:before="240"/>
      </w:pPr>
      <w:r>
        <w:rPr>
          <w:rFonts w:ascii="Calibri" w:cs="Calibri" w:eastAsia="Calibri" w:hAnsi="Calibri"/>
          <w:b/>
          <w:bCs/>
          <w:color w:val="14202E"/>
          <w:sz w:val="22"/>
          <w:szCs w:val="22"/>
        </w:rPr>
        <w:t xml:space="preserve">6.3  Hue 03 — The Regulated Operator  ·  credibility, ≈15% of effort</w:t>
      </w:r>
    </w:p>
    <w:p>
      <w:pPr>
        <w:spacing w:after="120" w:before="0" w:line="276"/>
      </w:pPr>
      <w:r>
        <w:rPr>
          <w:rFonts w:ascii="Calibri" w:cs="Calibri" w:eastAsia="Calibri" w:hAnsi="Calibri"/>
          <w:color w:val="3D4A5A"/>
          <w:sz w:val="20"/>
          <w:szCs w:val="20"/>
        </w:rPr>
        <w:t xml:space="preserve">Community and regional banks, credit unions, lenders and fintechs under BSA, GLBA, FFIEC or NYDFS; plus OT-heavy transport, energy and utility operators. Typically 200–2,000 employees. They already have frameworks, policies and a risk register. What they have is findings, an examiner and a date.</w:t>
      </w:r>
    </w:p>
    <w:p>
      <w:pPr>
        <w:keepNext/>
        <w:spacing w:after="60" w:before="180"/>
      </w:pPr>
      <w:r>
        <w:rPr>
          <w:rFonts w:ascii="Calibri" w:cs="Calibri" w:eastAsia="Calibri" w:hAnsi="Calibri"/>
          <w:b/>
          <w:bCs/>
          <w:color w:val="3D4A5A"/>
          <w:sz w:val="20"/>
          <w:szCs w:val="20"/>
        </w:rPr>
        <w:t xml:space="preserve">What sets them off</w:t>
      </w:r>
    </w:p>
    <w:p>
      <w:pPr>
        <w:pStyle w:val="ListParagraph"/>
        <w:numPr>
          <w:ilvl w:val="0"/>
          <w:numId w:val="1"/>
        </w:numPr>
        <w:spacing w:after="70" w:line="270"/>
      </w:pPr>
      <w:r>
        <w:rPr>
          <w:rFonts w:ascii="Calibri" w:cs="Calibri" w:eastAsia="Calibri" w:hAnsi="Calibri"/>
          <w:color w:val="3D4A5A"/>
          <w:sz w:val="20"/>
          <w:szCs w:val="20"/>
        </w:rPr>
        <w:t xml:space="preserve">Exam findings or a Matter Requiring Attention</w:t>
      </w:r>
    </w:p>
    <w:p>
      <w:pPr>
        <w:pStyle w:val="ListParagraph"/>
        <w:numPr>
          <w:ilvl w:val="0"/>
          <w:numId w:val="1"/>
        </w:numPr>
        <w:spacing w:after="70" w:line="270"/>
      </w:pPr>
      <w:r>
        <w:rPr>
          <w:rFonts w:ascii="Calibri" w:cs="Calibri" w:eastAsia="Calibri" w:hAnsi="Calibri"/>
          <w:color w:val="3D4A5A"/>
          <w:sz w:val="20"/>
          <w:szCs w:val="20"/>
        </w:rPr>
        <w:t xml:space="preserve">A third-party audit finding with a remediation clock</w:t>
      </w:r>
    </w:p>
    <w:p>
      <w:pPr>
        <w:pStyle w:val="ListParagraph"/>
        <w:numPr>
          <w:ilvl w:val="0"/>
          <w:numId w:val="1"/>
        </w:numPr>
        <w:spacing w:after="70" w:line="270"/>
      </w:pPr>
      <w:r>
        <w:rPr>
          <w:rFonts w:ascii="Calibri" w:cs="Calibri" w:eastAsia="Calibri" w:hAnsi="Calibri"/>
          <w:color w:val="3D4A5A"/>
          <w:sz w:val="20"/>
          <w:szCs w:val="20"/>
        </w:rPr>
        <w:t xml:space="preserve">A board mandate after a peer’s incident</w:t>
      </w:r>
    </w:p>
    <w:p>
      <w:pPr>
        <w:pStyle w:val="ListParagraph"/>
        <w:numPr>
          <w:ilvl w:val="0"/>
          <w:numId w:val="1"/>
        </w:numPr>
        <w:spacing w:after="70" w:line="270"/>
      </w:pPr>
      <w:r>
        <w:rPr>
          <w:rFonts w:ascii="Calibri" w:cs="Calibri" w:eastAsia="Calibri" w:hAnsi="Calibri"/>
          <w:color w:val="3D4A5A"/>
          <w:sz w:val="20"/>
          <w:szCs w:val="20"/>
        </w:rPr>
        <w:t xml:space="preserve">Model-risk or AI governance obligations (SR 11-7, ISO 42001)</w:t>
      </w:r>
    </w:p>
    <w:p>
      <w:pPr>
        <w:pStyle w:val="ListParagraph"/>
        <w:numPr>
          <w:ilvl w:val="0"/>
          <w:numId w:val="1"/>
        </w:numPr>
        <w:spacing w:after="70" w:line="270"/>
      </w:pPr>
      <w:r>
        <w:rPr>
          <w:rFonts w:ascii="Calibri" w:cs="Calibri" w:eastAsia="Calibri" w:hAnsi="Calibri"/>
          <w:color w:val="3D4A5A"/>
          <w:sz w:val="20"/>
          <w:szCs w:val="20"/>
        </w:rPr>
        <w:t xml:space="preserve">Grid, safety or OT resilience requirements</w:t>
      </w:r>
    </w:p>
    <w:p>
      <w:pPr>
        <w:keepNext/>
        <w:spacing w:after="60" w:before="180"/>
      </w:pPr>
      <w:r>
        <w:rPr>
          <w:rFonts w:ascii="Calibri" w:cs="Calibri" w:eastAsia="Calibri" w:hAnsi="Calibri"/>
          <w:b/>
          <w:bCs/>
          <w:color w:val="3D4A5A"/>
          <w:sz w:val="20"/>
          <w:szCs w:val="20"/>
        </w:rPr>
        <w:t xml:space="preserve">What 3HUE sells them</w:t>
      </w:r>
    </w:p>
    <w:p>
      <w:pPr>
        <w:spacing w:after="120" w:before="0" w:line="276"/>
      </w:pPr>
      <w:r>
        <w:rPr>
          <w:rFonts w:ascii="Calibri" w:cs="Calibri" w:eastAsia="Calibri" w:hAnsi="Calibri"/>
          <w:color w:val="3D4A5A"/>
          <w:sz w:val="20"/>
          <w:szCs w:val="20"/>
        </w:rPr>
        <w:t xml:space="preserve">Named framework crosswalks — NIST CSF and 800-53/171 as the spine, mapped to ISO 27001, COBIT, FFIEC and SOC 2 — continuous controls monitoring to replace point-in-time testing, remediation orchestration that actually closes findings, and board-ready risk translation.</w:t>
      </w:r>
    </w:p>
    <w:tbl>
      <w:tblPr>
        <w:tblW w:type="dxa" w:w="10080"/>
        <w:tblBorders>
          <w:top w:val="none"/>
          <w:left w:val="single" w:color="2F8562" w:sz="18"/>
          <w:bottom w:val="none"/>
          <w:right w:val="none"/>
          <w:insideH w:val="none"/>
          <w:insideV w:val="none"/>
        </w:tblBorders>
      </w:tblPr>
      <w:tblGrid>
        <w:gridCol w:w="10080"/>
      </w:tblGrid>
      <w:tr>
        <w:trPr>
          <w:cantSplit/>
        </w:trPr>
        <w:tc>
          <w:tcPr>
            <w:tcW w:type="dxa" w:w="10080"/>
            <w:tcBorders>
              <w:top w:val="none"/>
              <w:left w:val="none"/>
              <w:bottom w:val="none"/>
              <w:right w:val="none"/>
            </w:tcBorders>
            <w:shd w:fill="EAF4EF" w:color="auto" w:val="clear"/>
            <w:tcMar>
              <w:top w:type="dxa" w:w="130"/>
              <w:left w:type="dxa" w:w="180"/>
              <w:bottom w:type="dxa" w:w="130"/>
              <w:right w:type="dxa" w:w="160"/>
            </w:tcMar>
          </w:tcPr>
          <w:p>
            <w:pPr>
              <w:keepNext/>
              <w:spacing w:after="60" w:before="0" w:line="260"/>
            </w:pPr>
            <w:r>
              <w:rPr>
                <w:rFonts w:ascii="Calibri" w:cs="Calibri" w:eastAsia="Calibri" w:hAnsi="Calibri"/>
                <w:b/>
                <w:bCs/>
                <w:color w:val="2F8562"/>
                <w:sz w:val="19"/>
                <w:szCs w:val="19"/>
              </w:rPr>
              <w:t xml:space="preserve">The framework exception</w:t>
            </w:r>
          </w:p>
          <w:p>
            <w:pPr>
              <w:spacing w:after="40" w:before="0" w:line="265"/>
            </w:pPr>
            <w:r>
              <w:rPr>
                <w:rFonts w:ascii="Calibri" w:cs="Calibri" w:eastAsia="Calibri" w:hAnsi="Calibri"/>
                <w:color w:val="3D4A5A"/>
                <w:sz w:val="19"/>
                <w:szCs w:val="19"/>
              </w:rPr>
              <w:t xml:space="preserve">Everywhere else, leading with NIST, ISO, COBIT or ITIL loses the room. Here it is the examiner’s vocabulary and belongs in the first sentence, the proposal and the RFP response. This is also the only segment where the founder’s résumé outranks any case study.</w:t>
            </w:r>
          </w:p>
        </w:tc>
      </w:tr>
    </w:tbl>
    <w:p>
      <w:pPr>
        <w:pStyle w:val="Heading2"/>
        <w:keepNext/>
        <w:spacing w:after="40" w:before="340"/>
      </w:pPr>
      <w:r>
        <w:rPr>
          <w:rFonts w:ascii="Calibri" w:cs="Calibri" w:eastAsia="Calibri" w:hAnsi="Calibri"/>
          <w:b/>
          <w:bCs/>
          <w:color w:val="2F86B3"/>
          <w:sz w:val="28"/>
          <w:szCs w:val="28"/>
        </w:rPr>
        <w:t xml:space="preserve">7. The fit model</w:t>
      </w:r>
    </w:p>
    <w:p>
      <w:pPr>
        <w:keepNext/>
        <w:spacing w:after="140" w:before="0" w:line="276"/>
      </w:pPr>
      <w:r>
        <w:rPr>
          <w:rFonts w:ascii="Calibri" w:cs="Calibri" w:eastAsia="Calibri" w:hAnsi="Calibri"/>
          <w:i/>
          <w:iCs/>
          <w:color w:val="6B7A8C"/>
          <w:sz w:val="19"/>
          <w:szCs w:val="19"/>
        </w:rPr>
        <w:t xml:space="preserve">Eight criteria, 100 points. The model earns its keep by disqualifying, not by flattering the pipeline.</w:t>
      </w:r>
    </w:p>
    <w:p>
      <w:pPr>
        <w:spacing w:after="120" w:before="0" w:line="276"/>
      </w:pPr>
      <w:r>
        <w:rPr>
          <w:rFonts w:ascii="Calibri" w:cs="Calibri" w:eastAsia="Calibri" w:hAnsi="Calibri"/>
          <w:color w:val="3D4A5A"/>
          <w:sz w:val="20"/>
          <w:szCs w:val="20"/>
        </w:rPr>
        <w:t xml:space="preserve">The first criterion is worth a quarter of the score on its own, because the research is unambiguous: organizations do not buy maturity on principle. They buy it when a customer, an insurer, an investor or a regulator makes them.</w:t>
      </w:r>
    </w:p>
    <w:tbl>
      <w:tblPr>
        <w:tblW w:type="dxa" w:w="10080"/>
        <w:tblBorders>
          <w:top w:val="single" w:color="D3DCE6" w:sz="2"/>
          <w:left w:val="none"/>
          <w:bottom w:val="single" w:color="D3DCE6" w:sz="2"/>
          <w:right w:val="none"/>
          <w:insideH w:val="single" w:color="D3DCE6" w:sz="2"/>
          <w:insideV w:val="none"/>
        </w:tblBorders>
      </w:tblPr>
      <w:tblGrid>
        <w:gridCol w:w="504"/>
        <w:gridCol w:w="2722"/>
        <w:gridCol w:w="706"/>
        <w:gridCol w:w="6149"/>
      </w:tblGrid>
      <w:tr>
        <w:trPr>
          <w:cantSplit/>
          <w:tblHeader/>
        </w:trPr>
        <w:tc>
          <w:tcPr>
            <w:tcW w:type="dxa" w:w="504"/>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w:t>
            </w:r>
          </w:p>
        </w:tc>
        <w:tc>
          <w:tcPr>
            <w:tcW w:type="dxa" w:w="2722"/>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Criterion</w:t>
            </w:r>
          </w:p>
        </w:tc>
        <w:tc>
          <w:tcPr>
            <w:tcW w:type="dxa" w:w="706"/>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Pts</w:t>
            </w:r>
          </w:p>
        </w:tc>
        <w:tc>
          <w:tcPr>
            <w:tcW w:type="dxa" w:w="6149"/>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Scoring</w:t>
            </w:r>
          </w:p>
        </w:tc>
      </w:tr>
      <w:tr>
        <w:trPr>
          <w:cantSplit/>
        </w:trPr>
        <w:tc>
          <w:tcPr>
            <w:tcW w:type="dxa" w:w="504"/>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1</w:t>
            </w:r>
          </w:p>
        </w:tc>
        <w:tc>
          <w:tcPr>
            <w:tcW w:type="dxa" w:w="2722"/>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Is there a live forcing function?</w:t>
            </w:r>
          </w:p>
        </w:tc>
        <w:tc>
          <w:tcPr>
            <w:tcW w:type="dxa" w:w="70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center"/>
            </w:pPr>
            <w:r>
              <w:rPr>
                <w:rFonts w:ascii="Calibri" w:cs="Calibri" w:eastAsia="Calibri" w:hAnsi="Calibri"/>
                <w:color w:val="3D4A5A"/>
                <w:sz w:val="18"/>
                <w:szCs w:val="18"/>
              </w:rPr>
              <w:t xml:space="preserve">25</w:t>
            </w:r>
          </w:p>
        </w:tc>
        <w:tc>
          <w:tcPr>
            <w:tcW w:type="dxa" w:w="614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Named and dated 25 · expected within two quarters 12 · anticipated, no date 4 · none 0. A named deal, renewal, exam, diligence process or insurance date — not a general intention to improve.</w:t>
            </w:r>
          </w:p>
        </w:tc>
      </w:tr>
      <w:tr>
        <w:trPr>
          <w:cantSplit/>
        </w:trPr>
        <w:tc>
          <w:tcPr>
            <w:tcW w:type="dxa" w:w="504"/>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2</w:t>
            </w:r>
          </w:p>
        </w:tc>
        <w:tc>
          <w:tcPr>
            <w:tcW w:type="dxa" w:w="2722"/>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Who owns security today?</w:t>
            </w:r>
          </w:p>
        </w:tc>
        <w:tc>
          <w:tcPr>
            <w:tcW w:type="dxa" w:w="706"/>
            <w:tcBorders>
              <w:top w:val="single" w:color="D3DCE6" w:sz="2"/>
              <w:left w:val="none"/>
              <w:bottom w:val="single" w:color="D3DCE6" w:sz="2"/>
              <w:right w:val="none"/>
            </w:tcBorders>
            <w:tcMar>
              <w:top w:type="dxa" w:w="70"/>
              <w:left w:type="dxa" w:w="100"/>
              <w:bottom w:type="dxa" w:w="70"/>
              <w:right w:type="dxa" w:w="100"/>
            </w:tcMar>
          </w:tcPr>
          <w:p>
            <w:pPr>
              <w:spacing w:after="0" w:before="0" w:line="250"/>
              <w:jc w:val="center"/>
            </w:pPr>
            <w:r>
              <w:rPr>
                <w:rFonts w:ascii="Calibri" w:cs="Calibri" w:eastAsia="Calibri" w:hAnsi="Calibri"/>
                <w:color w:val="3D4A5A"/>
                <w:sz w:val="18"/>
                <w:szCs w:val="18"/>
              </w:rPr>
              <w:t xml:space="preserve">15</w:t>
            </w:r>
          </w:p>
        </w:tc>
        <w:tc>
          <w:tcPr>
            <w:tcW w:type="dxa" w:w="6149"/>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Nobody owns it 15 · IT or the CTO wears the hat 10 · one security or GRC person 6 · CISO with a team 0. A prospect with a CISO and a team does not need 3HUE to run the program.</w:t>
            </w:r>
          </w:p>
        </w:tc>
      </w:tr>
      <w:tr>
        <w:trPr>
          <w:cantSplit/>
        </w:trPr>
        <w:tc>
          <w:tcPr>
            <w:tcW w:type="dxa" w:w="504"/>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3</w:t>
            </w:r>
          </w:p>
        </w:tc>
        <w:tc>
          <w:tcPr>
            <w:tcW w:type="dxa" w:w="2722"/>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Can we reach the person who signs?</w:t>
            </w:r>
          </w:p>
        </w:tc>
        <w:tc>
          <w:tcPr>
            <w:tcW w:type="dxa" w:w="70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center"/>
            </w:pPr>
            <w:r>
              <w:rPr>
                <w:rFonts w:ascii="Calibri" w:cs="Calibri" w:eastAsia="Calibri" w:hAnsi="Calibri"/>
                <w:color w:val="3D4A5A"/>
                <w:sz w:val="18"/>
                <w:szCs w:val="18"/>
              </w:rPr>
              <w:t xml:space="preserve">12</w:t>
            </w:r>
          </w:p>
        </w:tc>
        <w:tc>
          <w:tcPr>
            <w:tcW w:type="dxa" w:w="614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Economic buyer engaged 12 · champion only, warm path up 6 · champion only, no path 2 · procurement gatekeeping 0.</w:t>
            </w:r>
          </w:p>
        </w:tc>
      </w:tr>
      <w:tr>
        <w:trPr>
          <w:cantSplit/>
        </w:trPr>
        <w:tc>
          <w:tcPr>
            <w:tcW w:type="dxa" w:w="504"/>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4</w:t>
            </w:r>
          </w:p>
        </w:tc>
        <w:tc>
          <w:tcPr>
            <w:tcW w:type="dxa" w:w="2722"/>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Size and shape</w:t>
            </w:r>
          </w:p>
        </w:tc>
        <w:tc>
          <w:tcPr>
            <w:tcW w:type="dxa" w:w="706"/>
            <w:tcBorders>
              <w:top w:val="single" w:color="D3DCE6" w:sz="2"/>
              <w:left w:val="none"/>
              <w:bottom w:val="single" w:color="D3DCE6" w:sz="2"/>
              <w:right w:val="none"/>
            </w:tcBorders>
            <w:tcMar>
              <w:top w:type="dxa" w:w="70"/>
              <w:left w:type="dxa" w:w="100"/>
              <w:bottom w:type="dxa" w:w="70"/>
              <w:right w:type="dxa" w:w="100"/>
            </w:tcMar>
          </w:tcPr>
          <w:p>
            <w:pPr>
              <w:spacing w:after="0" w:before="0" w:line="250"/>
              <w:jc w:val="center"/>
            </w:pPr>
            <w:r>
              <w:rPr>
                <w:rFonts w:ascii="Calibri" w:cs="Calibri" w:eastAsia="Calibri" w:hAnsi="Calibri"/>
                <w:color w:val="3D4A5A"/>
                <w:sz w:val="18"/>
                <w:szCs w:val="18"/>
              </w:rPr>
              <w:t xml:space="preserve">12</w:t>
            </w:r>
          </w:p>
        </w:tc>
        <w:tc>
          <w:tcPr>
            <w:tcW w:type="dxa" w:w="6149"/>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50–500 staff, or 200–2,000 regulated 12 · 20–49, or 500–2,000 unregulated 7 · 2,000–5,000 3 · under 20 or over 5,000 0.</w:t>
            </w:r>
          </w:p>
        </w:tc>
      </w:tr>
      <w:tr>
        <w:trPr>
          <w:cantSplit/>
        </w:trPr>
        <w:tc>
          <w:tcPr>
            <w:tcW w:type="dxa" w:w="504"/>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5</w:t>
            </w:r>
          </w:p>
        </w:tc>
        <w:tc>
          <w:tcPr>
            <w:tcW w:type="dxa" w:w="2722"/>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Is someone demanding proof?</w:t>
            </w:r>
          </w:p>
        </w:tc>
        <w:tc>
          <w:tcPr>
            <w:tcW w:type="dxa" w:w="70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center"/>
            </w:pPr>
            <w:r>
              <w:rPr>
                <w:rFonts w:ascii="Calibri" w:cs="Calibri" w:eastAsia="Calibri" w:hAnsi="Calibri"/>
                <w:color w:val="3D4A5A"/>
                <w:sz w:val="18"/>
                <w:szCs w:val="18"/>
              </w:rPr>
              <w:t xml:space="preserve">10</w:t>
            </w:r>
          </w:p>
        </w:tc>
        <w:tc>
          <w:tcPr>
            <w:tcW w:type="dxa" w:w="614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Questionnaires and evidence requests routine 10 · occasional 6 · expects them soon 2 · nobody asks 0. Distinct from the trigger: this is the standing pressure.</w:t>
            </w:r>
          </w:p>
        </w:tc>
      </w:tr>
      <w:tr>
        <w:trPr>
          <w:cantSplit/>
        </w:trPr>
        <w:tc>
          <w:tcPr>
            <w:tcW w:type="dxa" w:w="504"/>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6</w:t>
            </w:r>
          </w:p>
        </w:tc>
        <w:tc>
          <w:tcPr>
            <w:tcW w:type="dxa" w:w="2722"/>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Environment complexity</w:t>
            </w:r>
          </w:p>
        </w:tc>
        <w:tc>
          <w:tcPr>
            <w:tcW w:type="dxa" w:w="706"/>
            <w:tcBorders>
              <w:top w:val="single" w:color="D3DCE6" w:sz="2"/>
              <w:left w:val="none"/>
              <w:bottom w:val="single" w:color="D3DCE6" w:sz="2"/>
              <w:right w:val="none"/>
            </w:tcBorders>
            <w:tcMar>
              <w:top w:type="dxa" w:w="70"/>
              <w:left w:type="dxa" w:w="100"/>
              <w:bottom w:type="dxa" w:w="70"/>
              <w:right w:type="dxa" w:w="100"/>
            </w:tcMar>
          </w:tcPr>
          <w:p>
            <w:pPr>
              <w:spacing w:after="0" w:before="0" w:line="250"/>
              <w:jc w:val="center"/>
            </w:pPr>
            <w:r>
              <w:rPr>
                <w:rFonts w:ascii="Calibri" w:cs="Calibri" w:eastAsia="Calibri" w:hAnsi="Calibri"/>
                <w:color w:val="3D4A5A"/>
                <w:sz w:val="18"/>
                <w:szCs w:val="18"/>
              </w:rPr>
              <w:t xml:space="preserve">8</w:t>
            </w:r>
          </w:p>
        </w:tc>
        <w:tc>
          <w:tcPr>
            <w:tcW w:type="dxa" w:w="6149"/>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Multi-cloud, OT, multi-entity or production AI 8 · single cloud, SaaS-heavy 5 · mostly managed SaaS 2 · trivial footprint 0.</w:t>
            </w:r>
          </w:p>
        </w:tc>
      </w:tr>
      <w:tr>
        <w:trPr>
          <w:cantSplit/>
        </w:trPr>
        <w:tc>
          <w:tcPr>
            <w:tcW w:type="dxa" w:w="504"/>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7</w:t>
            </w:r>
          </w:p>
        </w:tc>
        <w:tc>
          <w:tcPr>
            <w:tcW w:type="dxa" w:w="2722"/>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Tools bought, nobody operating them</w:t>
            </w:r>
          </w:p>
        </w:tc>
        <w:tc>
          <w:tcPr>
            <w:tcW w:type="dxa" w:w="70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center"/>
            </w:pPr>
            <w:r>
              <w:rPr>
                <w:rFonts w:ascii="Calibri" w:cs="Calibri" w:eastAsia="Calibri" w:hAnsi="Calibri"/>
                <w:color w:val="3D4A5A"/>
                <w:sz w:val="18"/>
                <w:szCs w:val="18"/>
              </w:rPr>
              <w:t xml:space="preserve">8</w:t>
            </w:r>
          </w:p>
        </w:tc>
        <w:tc>
          <w:tcPr>
            <w:tcW w:type="dxa" w:w="614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Owns a GRC or CSPM platform, nobody runs it 8 · tools bought piecemeal, no owner 4 · no tooling yet 2 · tooling and an operator in place 0. The sharpest wedge in the market.</w:t>
            </w:r>
          </w:p>
        </w:tc>
      </w:tr>
      <w:tr>
        <w:trPr>
          <w:cantSplit/>
        </w:trPr>
        <w:tc>
          <w:tcPr>
            <w:tcW w:type="dxa" w:w="504"/>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8</w:t>
            </w:r>
          </w:p>
        </w:tc>
        <w:tc>
          <w:tcPr>
            <w:tcW w:type="dxa" w:w="2722"/>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Does the work recur?</w:t>
            </w:r>
          </w:p>
        </w:tc>
        <w:tc>
          <w:tcPr>
            <w:tcW w:type="dxa" w:w="706"/>
            <w:tcBorders>
              <w:top w:val="single" w:color="D3DCE6" w:sz="2"/>
              <w:left w:val="none"/>
              <w:bottom w:val="single" w:color="D3DCE6" w:sz="2"/>
              <w:right w:val="none"/>
            </w:tcBorders>
            <w:tcMar>
              <w:top w:type="dxa" w:w="70"/>
              <w:left w:type="dxa" w:w="100"/>
              <w:bottom w:type="dxa" w:w="70"/>
              <w:right w:type="dxa" w:w="100"/>
            </w:tcMar>
          </w:tcPr>
          <w:p>
            <w:pPr>
              <w:spacing w:after="0" w:before="0" w:line="250"/>
              <w:jc w:val="center"/>
            </w:pPr>
            <w:r>
              <w:rPr>
                <w:rFonts w:ascii="Calibri" w:cs="Calibri" w:eastAsia="Calibri" w:hAnsi="Calibri"/>
                <w:color w:val="3D4A5A"/>
                <w:sz w:val="18"/>
                <w:szCs w:val="18"/>
              </w:rPr>
              <w:t xml:space="preserve">10</w:t>
            </w:r>
          </w:p>
        </w:tc>
        <w:tc>
          <w:tcPr>
            <w:tcW w:type="dxa" w:w="6149"/>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Multi-entity or continuous obligation 10 · annual audit cycle ahead 5 · one-off readiness need 2 · project ends and so does the need 0.</w:t>
            </w:r>
          </w:p>
        </w:tc>
      </w:tr>
    </w:tbl>
    <w:p>
      <w:pPr>
        <w:spacing w:after="180" w:before="0" w:line="276"/>
      </w:pPr>
      <w:r>
        <w:rPr>
          <w:rFonts w:ascii="Calibri" w:cs="Calibri" w:eastAsia="Calibri" w:hAnsi="Calibri"/>
          <w:color w:val="3D4A5A"/>
          <w:sz w:val="8"/>
          <w:szCs w:val="8"/>
        </w:rPr>
        <w:t xml:space="preserve"/>
      </w:r>
    </w:p>
    <w:tbl>
      <w:tblPr>
        <w:tblW w:type="dxa" w:w="10080"/>
        <w:tblBorders>
          <w:top w:val="single" w:color="D3DCE6" w:sz="2"/>
          <w:left w:val="none"/>
          <w:bottom w:val="single" w:color="D3DCE6" w:sz="2"/>
          <w:right w:val="none"/>
          <w:insideH w:val="single" w:color="D3DCE6" w:sz="2"/>
          <w:insideV w:val="none"/>
        </w:tblBorders>
      </w:tblPr>
      <w:tblGrid>
        <w:gridCol w:w="2621"/>
        <w:gridCol w:w="1210"/>
        <w:gridCol w:w="6250"/>
      </w:tblGrid>
      <w:tr>
        <w:trPr>
          <w:cantSplit/>
          <w:tblHeader/>
        </w:trPr>
        <w:tc>
          <w:tcPr>
            <w:tcW w:type="dxa" w:w="2621"/>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Tier</w:t>
            </w:r>
          </w:p>
        </w:tc>
        <w:tc>
          <w:tcPr>
            <w:tcW w:type="dxa" w:w="1210"/>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Score</w:t>
            </w:r>
          </w:p>
        </w:tc>
        <w:tc>
          <w:tcPr>
            <w:tcW w:type="dxa" w:w="6250"/>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Play</w:t>
            </w:r>
          </w:p>
        </w:tc>
      </w:tr>
      <w:tr>
        <w:trPr>
          <w:cantSplit/>
        </w:trPr>
        <w:tc>
          <w:tcPr>
            <w:tcW w:type="dxa" w:w="262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2F8562"/>
                <w:sz w:val="18"/>
                <w:szCs w:val="18"/>
              </w:rPr>
              <w:t xml:space="preserve">Tier A — pursue now</w:t>
            </w:r>
          </w:p>
        </w:tc>
        <w:tc>
          <w:tcPr>
            <w:tcW w:type="dxa" w:w="121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70–100</w:t>
            </w:r>
          </w:p>
        </w:tc>
        <w:tc>
          <w:tcPr>
            <w:tcW w:type="dxa" w:w="625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Lead with the Snapshot. Scope it to the specific obligation, put a date on the readiness letter, and price against the deal at risk rather than against a tool.</w:t>
            </w:r>
          </w:p>
        </w:tc>
      </w:tr>
      <w:tr>
        <w:trPr>
          <w:cantSplit/>
        </w:trPr>
        <w:tc>
          <w:tcPr>
            <w:tcW w:type="dxa" w:w="262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A8781F"/>
                <w:sz w:val="18"/>
                <w:szCs w:val="18"/>
              </w:rPr>
              <w:t xml:space="preserve">Tier B — nurture to a trigger</w:t>
            </w:r>
          </w:p>
        </w:tc>
        <w:tc>
          <w:tcPr>
            <w:tcW w:type="dxa" w:w="1210"/>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45–69</w:t>
            </w:r>
          </w:p>
        </w:tc>
        <w:tc>
          <w:tcPr>
            <w:tcW w:type="dxa" w:w="6250"/>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Real pain, no forcing event yet. Goes into the trigger-watch list, not the pipeline.</w:t>
            </w:r>
          </w:p>
        </w:tc>
      </w:tr>
      <w:tr>
        <w:trPr>
          <w:cantSplit/>
        </w:trPr>
        <w:tc>
          <w:tcPr>
            <w:tcW w:type="dxa" w:w="262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A4462F"/>
                <w:sz w:val="18"/>
                <w:szCs w:val="18"/>
              </w:rPr>
              <w:t xml:space="preserve">Tier C — decline or refer</w:t>
            </w:r>
          </w:p>
        </w:tc>
        <w:tc>
          <w:tcPr>
            <w:tcW w:type="dxa" w:w="121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0–44</w:t>
            </w:r>
          </w:p>
        </w:tc>
        <w:tc>
          <w:tcPr>
            <w:tcW w:type="dxa" w:w="625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One-off technical help with no executive urgency. Refer it out and keep the calendar clear.</w:t>
            </w:r>
          </w:p>
        </w:tc>
      </w:tr>
    </w:tbl>
    <w:p>
      <w:pPr>
        <w:spacing w:after="180" w:before="0" w:line="276"/>
      </w:pPr>
      <w:r>
        <w:rPr>
          <w:rFonts w:ascii="Calibri" w:cs="Calibri" w:eastAsia="Calibri" w:hAnsi="Calibri"/>
          <w:color w:val="3D4A5A"/>
          <w:sz w:val="8"/>
          <w:szCs w:val="8"/>
        </w:rPr>
        <w:t xml:space="preserve"/>
      </w:r>
    </w:p>
    <w:p>
      <w:pPr>
        <w:pStyle w:val="Heading2"/>
        <w:keepNext/>
        <w:spacing w:after="40" w:before="340"/>
      </w:pPr>
      <w:r>
        <w:rPr>
          <w:rFonts w:ascii="Calibri" w:cs="Calibri" w:eastAsia="Calibri" w:hAnsi="Calibri"/>
          <w:b/>
          <w:bCs/>
          <w:color w:val="2F86B3"/>
          <w:sz w:val="28"/>
          <w:szCs w:val="28"/>
        </w:rPr>
        <w:t xml:space="preserve">8. The buying committee</w:t>
      </w:r>
    </w:p>
    <w:p>
      <w:pPr>
        <w:keepNext/>
        <w:spacing w:after="140" w:before="0" w:line="276"/>
      </w:pPr>
      <w:r>
        <w:rPr>
          <w:rFonts w:ascii="Calibri" w:cs="Calibri" w:eastAsia="Calibri" w:hAnsi="Calibri"/>
          <w:i/>
          <w:iCs/>
          <w:color w:val="6B7A8C"/>
          <w:sz w:val="19"/>
          <w:szCs w:val="19"/>
        </w:rPr>
        <w:t xml:space="preserve">Four roles decide these deals. Each hears a different sentence. The most common failure is pitching the champion’s language to the person who signs.</w:t>
      </w:r>
    </w:p>
    <w:tbl>
      <w:tblPr>
        <w:tblW w:type="dxa" w:w="10080"/>
        <w:tblBorders>
          <w:top w:val="single" w:color="D3DCE6" w:sz="2"/>
          <w:left w:val="none"/>
          <w:bottom w:val="single" w:color="D3DCE6" w:sz="2"/>
          <w:right w:val="none"/>
          <w:insideH w:val="single" w:color="D3DCE6" w:sz="2"/>
          <w:insideV w:val="none"/>
        </w:tblBorders>
      </w:tblPr>
      <w:tblGrid>
        <w:gridCol w:w="1411"/>
        <w:gridCol w:w="1915"/>
        <w:gridCol w:w="2218"/>
        <w:gridCol w:w="2016"/>
        <w:gridCol w:w="2520"/>
      </w:tblGrid>
      <w:tr>
        <w:trPr>
          <w:cantSplit/>
          <w:tblHeader/>
        </w:trPr>
        <w:tc>
          <w:tcPr>
            <w:tcW w:type="dxa" w:w="1411"/>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Role</w:t>
            </w:r>
          </w:p>
        </w:tc>
        <w:tc>
          <w:tcPr>
            <w:tcW w:type="dxa" w:w="1915"/>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Who</w:t>
            </w:r>
          </w:p>
        </w:tc>
        <w:tc>
          <w:tcPr>
            <w:tcW w:type="dxa" w:w="2218"/>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Says</w:t>
            </w:r>
          </w:p>
        </w:tc>
        <w:tc>
          <w:tcPr>
            <w:tcW w:type="dxa" w:w="2016"/>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Fears</w:t>
            </w:r>
          </w:p>
        </w:tc>
        <w:tc>
          <w:tcPr>
            <w:tcW w:type="dxa" w:w="2520"/>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Converts on</w:t>
            </w:r>
          </w:p>
        </w:tc>
      </w:tr>
      <w:tr>
        <w:trPr>
          <w:cantSplit/>
        </w:trPr>
        <w:tc>
          <w:tcPr>
            <w:tcW w:type="dxa" w:w="141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2F86B3"/>
                <w:sz w:val="18"/>
                <w:szCs w:val="18"/>
              </w:rPr>
              <w:t xml:space="preserve">Economic buyer</w:t>
            </w:r>
          </w:p>
        </w:tc>
        <w:tc>
          <w:tcPr>
            <w:tcW w:type="dxa" w:w="1915"/>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CEO or COO of a 50–500 person B2B company</w:t>
            </w:r>
          </w:p>
        </w:tc>
        <w:tc>
          <w:tcPr>
            <w:tcW w:type="dxa" w:w="221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“What does it cost, how long, and does it close the deal?”</w:t>
            </w:r>
          </w:p>
        </w:tc>
        <w:tc>
          <w:tcPr>
            <w:tcW w:type="dxa" w:w="201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Paying $80K for paper. Being the founder who did not take it seriously.</w:t>
            </w:r>
          </w:p>
        </w:tc>
        <w:tc>
          <w:tcPr>
            <w:tcW w:type="dxa" w:w="252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Revenue framing, a fixed-scope start with a date, and the founder on the call rather than a junior team.</w:t>
            </w:r>
          </w:p>
        </w:tc>
      </w:tr>
      <w:tr>
        <w:trPr>
          <w:cantSplit/>
        </w:trPr>
        <w:tc>
          <w:tcPr>
            <w:tcW w:type="dxa" w:w="141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2F86B3"/>
                <w:sz w:val="18"/>
                <w:szCs w:val="18"/>
              </w:rPr>
              <w:t xml:space="preserve">Champion</w:t>
            </w:r>
          </w:p>
        </w:tc>
        <w:tc>
          <w:tcPr>
            <w:tcW w:type="dxa" w:w="1915"/>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CTO or IT Director wearing the security hat alongside 20 other jobs</w:t>
            </w:r>
          </w:p>
        </w:tc>
        <w:tc>
          <w:tcPr>
            <w:tcW w:type="dxa" w:w="2218"/>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“Tell me what we don’t have to do.” And: “Who is actually going to run this?”</w:t>
            </w:r>
          </w:p>
        </w:tc>
        <w:tc>
          <w:tcPr>
            <w:tcW w:type="dxa" w:w="2016"/>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Engineering time burned on audit theater. Being blamed after an incident they flagged.</w:t>
            </w:r>
          </w:p>
        </w:tc>
        <w:tc>
          <w:tcPr>
            <w:tcW w:type="dxa" w:w="2520"/>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Scope reduction, execution rather than advice, and evidence automation that ends the screenshot ritual.</w:t>
            </w:r>
          </w:p>
        </w:tc>
      </w:tr>
      <w:tr>
        <w:trPr>
          <w:cantSplit/>
        </w:trPr>
        <w:tc>
          <w:tcPr>
            <w:tcW w:type="dxa" w:w="141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2F86B3"/>
                <w:sz w:val="18"/>
                <w:szCs w:val="18"/>
              </w:rPr>
              <w:t xml:space="preserve">Trigger owner</w:t>
            </w:r>
          </w:p>
        </w:tc>
        <w:tc>
          <w:tcPr>
            <w:tcW w:type="dxa" w:w="1915"/>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Head of Sales or RevOps holding the procurement email</w:t>
            </w:r>
          </w:p>
        </w:tc>
        <w:tc>
          <w:tcPr>
            <w:tcW w:type="dxa" w:w="221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“We’re losing to a worse product because they seemed more legit.”</w:t>
            </w:r>
          </w:p>
        </w:tc>
        <w:tc>
          <w:tcPr>
            <w:tcW w:type="dxa" w:w="201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The quarter.</w:t>
            </w:r>
          </w:p>
        </w:tc>
        <w:tc>
          <w:tcPr>
            <w:tcW w:type="dxa" w:w="252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A trust page, a managed questionnaire response, and a readiness letter with a date they can send to procurement.</w:t>
            </w:r>
          </w:p>
        </w:tc>
      </w:tr>
      <w:tr>
        <w:trPr>
          <w:cantSplit/>
        </w:trPr>
        <w:tc>
          <w:tcPr>
            <w:tcW w:type="dxa" w:w="141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2F86B3"/>
                <w:sz w:val="18"/>
                <w:szCs w:val="18"/>
              </w:rPr>
              <w:t xml:space="preserve">Portfolio / regulated</w:t>
            </w:r>
          </w:p>
        </w:tc>
        <w:tc>
          <w:tcPr>
            <w:tcW w:type="dxa" w:w="1915"/>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Operating partner, fund CFO, or CIO/CISO/CRO</w:t>
            </w:r>
          </w:p>
        </w:tc>
        <w:tc>
          <w:tcPr>
            <w:tcW w:type="dxa" w:w="2218"/>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“What is our exposure across the portfolio?” And: “Will the policy pay out?”</w:t>
            </w:r>
          </w:p>
        </w:tc>
        <w:tc>
          <w:tcPr>
            <w:tcW w:type="dxa" w:w="2016"/>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A valuation haircut at exit. A finding that will not close. A voided claim.</w:t>
            </w:r>
          </w:p>
        </w:tc>
        <w:tc>
          <w:tcPr>
            <w:tcW w:type="dxa" w:w="2520"/>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One control set across every company, diligence-grade evidence, and reporting a board can read without a translator.</w:t>
            </w:r>
          </w:p>
        </w:tc>
      </w:tr>
    </w:tbl>
    <w:p>
      <w:pPr>
        <w:spacing w:after="180" w:before="0" w:line="276"/>
      </w:pPr>
      <w:r>
        <w:rPr>
          <w:rFonts w:ascii="Calibri" w:cs="Calibri" w:eastAsia="Calibri" w:hAnsi="Calibri"/>
          <w:color w:val="3D4A5A"/>
          <w:sz w:val="8"/>
          <w:szCs w:val="8"/>
        </w:rPr>
        <w:t xml:space="preserve"/>
      </w:r>
    </w:p>
    <w:p>
      <w:pPr>
        <w:pStyle w:val="Heading2"/>
        <w:keepNext/>
        <w:spacing w:after="40" w:before="340"/>
      </w:pPr>
      <w:r>
        <w:rPr>
          <w:rFonts w:ascii="Calibri" w:cs="Calibri" w:eastAsia="Calibri" w:hAnsi="Calibri"/>
          <w:b/>
          <w:bCs/>
          <w:color w:val="2F86B3"/>
          <w:sz w:val="28"/>
          <w:szCs w:val="28"/>
        </w:rPr>
        <w:t xml:space="preserve">9. Trigger events and how to spot them</w:t>
      </w:r>
    </w:p>
    <w:p>
      <w:pPr>
        <w:keepNext/>
        <w:spacing w:after="140" w:before="0" w:line="276"/>
      </w:pPr>
      <w:r>
        <w:rPr>
          <w:rFonts w:ascii="Calibri" w:cs="Calibri" w:eastAsia="Calibri" w:hAnsi="Calibri"/>
          <w:i/>
          <w:iCs/>
          <w:color w:val="6B7A8C"/>
          <w:sz w:val="19"/>
          <w:szCs w:val="19"/>
        </w:rPr>
        <w:t xml:space="preserve">The ICP is a description; the trigger is the timing. These are the six events worth building campaigns and alerts around.</w:t>
      </w:r>
    </w:p>
    <w:tbl>
      <w:tblPr>
        <w:tblW w:type="dxa" w:w="10080"/>
        <w:tblBorders>
          <w:top w:val="single" w:color="D3DCE6" w:sz="2"/>
          <w:left w:val="none"/>
          <w:bottom w:val="single" w:color="D3DCE6" w:sz="2"/>
          <w:right w:val="none"/>
          <w:insideH w:val="single" w:color="D3DCE6" w:sz="2"/>
          <w:insideV w:val="none"/>
        </w:tblBorders>
      </w:tblPr>
      <w:tblGrid>
        <w:gridCol w:w="2218"/>
        <w:gridCol w:w="1109"/>
        <w:gridCol w:w="3427"/>
        <w:gridCol w:w="3326"/>
      </w:tblGrid>
      <w:tr>
        <w:trPr>
          <w:cantSplit/>
          <w:tblHeader/>
        </w:trPr>
        <w:tc>
          <w:tcPr>
            <w:tcW w:type="dxa" w:w="2218"/>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Trigger</w:t>
            </w:r>
          </w:p>
        </w:tc>
        <w:tc>
          <w:tcPr>
            <w:tcW w:type="dxa" w:w="1109"/>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Segment</w:t>
            </w:r>
          </w:p>
        </w:tc>
        <w:tc>
          <w:tcPr>
            <w:tcW w:type="dxa" w:w="3427"/>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Observable signal</w:t>
            </w:r>
          </w:p>
        </w:tc>
        <w:tc>
          <w:tcPr>
            <w:tcW w:type="dxa" w:w="3326"/>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Opening move</w:t>
            </w:r>
          </w:p>
        </w:tc>
      </w:tr>
      <w:tr>
        <w:trPr>
          <w:cantSplit/>
        </w:trPr>
        <w:tc>
          <w:tcPr>
            <w:tcW w:type="dxa" w:w="221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Deal blocked on SOC 2 or ISO 27001</w:t>
            </w:r>
          </w:p>
        </w:tc>
        <w:tc>
          <w:tcPr>
            <w:tcW w:type="dxa" w:w="110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Hue 01</w:t>
            </w:r>
          </w:p>
        </w:tc>
        <w:tc>
          <w:tcPr>
            <w:tcW w:type="dxa" w:w="3427"/>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Selling to enterprise with no trust or security page; a first compliance hire posted; founders posting about questionnaires.</w:t>
            </w:r>
          </w:p>
        </w:tc>
        <w:tc>
          <w:tcPr>
            <w:tcW w:type="dxa" w:w="332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Readiness letter with a date, plus scope negotiation. Price against the deal at risk.</w:t>
            </w:r>
          </w:p>
        </w:tc>
      </w:tr>
      <w:tr>
        <w:trPr>
          <w:cantSplit/>
        </w:trPr>
        <w:tc>
          <w:tcPr>
            <w:tcW w:type="dxa" w:w="2218"/>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Cyber insurance renewal or claim</w:t>
            </w:r>
          </w:p>
        </w:tc>
        <w:tc>
          <w:tcPr>
            <w:tcW w:type="dxa" w:w="1109"/>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All three</w:t>
            </w:r>
          </w:p>
        </w:tc>
        <w:tc>
          <w:tcPr>
            <w:tcW w:type="dxa" w:w="3427"/>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Renewal months are knowable through brokers. Public signals: MFA and EDR job requirements appearing suddenly; an incident at a named peer.</w:t>
            </w:r>
          </w:p>
        </w:tc>
        <w:tc>
          <w:tcPr>
            <w:tcW w:type="dxa" w:w="3326"/>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Attestation audit — compare what the application says to what can actually be demonstrated, before renewal.</w:t>
            </w:r>
          </w:p>
        </w:tc>
      </w:tr>
      <w:tr>
        <w:trPr>
          <w:cantSplit/>
        </w:trPr>
        <w:tc>
          <w:tcPr>
            <w:tcW w:type="dxa" w:w="221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Diligence or exit preparation</w:t>
            </w:r>
          </w:p>
        </w:tc>
        <w:tc>
          <w:tcPr>
            <w:tcW w:type="dxa" w:w="110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Hue 02</w:t>
            </w:r>
          </w:p>
        </w:tc>
        <w:tc>
          <w:tcPr>
            <w:tcW w:type="dxa" w:w="3427"/>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Platform acquisition and add-on announcements from sub-$25B sponsors; a fund hiring its first value-creation or IT operating partner.</w:t>
            </w:r>
          </w:p>
        </w:tc>
        <w:tc>
          <w:tcPr>
            <w:tcW w:type="dxa" w:w="332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Diligence-grade assessment for the acquisition, then a fund-level standard across the portfolio.</w:t>
            </w:r>
          </w:p>
        </w:tc>
      </w:tr>
      <w:tr>
        <w:trPr>
          <w:cantSplit/>
        </w:trPr>
        <w:tc>
          <w:tcPr>
            <w:tcW w:type="dxa" w:w="2218"/>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Exam finding or MRA</w:t>
            </w:r>
          </w:p>
        </w:tc>
        <w:tc>
          <w:tcPr>
            <w:tcW w:type="dxa" w:w="1109"/>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Hue 03</w:t>
            </w:r>
          </w:p>
        </w:tc>
        <w:tc>
          <w:tcPr>
            <w:tcW w:type="dxa" w:w="3427"/>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Regulator actions and consent orders are public. Board and audit-committee changes at community FIs. Sudden GRC or internal-audit hiring.</w:t>
            </w:r>
          </w:p>
        </w:tc>
        <w:tc>
          <w:tcPr>
            <w:tcW w:type="dxa" w:w="3326"/>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Remediation program with continuous controls monitoring and evidence that will survive the next exam.</w:t>
            </w:r>
          </w:p>
        </w:tc>
      </w:tr>
      <w:tr>
        <w:trPr>
          <w:cantSplit/>
        </w:trPr>
        <w:tc>
          <w:tcPr>
            <w:tcW w:type="dxa" w:w="221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AI reaching production</w:t>
            </w:r>
          </w:p>
        </w:tc>
        <w:tc>
          <w:tcPr>
            <w:tcW w:type="dxa" w:w="110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Hue 01 &amp; 03</w:t>
            </w:r>
          </w:p>
        </w:tc>
        <w:tc>
          <w:tcPr>
            <w:tcW w:type="dxa" w:w="3427"/>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AI features shipped in the last two quarters; AI engineers hired; an AI policy page published with no controls behind it.</w:t>
            </w:r>
          </w:p>
        </w:tc>
        <w:tc>
          <w:tcPr>
            <w:tcW w:type="dxa" w:w="332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The 10-day AI Risk &amp; Readiness Snapshot, framed as four questions: what can it access, what can it change, who approved it, what proves it stayed inside.</w:t>
            </w:r>
          </w:p>
        </w:tc>
      </w:tr>
      <w:tr>
        <w:trPr>
          <w:cantSplit/>
        </w:trPr>
        <w:tc>
          <w:tcPr>
            <w:tcW w:type="dxa" w:w="2218"/>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Contract or regulatory deadline</w:t>
            </w:r>
          </w:p>
        </w:tc>
        <w:tc>
          <w:tcPr>
            <w:tcW w:type="dxa" w:w="1109"/>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Hue 01 &amp; 03</w:t>
            </w:r>
          </w:p>
        </w:tc>
        <w:tc>
          <w:tcPr>
            <w:tcW w:type="dxa" w:w="3427"/>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Defense and aerospace suppliers with NIST 800-171 obligations; firms newly in scope for state privacy laws or DORA.</w:t>
            </w:r>
          </w:p>
        </w:tc>
        <w:tc>
          <w:tcPr>
            <w:tcW w:type="dxa" w:w="3326"/>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“The certification paused; the controls didn’t.” The practical alternative to both panic and abandonment.</w:t>
            </w:r>
          </w:p>
        </w:tc>
      </w:tr>
    </w:tbl>
    <w:p>
      <w:pPr>
        <w:spacing w:after="180" w:before="0" w:line="276"/>
      </w:pPr>
      <w:r>
        <w:rPr>
          <w:rFonts w:ascii="Calibri" w:cs="Calibri" w:eastAsia="Calibri" w:hAnsi="Calibri"/>
          <w:color w:val="3D4A5A"/>
          <w:sz w:val="8"/>
          <w:szCs w:val="8"/>
        </w:rPr>
        <w:t xml:space="preserve"/>
      </w:r>
    </w:p>
    <w:tbl>
      <w:tblPr>
        <w:tblW w:type="dxa" w:w="10080"/>
        <w:tblBorders>
          <w:top w:val="none"/>
          <w:left w:val="single" w:color="2F86B3" w:sz="18"/>
          <w:bottom w:val="none"/>
          <w:right w:val="none"/>
          <w:insideH w:val="none"/>
          <w:insideV w:val="none"/>
        </w:tblBorders>
      </w:tblPr>
      <w:tblGrid>
        <w:gridCol w:w="10080"/>
      </w:tblGrid>
      <w:tr>
        <w:trPr>
          <w:cantSplit/>
        </w:trPr>
        <w:tc>
          <w:tcPr>
            <w:tcW w:type="dxa" w:w="10080"/>
            <w:tcBorders>
              <w:top w:val="none"/>
              <w:left w:val="none"/>
              <w:bottom w:val="none"/>
              <w:right w:val="none"/>
            </w:tcBorders>
            <w:shd w:fill="EEF4F9" w:color="auto" w:val="clear"/>
            <w:tcMar>
              <w:top w:type="dxa" w:w="130"/>
              <w:left w:type="dxa" w:w="180"/>
              <w:bottom w:type="dxa" w:w="130"/>
              <w:right w:type="dxa" w:w="160"/>
            </w:tcMar>
          </w:tcPr>
          <w:p>
            <w:pPr>
              <w:keepNext/>
              <w:spacing w:after="60" w:before="0" w:line="260"/>
            </w:pPr>
            <w:r>
              <w:rPr>
                <w:rFonts w:ascii="Calibri" w:cs="Calibri" w:eastAsia="Calibri" w:hAnsi="Calibri"/>
                <w:b/>
                <w:bCs/>
                <w:color w:val="2F86B3"/>
                <w:sz w:val="19"/>
                <w:szCs w:val="19"/>
              </w:rPr>
              <w:t xml:space="preserve">Building the target list</w:t>
            </w:r>
          </w:p>
          <w:p>
            <w:pPr>
              <w:spacing w:after="40" w:before="0" w:line="265"/>
            </w:pPr>
            <w:r>
              <w:rPr>
                <w:rFonts w:ascii="Calibri" w:cs="Calibri" w:eastAsia="Calibri" w:hAnsi="Calibri"/>
                <w:color w:val="3D4A5A"/>
                <w:sz w:val="19"/>
                <w:szCs w:val="19"/>
              </w:rPr>
              <w:t xml:space="preserve">In Sales Navigator: headcount 50–500, US, industries software / IT services / financial services / transportation, then filter for companies with no security title in the org and at least one enterprise logo in their customer list.</w:t>
            </w:r>
          </w:p>
          <w:p>
            <w:pPr>
              <w:spacing w:after="40" w:before="0" w:line="265"/>
            </w:pPr>
            <w:r>
              <w:rPr>
                <w:rFonts w:ascii="Calibri" w:cs="Calibri" w:eastAsia="Calibri" w:hAnsi="Calibri"/>
                <w:color w:val="3D4A5A"/>
                <w:sz w:val="19"/>
                <w:szCs w:val="19"/>
              </w:rPr>
              <w:t xml:space="preserve">Two high-signal filters that cost nothing: a company selling to enterprise with no public trust page, and a job posting for a first compliance, GRC or security hire — that posting means the trigger has already fired and no program exists yet.</w:t>
            </w:r>
          </w:p>
          <w:p>
            <w:pPr>
              <w:spacing w:after="40" w:before="0" w:line="265"/>
            </w:pPr>
            <w:r>
              <w:rPr>
                <w:rFonts w:ascii="Calibri" w:cs="Calibri" w:eastAsia="Calibri" w:hAnsi="Calibri"/>
                <w:color w:val="3D4A5A"/>
                <w:sz w:val="19"/>
                <w:szCs w:val="19"/>
              </w:rPr>
              <w:t xml:space="preserve">For Hue 02 the list is sponsors, not companies: build it from fund size and recent platform announcements.</w:t>
            </w:r>
          </w:p>
        </w:tc>
      </w:tr>
    </w:tbl>
    <w:p>
      <w:pPr>
        <w:pStyle w:val="Heading2"/>
        <w:keepNext/>
        <w:spacing w:after="40" w:before="340"/>
      </w:pPr>
      <w:r>
        <w:rPr>
          <w:rFonts w:ascii="Calibri" w:cs="Calibri" w:eastAsia="Calibri" w:hAnsi="Calibri"/>
          <w:b/>
          <w:bCs/>
          <w:color w:val="2F86B3"/>
          <w:sz w:val="28"/>
          <w:szCs w:val="28"/>
        </w:rPr>
        <w:t xml:space="preserve">10. Who to decline</w:t>
      </w:r>
    </w:p>
    <w:p>
      <w:pPr>
        <w:keepNext/>
        <w:spacing w:after="140" w:before="0" w:line="276"/>
      </w:pPr>
      <w:r>
        <w:rPr>
          <w:rFonts w:ascii="Calibri" w:cs="Calibri" w:eastAsia="Calibri" w:hAnsi="Calibri"/>
          <w:i/>
          <w:iCs/>
          <w:color w:val="6B7A8C"/>
          <w:sz w:val="19"/>
          <w:szCs w:val="19"/>
        </w:rPr>
        <w:t xml:space="preserve">The fastest way to raise close rates is to stop working deals that were never going to close. Each of these is a hard stop in the first call, not a discovery to make in month two.</w:t>
      </w:r>
    </w:p>
    <w:tbl>
      <w:tblPr>
        <w:tblW w:type="dxa" w:w="10080"/>
        <w:tblBorders>
          <w:top w:val="single" w:color="D3DCE6" w:sz="2"/>
          <w:left w:val="none"/>
          <w:bottom w:val="single" w:color="D3DCE6" w:sz="2"/>
          <w:right w:val="none"/>
          <w:insideH w:val="single" w:color="D3DCE6" w:sz="2"/>
          <w:insideV w:val="none"/>
        </w:tblBorders>
      </w:tblPr>
      <w:tblGrid>
        <w:gridCol w:w="2822"/>
        <w:gridCol w:w="7258"/>
      </w:tblGrid>
      <w:tr>
        <w:trPr>
          <w:cantSplit/>
          <w:tblHeader/>
        </w:trPr>
        <w:tc>
          <w:tcPr>
            <w:tcW w:type="dxa" w:w="2822"/>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Disqualifier</w:t>
            </w:r>
          </w:p>
        </w:tc>
        <w:tc>
          <w:tcPr>
            <w:tcW w:type="dxa" w:w="7258"/>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Why</w:t>
            </w:r>
          </w:p>
        </w:tc>
      </w:tr>
      <w:tr>
        <w:trPr>
          <w:cantSplit/>
        </w:trPr>
        <w:tc>
          <w:tcPr>
            <w:tcW w:type="dxa" w:w="2822"/>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No external forcing function</w:t>
            </w:r>
          </w:p>
        </w:tc>
        <w:tc>
          <w:tcPr>
            <w:tcW w:type="dxa" w:w="725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A company that wants to “be more mature” with no customer, insurer, investor or regulator pushing will not fund it. Educate them cheaply and revisit when something fires.</w:t>
            </w:r>
          </w:p>
        </w:tc>
      </w:tr>
      <w:tr>
        <w:trPr>
          <w:cantSplit/>
        </w:trPr>
        <w:tc>
          <w:tcPr>
            <w:tcW w:type="dxa" w:w="2822"/>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Under ~20 people, or pre-revenue</w:t>
            </w:r>
          </w:p>
        </w:tc>
        <w:tc>
          <w:tcPr>
            <w:tcW w:type="dxa" w:w="7258"/>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The budget is structurally bound to the tool tier. Refer them to a compliance platform and stay useful; they become an ICP company at Series A with an enterprise pipeline.</w:t>
            </w:r>
          </w:p>
        </w:tc>
      </w:tr>
      <w:tr>
        <w:trPr>
          <w:cantSplit/>
        </w:trPr>
        <w:tc>
          <w:tcPr>
            <w:tcW w:type="dxa" w:w="2822"/>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Shopping for the fastest, cheapest certificate</w:t>
            </w:r>
          </w:p>
        </w:tc>
        <w:tc>
          <w:tcPr>
            <w:tcW w:type="dxa" w:w="725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This is the Delve customer. They want a document, not a program, and they will churn to whoever is faster next year. Losing them is a feature.</w:t>
            </w:r>
          </w:p>
        </w:tc>
      </w:tr>
      <w:tr>
        <w:trPr>
          <w:cantSplit/>
        </w:trPr>
        <w:tc>
          <w:tcPr>
            <w:tcW w:type="dxa" w:w="2822"/>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Wants advisory only, no execution</w:t>
            </w:r>
          </w:p>
        </w:tc>
        <w:tc>
          <w:tcPr>
            <w:tcW w:type="dxa" w:w="7258"/>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Retainers for advice alone do not survive contact with an SMB budget — “it’s execution that produces value for them.” If they will not buy delivery, they are buying a coffee chat.</w:t>
            </w:r>
          </w:p>
        </w:tc>
      </w:tr>
      <w:tr>
        <w:trPr>
          <w:cantSplit/>
        </w:trPr>
        <w:tc>
          <w:tcPr>
            <w:tcW w:type="dxa" w:w="2822"/>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Has a CISO and a functioning team</w:t>
            </w:r>
          </w:p>
        </w:tc>
        <w:tc>
          <w:tcPr>
            <w:tcW w:type="dxa" w:w="725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Then 3HUE competes as staff augmentation at commodity rates. The exception is a discrete program they cannot staff — an AI governance build, a portfolio rollout, a specific remediation.</w:t>
            </w:r>
          </w:p>
        </w:tc>
      </w:tr>
      <w:tr>
        <w:trPr>
          <w:cantSplit/>
        </w:trPr>
        <w:tc>
          <w:tcPr>
            <w:tcW w:type="dxa" w:w="2822"/>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Will not let anyone talk to the person who signs</w:t>
            </w:r>
          </w:p>
        </w:tc>
        <w:tc>
          <w:tcPr>
            <w:tcW w:type="dxa" w:w="7258"/>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Without the economic buyer, scope negotiation is impossible and the proposal becomes a price comparison. Ask for that access as the condition of proceeding.</w:t>
            </w:r>
          </w:p>
        </w:tc>
      </w:tr>
      <w:tr>
        <w:trPr>
          <w:cantSplit/>
        </w:trPr>
        <w:tc>
          <w:tcPr>
            <w:tcW w:type="dxa" w:w="2822"/>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Wants the certificate decoupled from the controls</w:t>
            </w:r>
          </w:p>
        </w:tc>
        <w:tc>
          <w:tcPr>
            <w:tcW w:type="dxa" w:w="725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Anyone asking 3HUE to make the evidence say something the environment does not support is a liability, not a client. Post-SolarWinds, the personal exposure runs both ways.</w:t>
            </w:r>
          </w:p>
        </w:tc>
      </w:tr>
    </w:tbl>
    <w:p>
      <w:pPr>
        <w:spacing w:after="180" w:before="0" w:line="276"/>
      </w:pPr>
      <w:r>
        <w:rPr>
          <w:rFonts w:ascii="Calibri" w:cs="Calibri" w:eastAsia="Calibri" w:hAnsi="Calibri"/>
          <w:color w:val="3D4A5A"/>
          <w:sz w:val="8"/>
          <w:szCs w:val="8"/>
        </w:rPr>
        <w:t xml:space="preserve"/>
      </w:r>
    </w:p>
    <w:p>
      <w:r>
        <w:br w:type="page"/>
      </w:r>
    </w:p>
    <w:p>
      <w:pPr>
        <w:spacing w:after="40" w:before="200"/>
      </w:pPr>
      <w:r>
        <w:rPr>
          <w:rFonts w:ascii="Calibri" w:cs="Calibri" w:eastAsia="Calibri" w:hAnsi="Calibri"/>
          <w:b/>
          <w:bCs/>
          <w:color w:val="44A8D9"/>
          <w:sz w:val="18"/>
          <w:szCs w:val="18"/>
        </w:rPr>
        <w:t xml:space="preserve">PART III</w:t>
      </w:r>
    </w:p>
    <w:p>
      <w:pPr>
        <w:pStyle w:val="Heading1"/>
        <w:spacing w:after="120" w:before="0"/>
      </w:pPr>
      <w:r>
        <w:rPr>
          <w:rFonts w:ascii="Calibri" w:cs="Calibri" w:eastAsia="Calibri" w:hAnsi="Calibri"/>
          <w:b/>
          <w:bCs/>
          <w:color w:val="14202E"/>
          <w:sz w:val="40"/>
          <w:szCs w:val="40"/>
        </w:rPr>
        <w:t xml:space="preserve">The Message</w:t>
      </w:r>
    </w:p>
    <w:p>
      <w:pPr>
        <w:spacing w:after="200" w:before="0" w:line="276"/>
      </w:pPr>
      <w:r>
        <w:rPr>
          <w:rFonts w:ascii="Calibri" w:cs="Calibri" w:eastAsia="Calibri" w:hAnsi="Calibri"/>
          <w:color w:val="3D4A5A"/>
          <w:sz w:val="21"/>
          <w:szCs w:val="21"/>
        </w:rPr>
        <w:t xml:space="preserve">One approved set of words, so every deck, post, page and proposal makes the same argument. Every claim carries a substantiation status; nothing marked “do not use” should reach a prospect.</w:t>
      </w:r>
    </w:p>
    <w:p>
      <w:pPr>
        <w:pBdr>
          <w:bottom w:val="single" w:color="D3DCE6" w:sz="6" w:space="1"/>
        </w:pBdr>
        <w:spacing w:after="160" w:before="0"/>
      </w:pPr>
      <w:r>
        <w:rPr>
          <w:rFonts w:ascii="Calibri" w:cs="Calibri" w:eastAsia="Calibri" w:hAnsi="Calibri"/>
          <w:color w:val="3D4A5A"/>
          <w:sz w:val="2"/>
          <w:szCs w:val="2"/>
        </w:rPr>
        <w:t xml:space="preserve"/>
      </w:r>
    </w:p>
    <w:p>
      <w:pPr>
        <w:pStyle w:val="Heading2"/>
        <w:keepNext/>
        <w:spacing w:after="40" w:before="340"/>
      </w:pPr>
      <w:r>
        <w:rPr>
          <w:rFonts w:ascii="Calibri" w:cs="Calibri" w:eastAsia="Calibri" w:hAnsi="Calibri"/>
          <w:b/>
          <w:bCs/>
          <w:color w:val="2F86B3"/>
          <w:sz w:val="28"/>
          <w:szCs w:val="28"/>
        </w:rPr>
        <w:t xml:space="preserve">11. The core narrative</w:t>
      </w:r>
    </w:p>
    <w:p>
      <w:pPr>
        <w:keepNext/>
        <w:spacing w:after="140" w:before="0" w:line="276"/>
      </w:pPr>
      <w:r>
        <w:rPr>
          <w:rFonts w:ascii="Calibri" w:cs="Calibri" w:eastAsia="Calibri" w:hAnsi="Calibri"/>
          <w:i/>
          <w:iCs/>
          <w:color w:val="6B7A8C"/>
          <w:sz w:val="19"/>
          <w:szCs w:val="19"/>
        </w:rPr>
        <w:t xml:space="preserve">Five beats. Every long-form piece is some subset of these, in this order.</w:t>
      </w:r>
    </w:p>
    <w:p>
      <w:pPr>
        <w:keepNext/>
        <w:spacing w:after="60" w:before="180"/>
      </w:pPr>
      <w:r>
        <w:rPr>
          <w:rFonts w:ascii="Calibri" w:cs="Calibri" w:eastAsia="Calibri" w:hAnsi="Calibri"/>
          <w:b/>
          <w:bCs/>
          <w:color w:val="3D4A5A"/>
          <w:sz w:val="20"/>
          <w:szCs w:val="20"/>
        </w:rPr>
        <w:t xml:space="preserve">Beat 1 — Proof became a condition of doing business</w:t>
      </w:r>
    </w:p>
    <w:p>
      <w:pPr>
        <w:spacing w:after="120" w:before="0" w:line="276"/>
      </w:pPr>
      <w:r>
        <w:rPr>
          <w:rFonts w:ascii="Calibri" w:cs="Calibri" w:eastAsia="Calibri" w:hAnsi="Calibri"/>
          <w:color w:val="3D4A5A"/>
          <w:sz w:val="20"/>
          <w:szCs w:val="20"/>
        </w:rPr>
        <w:t xml:space="preserve">Security used to be something a company did for itself. It is now something customers, insurers, investors and regulators require it to demonstrate to them, on their timetable, in their format.</w:t>
      </w:r>
    </w:p>
    <w:p>
      <w:pPr>
        <w:spacing w:after="160" w:before="0" w:line="276"/>
      </w:pPr>
      <w:r>
        <w:rPr>
          <w:rFonts w:ascii="Calibri" w:cs="Calibri" w:eastAsia="Calibri" w:hAnsi="Calibri"/>
          <w:b/>
          <w:bCs/>
          <w:color w:val="6B7A8C"/>
          <w:sz w:val="16"/>
          <w:szCs w:val="16"/>
        </w:rPr>
        <w:t xml:space="preserve">Source: </w:t>
      </w:r>
      <w:r>
        <w:rPr>
          <w:rFonts w:ascii="Calibri" w:cs="Calibri" w:eastAsia="Calibri" w:hAnsi="Calibri"/>
          <w:color w:val="6B7A8C"/>
          <w:sz w:val="16"/>
          <w:szCs w:val="16"/>
        </w:rPr>
        <w:t xml:space="preserve">61% were required to hold a certification to win or renew a contract; 47% had sales cycles delayed; 38% lost revenue or bids. Secureframe 2026 Benchmark.</w:t>
      </w:r>
    </w:p>
    <w:p>
      <w:pPr>
        <w:keepNext/>
        <w:spacing w:after="60" w:before="180"/>
      </w:pPr>
      <w:r>
        <w:rPr>
          <w:rFonts w:ascii="Calibri" w:cs="Calibri" w:eastAsia="Calibri" w:hAnsi="Calibri"/>
          <w:b/>
          <w:bCs/>
          <w:color w:val="3D4A5A"/>
          <w:sz w:val="20"/>
          <w:szCs w:val="20"/>
        </w:rPr>
        <w:t xml:space="preserve">Beat 2 — The standard response produces paper, not protection</w:t>
      </w:r>
    </w:p>
    <w:p>
      <w:pPr>
        <w:spacing w:after="120" w:before="0" w:line="276"/>
      </w:pPr>
      <w:r>
        <w:rPr>
          <w:rFonts w:ascii="Calibri" w:cs="Calibri" w:eastAsia="Calibri" w:hAnsi="Calibri"/>
          <w:color w:val="3D4A5A"/>
          <w:sz w:val="20"/>
          <w:szCs w:val="20"/>
        </w:rPr>
        <w:t xml:space="preserve">Buy a platform, assemble evidence before the audit, pass once, go quiet for eleven months. It clears the gate and leaves the organization no safer — which everyone in the market now says out loud.</w:t>
      </w:r>
    </w:p>
    <w:p>
      <w:pPr>
        <w:spacing w:after="160" w:before="0" w:line="276"/>
      </w:pPr>
      <w:r>
        <w:rPr>
          <w:rFonts w:ascii="Calibri" w:cs="Calibri" w:eastAsia="Calibri" w:hAnsi="Calibri"/>
          <w:b/>
          <w:bCs/>
          <w:color w:val="6B7A8C"/>
          <w:sz w:val="16"/>
          <w:szCs w:val="16"/>
        </w:rPr>
        <w:t xml:space="preserve">Source: </w:t>
      </w:r>
      <w:r>
        <w:rPr>
          <w:rFonts w:ascii="Calibri" w:cs="Calibri" w:eastAsia="Calibri" w:hAnsi="Calibri"/>
          <w:color w:val="6B7A8C"/>
          <w:sz w:val="16"/>
          <w:szCs w:val="16"/>
        </w:rPr>
        <w:t xml:space="preserve">72% still rely on periodic assessments; only 28% monitor continuously. 78% of organizations that failed a recent audit had a prior breach history. RegScale 2026 · Thales 2025.</w:t>
      </w:r>
    </w:p>
    <w:p>
      <w:pPr>
        <w:keepNext/>
        <w:spacing w:after="60" w:before="180"/>
      </w:pPr>
      <w:r>
        <w:rPr>
          <w:rFonts w:ascii="Calibri" w:cs="Calibri" w:eastAsia="Calibri" w:hAnsi="Calibri"/>
          <w:b/>
          <w:bCs/>
          <w:color w:val="3D4A5A"/>
          <w:sz w:val="20"/>
          <w:szCs w:val="20"/>
        </w:rPr>
        <w:t xml:space="preserve">Beat 3 — The constraint is not knowledge. It is capacity.</w:t>
      </w:r>
    </w:p>
    <w:p>
      <w:pPr>
        <w:spacing w:after="120" w:before="0" w:line="276"/>
      </w:pPr>
      <w:r>
        <w:rPr>
          <w:rFonts w:ascii="Calibri" w:cs="Calibri" w:eastAsia="Calibri" w:hAnsi="Calibri"/>
          <w:color w:val="3D4A5A"/>
          <w:sz w:val="20"/>
          <w:szCs w:val="20"/>
        </w:rPr>
        <w:t xml:space="preserve">The frameworks are free and public. What organizations lack is anyone to run them. This is the beat most competitors skip, and it is the one that makes the buyer feel understood rather than sold to.</w:t>
      </w:r>
    </w:p>
    <w:p>
      <w:pPr>
        <w:spacing w:after="160" w:before="0" w:line="276"/>
      </w:pPr>
      <w:r>
        <w:rPr>
          <w:rFonts w:ascii="Calibri" w:cs="Calibri" w:eastAsia="Calibri" w:hAnsi="Calibri"/>
          <w:b/>
          <w:bCs/>
          <w:color w:val="6B7A8C"/>
          <w:sz w:val="16"/>
          <w:szCs w:val="16"/>
        </w:rPr>
        <w:t xml:space="preserve">Source: </w:t>
      </w:r>
      <w:r>
        <w:rPr>
          <w:rFonts w:ascii="Calibri" w:cs="Calibri" w:eastAsia="Calibri" w:hAnsi="Calibri"/>
          <w:color w:val="6B7A8C"/>
          <w:sz w:val="16"/>
          <w:szCs w:val="16"/>
        </w:rPr>
        <w:t xml:space="preserve">68% of organizations have one or fewer full-time security staff, and roughly a third have none, while 93% call security a top priority. Around 35,000 CISOs exist for an estimated 359 million businesses. Secureframe 2026 · Cybersecurity Ventures with Sophos 2026.</w:t>
      </w:r>
    </w:p>
    <w:p>
      <w:pPr>
        <w:keepNext/>
        <w:spacing w:after="60" w:before="180"/>
      </w:pPr>
      <w:r>
        <w:rPr>
          <w:rFonts w:ascii="Calibri" w:cs="Calibri" w:eastAsia="Calibri" w:hAnsi="Calibri"/>
          <w:b/>
          <w:bCs/>
          <w:color w:val="3D4A5A"/>
          <w:sz w:val="20"/>
          <w:szCs w:val="20"/>
        </w:rPr>
        <w:t xml:space="preserve">Beat 4 — What actually works is an operated program</w:t>
      </w:r>
    </w:p>
    <w:p>
      <w:pPr>
        <w:spacing w:after="120" w:before="0" w:line="276"/>
      </w:pPr>
      <w:r>
        <w:rPr>
          <w:rFonts w:ascii="Calibri" w:cs="Calibri" w:eastAsia="Calibri" w:hAnsi="Calibri"/>
          <w:color w:val="3D4A5A"/>
          <w:sz w:val="20"/>
          <w:szCs w:val="20"/>
        </w:rPr>
        <w:t xml:space="preserve">Governance that someone owns, controls that run continuously, and evidence that regenerates itself instead of being reassembled. Deployed is not the same as operating — and the gap between the two is where both audits and incidents happen.</w:t>
      </w:r>
    </w:p>
    <w:p>
      <w:pPr>
        <w:spacing w:after="160" w:before="0" w:line="276"/>
      </w:pPr>
      <w:r>
        <w:rPr>
          <w:rFonts w:ascii="Calibri" w:cs="Calibri" w:eastAsia="Calibri" w:hAnsi="Calibri"/>
          <w:b/>
          <w:bCs/>
          <w:color w:val="6B7A8C"/>
          <w:sz w:val="16"/>
          <w:szCs w:val="16"/>
        </w:rPr>
        <w:t xml:space="preserve">Source: </w:t>
      </w:r>
      <w:r>
        <w:rPr>
          <w:rFonts w:ascii="Calibri" w:cs="Calibri" w:eastAsia="Calibri" w:hAnsi="Calibri"/>
          <w:color w:val="6B7A8C"/>
          <w:sz w:val="16"/>
          <w:szCs w:val="16"/>
        </w:rPr>
        <w:t xml:space="preserve">86.8% of small businesses have deployed MFA but only 51.1% require it across all key accounts; 88.4% hold backups and 61.4% have tested them. National Cybersecurity Alliance with CISA, 2026.</w:t>
      </w:r>
    </w:p>
    <w:p>
      <w:pPr>
        <w:keepNext/>
        <w:spacing w:after="60" w:before="180"/>
      </w:pPr>
      <w:r>
        <w:rPr>
          <w:rFonts w:ascii="Calibri" w:cs="Calibri" w:eastAsia="Calibri" w:hAnsi="Calibri"/>
          <w:b/>
          <w:bCs/>
          <w:color w:val="3D4A5A"/>
          <w:sz w:val="20"/>
          <w:szCs w:val="20"/>
        </w:rPr>
        <w:t xml:space="preserve">Beat 5 — That is what 3HUE is</w:t>
      </w:r>
    </w:p>
    <w:p>
      <w:pPr>
        <w:spacing w:after="120" w:before="0" w:line="276"/>
      </w:pPr>
      <w:r>
        <w:rPr>
          <w:rFonts w:ascii="Calibri" w:cs="Calibri" w:eastAsia="Calibri" w:hAnsi="Calibri"/>
          <w:color w:val="3D4A5A"/>
          <w:sz w:val="20"/>
          <w:szCs w:val="20"/>
        </w:rPr>
        <w:t xml:space="preserve">A founder-led firm that designs the program and then runs it, with a platform underneath that keeps the evidence current between audits. The person who scopes the work is the person who delivers it.</w:t>
      </w:r>
    </w:p>
    <w:p>
      <w:pPr>
        <w:pStyle w:val="Heading2"/>
        <w:keepNext/>
        <w:spacing w:after="40" w:before="340"/>
      </w:pPr>
      <w:r>
        <w:rPr>
          <w:rFonts w:ascii="Calibri" w:cs="Calibri" w:eastAsia="Calibri" w:hAnsi="Calibri"/>
          <w:b/>
          <w:bCs/>
          <w:color w:val="2F86B3"/>
          <w:sz w:val="28"/>
          <w:szCs w:val="28"/>
        </w:rPr>
        <w:t xml:space="preserve">12. Positioning statement</w:t>
      </w:r>
    </w:p>
    <w:p>
      <w:pPr>
        <w:keepNext/>
        <w:spacing w:after="140" w:before="0" w:line="276"/>
      </w:pPr>
      <w:r>
        <w:rPr>
          <w:rFonts w:ascii="Calibri" w:cs="Calibri" w:eastAsia="Calibri" w:hAnsi="Calibri"/>
          <w:i/>
          <w:iCs/>
          <w:color w:val="6B7A8C"/>
          <w:sz w:val="19"/>
          <w:szCs w:val="19"/>
        </w:rPr>
        <w:t xml:space="preserve">Internal, not customer-facing. It exists to settle arguments about what 3HUE is and is not.</w:t>
      </w:r>
    </w:p>
    <w:tbl>
      <w:tblPr>
        <w:tblW w:type="dxa" w:w="10080"/>
        <w:tblBorders>
          <w:top w:val="none"/>
          <w:left w:val="single" w:color="2F86B3" w:sz="18"/>
          <w:bottom w:val="none"/>
          <w:right w:val="none"/>
          <w:insideH w:val="none"/>
          <w:insideV w:val="none"/>
        </w:tblBorders>
      </w:tblPr>
      <w:tblGrid>
        <w:gridCol w:w="10080"/>
      </w:tblGrid>
      <w:tr>
        <w:trPr>
          <w:cantSplit/>
        </w:trPr>
        <w:tc>
          <w:tcPr>
            <w:tcW w:type="dxa" w:w="10080"/>
            <w:tcBorders>
              <w:top w:val="none"/>
              <w:left w:val="none"/>
              <w:bottom w:val="none"/>
              <w:right w:val="none"/>
            </w:tcBorders>
            <w:shd w:fill="EEF4F9" w:color="auto" w:val="clear"/>
            <w:tcMar>
              <w:top w:type="dxa" w:w="130"/>
              <w:left w:type="dxa" w:w="180"/>
              <w:bottom w:type="dxa" w:w="130"/>
              <w:right w:type="dxa" w:w="160"/>
            </w:tcMar>
          </w:tcPr>
          <w:p>
            <w:pPr>
              <w:keepNext/>
              <w:spacing w:after="60" w:before="0" w:line="260"/>
            </w:pPr>
            <w:r>
              <w:rPr>
                <w:rFonts w:ascii="Calibri" w:cs="Calibri" w:eastAsia="Calibri" w:hAnsi="Calibri"/>
                <w:b/>
                <w:bCs/>
                <w:color w:val="2F86B3"/>
                <w:sz w:val="19"/>
                <w:szCs w:val="19"/>
              </w:rPr>
              <w:t xml:space="preserve">The positioning statement</w:t>
            </w:r>
          </w:p>
          <w:p>
            <w:pPr>
              <w:spacing w:after="40" w:before="0" w:line="265"/>
            </w:pPr>
            <w:r>
              <w:rPr>
                <w:rFonts w:ascii="Calibri" w:cs="Calibri" w:eastAsia="Calibri" w:hAnsi="Calibri"/>
                <w:color w:val="3D4A5A"/>
                <w:sz w:val="19"/>
                <w:szCs w:val="19"/>
              </w:rPr>
              <w:t xml:space="preserve">For organizations that have been told to prove their security by a customer, insurer, investor or regulator, and have no one inside to do it, 3HUE builds the governance program and then operates it — so the evidence is produced continuously rather than assembled before each audit. Unlike a compliance platform, which hands you a longer to-do list, or a vCISO bolted onto a help desk, the practitioner who scopes the work delivers it, and AiVRIC keeps the controls monitored between audits.</w:t>
            </w:r>
          </w:p>
        </w:tc>
      </w:tr>
    </w:tbl>
    <w:p>
      <w:pPr>
        <w:keepNext/>
        <w:spacing w:after="60" w:before="180"/>
      </w:pPr>
      <w:r>
        <w:rPr>
          <w:rFonts w:ascii="Calibri" w:cs="Calibri" w:eastAsia="Calibri" w:hAnsi="Calibri"/>
          <w:b/>
          <w:bCs/>
          <w:color w:val="3D4A5A"/>
          <w:sz w:val="20"/>
          <w:szCs w:val="20"/>
        </w:rPr>
        <w:t xml:space="preserve">The one-sentence version</w:t>
      </w:r>
    </w:p>
    <w:p>
      <w:pPr>
        <w:spacing w:after="120" w:before="0" w:line="276"/>
      </w:pPr>
      <w:r>
        <w:rPr>
          <w:rFonts w:ascii="Calibri" w:cs="Calibri" w:eastAsia="Calibri" w:hAnsi="Calibri"/>
          <w:b/>
          <w:bCs/>
          <w:color w:val="14202E"/>
          <w:sz w:val="20"/>
          <w:szCs w:val="20"/>
        </w:rPr>
        <w:t xml:space="preserve">3HUE builds security and AI governance programs that someone actually runs — and proves they are running.</w:t>
      </w:r>
    </w:p>
    <w:p>
      <w:pPr>
        <w:keepNext/>
        <w:spacing w:after="60" w:before="180"/>
      </w:pPr>
      <w:r>
        <w:rPr>
          <w:rFonts w:ascii="Calibri" w:cs="Calibri" w:eastAsia="Calibri" w:hAnsi="Calibri"/>
          <w:b/>
          <w:bCs/>
          <w:color w:val="3D4A5A"/>
          <w:sz w:val="20"/>
          <w:szCs w:val="20"/>
        </w:rPr>
        <w:t xml:space="preserve">What we are not</w:t>
      </w:r>
    </w:p>
    <w:p>
      <w:pPr>
        <w:pStyle w:val="ListParagraph"/>
        <w:numPr>
          <w:ilvl w:val="0"/>
          <w:numId w:val="1"/>
        </w:numPr>
        <w:spacing w:after="70" w:line="270"/>
      </w:pPr>
      <w:r>
        <w:rPr>
          <w:rFonts w:ascii="Calibri" w:cs="Calibri" w:eastAsia="Calibri" w:hAnsi="Calibri"/>
          <w:b/>
          <w:bCs/>
          <w:color w:val="14202E"/>
          <w:sz w:val="20"/>
          <w:szCs w:val="20"/>
        </w:rPr>
        <w:t xml:space="preserve">Not a compliance platform. </w:t>
      </w:r>
      <w:r>
        <w:rPr>
          <w:rFonts w:ascii="Calibri" w:cs="Calibri" w:eastAsia="Calibri" w:hAnsi="Calibri"/>
          <w:color w:val="3D4A5A"/>
          <w:sz w:val="20"/>
          <w:szCs w:val="20"/>
        </w:rPr>
        <w:t xml:space="preserve">We are the layer above one. Many good prospects already own Vanta or Drata; that is a qualifier, not a competitor.</w:t>
      </w:r>
    </w:p>
    <w:p>
      <w:pPr>
        <w:pStyle w:val="ListParagraph"/>
        <w:numPr>
          <w:ilvl w:val="0"/>
          <w:numId w:val="1"/>
        </w:numPr>
        <w:spacing w:after="70" w:line="270"/>
      </w:pPr>
      <w:r>
        <w:rPr>
          <w:rFonts w:ascii="Calibri" w:cs="Calibri" w:eastAsia="Calibri" w:hAnsi="Calibri"/>
          <w:b/>
          <w:bCs/>
          <w:color w:val="14202E"/>
          <w:sz w:val="20"/>
          <w:szCs w:val="20"/>
        </w:rPr>
        <w:t xml:space="preserve">Not a staffing firm. </w:t>
      </w:r>
      <w:r>
        <w:rPr>
          <w:rFonts w:ascii="Calibri" w:cs="Calibri" w:eastAsia="Calibri" w:hAnsi="Calibri"/>
          <w:color w:val="3D4A5A"/>
          <w:sz w:val="20"/>
          <w:szCs w:val="20"/>
        </w:rPr>
        <w:t xml:space="preserve">Stated explicitly on the site. We do not place bodies against a rate card.</w:t>
      </w:r>
    </w:p>
    <w:p>
      <w:pPr>
        <w:pStyle w:val="ListParagraph"/>
        <w:numPr>
          <w:ilvl w:val="0"/>
          <w:numId w:val="1"/>
        </w:numPr>
        <w:spacing w:after="70" w:line="270"/>
      </w:pPr>
      <w:r>
        <w:rPr>
          <w:rFonts w:ascii="Calibri" w:cs="Calibri" w:eastAsia="Calibri" w:hAnsi="Calibri"/>
          <w:b/>
          <w:bCs/>
          <w:color w:val="14202E"/>
          <w:sz w:val="20"/>
          <w:szCs w:val="20"/>
        </w:rPr>
        <w:t xml:space="preserve">Not an audit firm. </w:t>
      </w:r>
      <w:r>
        <w:rPr>
          <w:rFonts w:ascii="Calibri" w:cs="Calibri" w:eastAsia="Calibri" w:hAnsi="Calibri"/>
          <w:color w:val="3D4A5A"/>
          <w:sz w:val="20"/>
          <w:szCs w:val="20"/>
        </w:rPr>
        <w:t xml:space="preserve">We prepare organizations for auditors, manage the relationship and negotiate scope. We do not issue opinions.</w:t>
      </w:r>
    </w:p>
    <w:p>
      <w:pPr>
        <w:pStyle w:val="ListParagraph"/>
        <w:numPr>
          <w:ilvl w:val="0"/>
          <w:numId w:val="1"/>
        </w:numPr>
        <w:spacing w:after="70" w:line="270"/>
      </w:pPr>
      <w:r>
        <w:rPr>
          <w:rFonts w:ascii="Calibri" w:cs="Calibri" w:eastAsia="Calibri" w:hAnsi="Calibri"/>
          <w:b/>
          <w:bCs/>
          <w:color w:val="14202E"/>
          <w:sz w:val="20"/>
          <w:szCs w:val="20"/>
        </w:rPr>
        <w:t xml:space="preserve">Not a certificate mill. </w:t>
      </w:r>
      <w:r>
        <w:rPr>
          <w:rFonts w:ascii="Calibri" w:cs="Calibri" w:eastAsia="Calibri" w:hAnsi="Calibri"/>
          <w:color w:val="3D4A5A"/>
          <w:sz w:val="20"/>
          <w:szCs w:val="20"/>
        </w:rPr>
        <w:t xml:space="preserve">If a prospect wants the fastest, cheapest paper, they are someone else’s client and losing them is a feature.</w:t>
      </w:r>
    </w:p>
    <w:p>
      <w:pPr>
        <w:pStyle w:val="Heading2"/>
        <w:keepNext/>
        <w:spacing w:after="40" w:before="340"/>
      </w:pPr>
      <w:r>
        <w:rPr>
          <w:rFonts w:ascii="Calibri" w:cs="Calibri" w:eastAsia="Calibri" w:hAnsi="Calibri"/>
          <w:b/>
          <w:bCs/>
          <w:color w:val="2F86B3"/>
          <w:sz w:val="28"/>
          <w:szCs w:val="28"/>
        </w:rPr>
        <w:t xml:space="preserve">13. Three pillars</w:t>
      </w:r>
    </w:p>
    <w:p>
      <w:pPr>
        <w:keepNext/>
        <w:spacing w:after="140" w:before="0" w:line="276"/>
      </w:pPr>
      <w:r>
        <w:rPr>
          <w:rFonts w:ascii="Calibri" w:cs="Calibri" w:eastAsia="Calibri" w:hAnsi="Calibri"/>
          <w:i/>
          <w:iCs/>
          <w:color w:val="6B7A8C"/>
          <w:sz w:val="19"/>
          <w:szCs w:val="19"/>
        </w:rPr>
        <w:t xml:space="preserve">Every proof point, case study and campaign should ladder to one of these. If a piece of content does not support one, it probably should not ship.</w:t>
      </w:r>
    </w:p>
    <w:tbl>
      <w:tblPr>
        <w:tblW w:type="dxa" w:w="10080"/>
        <w:tblBorders>
          <w:top w:val="single" w:color="D3DCE6" w:sz="2"/>
          <w:left w:val="none"/>
          <w:bottom w:val="single" w:color="D3DCE6" w:sz="2"/>
          <w:right w:val="none"/>
          <w:insideH w:val="single" w:color="D3DCE6" w:sz="2"/>
          <w:insideV w:val="none"/>
        </w:tblBorders>
      </w:tblPr>
      <w:tblGrid>
        <w:gridCol w:w="2419"/>
        <w:gridCol w:w="5040"/>
        <w:gridCol w:w="2621"/>
      </w:tblGrid>
      <w:tr>
        <w:trPr>
          <w:cantSplit/>
          <w:tblHeader/>
        </w:trPr>
        <w:tc>
          <w:tcPr>
            <w:tcW w:type="dxa" w:w="2419"/>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Pillar</w:t>
            </w:r>
          </w:p>
        </w:tc>
        <w:tc>
          <w:tcPr>
            <w:tcW w:type="dxa" w:w="5040"/>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The argument</w:t>
            </w:r>
          </w:p>
        </w:tc>
        <w:tc>
          <w:tcPr>
            <w:tcW w:type="dxa" w:w="2621"/>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The line</w:t>
            </w:r>
          </w:p>
        </w:tc>
      </w:tr>
      <w:tr>
        <w:trPr>
          <w:cantSplit/>
        </w:trPr>
        <w:tc>
          <w:tcPr>
            <w:tcW w:type="dxa" w:w="241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2F86B3"/>
                <w:sz w:val="18"/>
                <w:szCs w:val="18"/>
              </w:rPr>
              <w:t xml:space="preserve">01 · Operated, not advised</w:t>
            </w:r>
          </w:p>
        </w:tc>
        <w:tc>
          <w:tcPr>
            <w:tcW w:type="dxa" w:w="504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The program is built and then run. Advice without execution does not survive contact with a mid-market budget, and buyers say so plainly — it is execution that produces value for them.</w:t>
            </w:r>
          </w:p>
        </w:tc>
        <w:tc>
          <w:tcPr>
            <w:tcW w:type="dxa" w:w="262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14202E"/>
                <w:sz w:val="18"/>
                <w:szCs w:val="18"/>
              </w:rPr>
              <w:t xml:space="preserve">“We don’t hand you a plan. We run the program.”</w:t>
            </w:r>
          </w:p>
        </w:tc>
      </w:tr>
      <w:tr>
        <w:trPr>
          <w:cantSplit/>
        </w:trPr>
        <w:tc>
          <w:tcPr>
            <w:tcW w:type="dxa" w:w="2419"/>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2F86B3"/>
                <w:sz w:val="18"/>
                <w:szCs w:val="18"/>
              </w:rPr>
              <w:t xml:space="preserve">02 · Provable, continuously</w:t>
            </w:r>
          </w:p>
        </w:tc>
        <w:tc>
          <w:tcPr>
            <w:tcW w:type="dxa" w:w="5040"/>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Evidence regenerates instead of being reassembled. That is what survives an examiner, an insurer’s post-incident review, and a buyer’s diligence — not a point-in-time report.</w:t>
            </w:r>
          </w:p>
        </w:tc>
        <w:tc>
          <w:tcPr>
            <w:tcW w:type="dxa" w:w="262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14202E"/>
                <w:sz w:val="18"/>
                <w:szCs w:val="18"/>
              </w:rPr>
              <w:t xml:space="preserve">“Your controls passed in December. We can tell you what they were doing in March.”</w:t>
            </w:r>
          </w:p>
        </w:tc>
      </w:tr>
      <w:tr>
        <w:trPr>
          <w:cantSplit/>
        </w:trPr>
        <w:tc>
          <w:tcPr>
            <w:tcW w:type="dxa" w:w="241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2F86B3"/>
                <w:sz w:val="18"/>
                <w:szCs w:val="18"/>
              </w:rPr>
              <w:t xml:space="preserve">03 · Founder-delivered</w:t>
            </w:r>
          </w:p>
        </w:tc>
        <w:tc>
          <w:tcPr>
            <w:tcW w:type="dxa" w:w="504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The same practitioner scopes and delivers. A career spent closing FDA 483 observations, bank MRAs and audit findings where the margin for error was zero — not a partner who sells and a junior who staffs.</w:t>
            </w:r>
          </w:p>
        </w:tc>
        <w:tc>
          <w:tcPr>
            <w:tcW w:type="dxa" w:w="262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14202E"/>
                <w:sz w:val="18"/>
                <w:szCs w:val="18"/>
              </w:rPr>
              <w:t xml:space="preserve">“Nobody asked how. Ask us.”</w:t>
            </w:r>
          </w:p>
        </w:tc>
      </w:tr>
    </w:tbl>
    <w:p>
      <w:pPr>
        <w:spacing w:after="180" w:before="0" w:line="276"/>
      </w:pPr>
      <w:r>
        <w:rPr>
          <w:rFonts w:ascii="Calibri" w:cs="Calibri" w:eastAsia="Calibri" w:hAnsi="Calibri"/>
          <w:color w:val="3D4A5A"/>
          <w:sz w:val="8"/>
          <w:szCs w:val="8"/>
        </w:rPr>
        <w:t xml:space="preserve"/>
      </w:r>
    </w:p>
    <w:tbl>
      <w:tblPr>
        <w:tblW w:type="dxa" w:w="10080"/>
        <w:tblBorders>
          <w:top w:val="none"/>
          <w:left w:val="single" w:color="A8781F" w:sz="18"/>
          <w:bottom w:val="none"/>
          <w:right w:val="none"/>
          <w:insideH w:val="none"/>
          <w:insideV w:val="none"/>
        </w:tblBorders>
      </w:tblPr>
      <w:tblGrid>
        <w:gridCol w:w="10080"/>
      </w:tblGrid>
      <w:tr>
        <w:trPr>
          <w:cantSplit/>
        </w:trPr>
        <w:tc>
          <w:tcPr>
            <w:tcW w:type="dxa" w:w="10080"/>
            <w:tcBorders>
              <w:top w:val="none"/>
              <w:left w:val="none"/>
              <w:bottom w:val="none"/>
              <w:right w:val="none"/>
            </w:tcBorders>
            <w:shd w:fill="FBF4E6" w:color="auto" w:val="clear"/>
            <w:tcMar>
              <w:top w:type="dxa" w:w="130"/>
              <w:left w:type="dxa" w:w="180"/>
              <w:bottom w:type="dxa" w:w="130"/>
              <w:right w:type="dxa" w:w="160"/>
            </w:tcMar>
          </w:tcPr>
          <w:p>
            <w:pPr>
              <w:keepNext/>
              <w:spacing w:after="60" w:before="0" w:line="260"/>
            </w:pPr>
            <w:r>
              <w:rPr>
                <w:rFonts w:ascii="Calibri" w:cs="Calibri" w:eastAsia="Calibri" w:hAnsi="Calibri"/>
                <w:b/>
                <w:bCs/>
                <w:color w:val="A8781F"/>
                <w:sz w:val="19"/>
                <w:szCs w:val="19"/>
              </w:rPr>
              <w:t xml:space="preserve">A standing caution on Pillar 03</w:t>
            </w:r>
          </w:p>
          <w:p>
            <w:pPr>
              <w:spacing w:after="40" w:before="0" w:line="265"/>
            </w:pPr>
            <w:r>
              <w:rPr>
                <w:rFonts w:ascii="Calibri" w:cs="Calibri" w:eastAsia="Calibri" w:hAnsi="Calibri"/>
                <w:color w:val="3D4A5A"/>
                <w:sz w:val="19"/>
                <w:szCs w:val="19"/>
              </w:rPr>
              <w:t xml:space="preserve">Pillar 03 is the hardest for competitors to copy and the easiest for 3HUE to lose. It holds only while Andrew is genuinely on the engagement; the moment delivery is delegated, the claim has to change. Flag it if that shifts.</w:t>
            </w:r>
          </w:p>
        </w:tc>
      </w:tr>
    </w:tbl>
    <w:p>
      <w:pPr>
        <w:pStyle w:val="Heading2"/>
        <w:keepNext/>
        <w:spacing w:after="40" w:before="340"/>
      </w:pPr>
      <w:r>
        <w:rPr>
          <w:rFonts w:ascii="Calibri" w:cs="Calibri" w:eastAsia="Calibri" w:hAnsi="Calibri"/>
          <w:b/>
          <w:bCs/>
          <w:color w:val="2F86B3"/>
          <w:sz w:val="28"/>
          <w:szCs w:val="28"/>
        </w:rPr>
        <w:t xml:space="preserve">14. The message by segment</w:t>
      </w:r>
    </w:p>
    <w:p>
      <w:pPr>
        <w:keepNext/>
        <w:spacing w:after="140" w:before="0" w:line="276"/>
      </w:pPr>
      <w:r>
        <w:rPr>
          <w:rFonts w:ascii="Calibri" w:cs="Calibri" w:eastAsia="Calibri" w:hAnsi="Calibri"/>
          <w:i/>
          <w:iCs/>
          <w:color w:val="6B7A8C"/>
          <w:sz w:val="19"/>
          <w:szCs w:val="19"/>
        </w:rPr>
        <w:t xml:space="preserve">Same narrative, three entry points.</w:t>
      </w:r>
    </w:p>
    <w:tbl>
      <w:tblPr>
        <w:tblW w:type="dxa" w:w="10080"/>
        <w:tblBorders>
          <w:top w:val="single" w:color="D3DCE6" w:sz="2"/>
          <w:left w:val="none"/>
          <w:bottom w:val="single" w:color="D3DCE6" w:sz="2"/>
          <w:right w:val="none"/>
          <w:insideH w:val="single" w:color="D3DCE6" w:sz="2"/>
          <w:insideV w:val="none"/>
        </w:tblBorders>
      </w:tblPr>
      <w:tblGrid>
        <w:gridCol w:w="2218"/>
        <w:gridCol w:w="2621"/>
        <w:gridCol w:w="2822"/>
        <w:gridCol w:w="2419"/>
      </w:tblGrid>
      <w:tr>
        <w:trPr>
          <w:cantSplit/>
          <w:tblHeader/>
        </w:trPr>
        <w:tc>
          <w:tcPr>
            <w:tcW w:type="dxa" w:w="2218"/>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Segment</w:t>
            </w:r>
          </w:p>
        </w:tc>
        <w:tc>
          <w:tcPr>
            <w:tcW w:type="dxa" w:w="2621"/>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Opening line</w:t>
            </w:r>
          </w:p>
        </w:tc>
        <w:tc>
          <w:tcPr>
            <w:tcW w:type="dxa" w:w="2822"/>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The frame</w:t>
            </w:r>
          </w:p>
        </w:tc>
        <w:tc>
          <w:tcPr>
            <w:tcW w:type="dxa" w:w="2419"/>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Proof to reach for</w:t>
            </w:r>
          </w:p>
        </w:tc>
      </w:tr>
      <w:tr>
        <w:trPr>
          <w:cantSplit/>
        </w:trPr>
        <w:tc>
          <w:tcPr>
            <w:tcW w:type="dxa" w:w="221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Hue 01 — The Provable Vendor</w:t>
            </w:r>
          </w:p>
        </w:tc>
        <w:tc>
          <w:tcPr>
            <w:tcW w:type="dxa" w:w="262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“Your buyer isn’t asking whether you’re secure. They’re asking whether you can prove it by Friday.”</w:t>
            </w:r>
          </w:p>
        </w:tc>
        <w:tc>
          <w:tcPr>
            <w:tcW w:type="dxa" w:w="2822"/>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Revenue, not risk. The cost of the blocked deal, the date it closes, and who will run the program so engineering does not have to.</w:t>
            </w:r>
          </w:p>
        </w:tc>
        <w:tc>
          <w:tcPr>
            <w:tcW w:type="dxa" w:w="241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Transit Technologies: no formal security program to SOC 2 Type I with zero findings, then multi-entity Type II.</w:t>
            </w:r>
          </w:p>
        </w:tc>
      </w:tr>
      <w:tr>
        <w:trPr>
          <w:cantSplit/>
        </w:trPr>
        <w:tc>
          <w:tcPr>
            <w:tcW w:type="dxa" w:w="2218"/>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Hue 02 — The Portfolio</w:t>
            </w:r>
          </w:p>
        </w:tc>
        <w:tc>
          <w:tcPr>
            <w:tcW w:type="dxa" w:w="262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“Your bigger competitors run cyber diligence on 81% of deals. You run it on 29%.”</w:t>
            </w:r>
          </w:p>
        </w:tc>
        <w:tc>
          <w:tcPr>
            <w:tcW w:type="dxa" w:w="2822"/>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Valuation and exit. One control set across every operating company, evidence that survives a buyer’s diligence, reporting the investment committee can read.</w:t>
            </w:r>
          </w:p>
        </w:tc>
        <w:tc>
          <w:tcPr>
            <w:tcW w:type="dxa" w:w="2419"/>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A large North American bank: 1,000+ systems certified under one scalable GRC assessment framework.</w:t>
            </w:r>
          </w:p>
        </w:tc>
      </w:tr>
      <w:tr>
        <w:trPr>
          <w:cantSplit/>
        </w:trPr>
        <w:tc>
          <w:tcPr>
            <w:tcW w:type="dxa" w:w="221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Hue 03 — The Regulated Operator</w:t>
            </w:r>
          </w:p>
        </w:tc>
        <w:tc>
          <w:tcPr>
            <w:tcW w:type="dxa" w:w="262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“Your controls passed in December. The question is what they were doing in March.”</w:t>
            </w:r>
          </w:p>
        </w:tc>
        <w:tc>
          <w:tcPr>
            <w:tcW w:type="dxa" w:w="2822"/>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Findings that close and stay closed. Named frameworks in the examiner’s language, with continuous monitoring underneath instead of annual testing.</w:t>
            </w:r>
          </w:p>
        </w:tc>
        <w:tc>
          <w:tcPr>
            <w:tcW w:type="dxa" w:w="241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Andrew’s record: FDA 483 observations closed, bank MRAs remediated under sustained examination.</w:t>
            </w:r>
          </w:p>
        </w:tc>
      </w:tr>
    </w:tbl>
    <w:p>
      <w:pPr>
        <w:spacing w:after="180" w:before="0" w:line="276"/>
      </w:pPr>
      <w:r>
        <w:rPr>
          <w:rFonts w:ascii="Calibri" w:cs="Calibri" w:eastAsia="Calibri" w:hAnsi="Calibri"/>
          <w:color w:val="3D4A5A"/>
          <w:sz w:val="8"/>
          <w:szCs w:val="8"/>
        </w:rPr>
        <w:t xml:space="preserve"/>
      </w:r>
    </w:p>
    <w:p>
      <w:pPr>
        <w:spacing w:after="160" w:before="0" w:line="276"/>
      </w:pPr>
      <w:r>
        <w:rPr>
          <w:rFonts w:ascii="Calibri" w:cs="Calibri" w:eastAsia="Calibri" w:hAnsi="Calibri"/>
          <w:i/>
          <w:iCs/>
          <w:color w:val="6B7A8C"/>
          <w:sz w:val="16"/>
          <w:szCs w:val="16"/>
        </w:rPr>
        <w:t xml:space="preserve">Hue 03 is the only segment where NIST, ISO, COBIT and FFIEC belong in the opening line. In Hues 01 and 02, framework names in the headline lose the room — the buyer’s vocabulary is deals, questionnaires, insurance and exits.</w:t>
      </w:r>
    </w:p>
    <w:p>
      <w:pPr>
        <w:pStyle w:val="Heading2"/>
        <w:keepNext/>
        <w:spacing w:after="40" w:before="340"/>
      </w:pPr>
      <w:r>
        <w:rPr>
          <w:rFonts w:ascii="Calibri" w:cs="Calibri" w:eastAsia="Calibri" w:hAnsi="Calibri"/>
          <w:b/>
          <w:bCs/>
          <w:color w:val="2F86B3"/>
          <w:sz w:val="28"/>
          <w:szCs w:val="28"/>
        </w:rPr>
        <w:t xml:space="preserve">15. Claims library</w:t>
      </w:r>
    </w:p>
    <w:p>
      <w:pPr>
        <w:keepNext/>
        <w:spacing w:after="140" w:before="0" w:line="276"/>
      </w:pPr>
      <w:r>
        <w:rPr>
          <w:rFonts w:ascii="Calibri" w:cs="Calibri" w:eastAsia="Calibri" w:hAnsi="Calibri"/>
          <w:i/>
          <w:iCs/>
          <w:color w:val="6B7A8C"/>
          <w:sz w:val="19"/>
          <w:szCs w:val="19"/>
        </w:rPr>
        <w:t xml:space="preserve">The most important section in this report. Marketing gets into trouble at exactly one place — a number that felt true, repeated until it became policy.</w:t>
      </w:r>
    </w:p>
    <w:p>
      <w:pPr>
        <w:pStyle w:val="Heading3"/>
        <w:keepNext/>
        <w:spacing w:after="80" w:before="240"/>
      </w:pPr>
      <w:r>
        <w:rPr>
          <w:rFonts w:ascii="Calibri" w:cs="Calibri" w:eastAsia="Calibri" w:hAnsi="Calibri"/>
          <w:b/>
          <w:bCs/>
          <w:color w:val="14202E"/>
          <w:sz w:val="22"/>
          <w:szCs w:val="22"/>
        </w:rPr>
        <w:t xml:space="preserve">15.1  Claims about 3HUE</w:t>
      </w:r>
    </w:p>
    <w:tbl>
      <w:tblPr>
        <w:tblW w:type="dxa" w:w="10080"/>
        <w:tblBorders>
          <w:top w:val="single" w:color="D3DCE6" w:sz="2"/>
          <w:left w:val="none"/>
          <w:bottom w:val="single" w:color="D3DCE6" w:sz="2"/>
          <w:right w:val="none"/>
          <w:insideH w:val="single" w:color="D3DCE6" w:sz="2"/>
          <w:insideV w:val="none"/>
        </w:tblBorders>
      </w:tblPr>
      <w:tblGrid>
        <w:gridCol w:w="2621"/>
        <w:gridCol w:w="1411"/>
        <w:gridCol w:w="3024"/>
        <w:gridCol w:w="3024"/>
      </w:tblGrid>
      <w:tr>
        <w:trPr>
          <w:cantSplit/>
          <w:tblHeader/>
        </w:trPr>
        <w:tc>
          <w:tcPr>
            <w:tcW w:type="dxa" w:w="2621"/>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Claim</w:t>
            </w:r>
          </w:p>
        </w:tc>
        <w:tc>
          <w:tcPr>
            <w:tcW w:type="dxa" w:w="1411"/>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Status</w:t>
            </w:r>
          </w:p>
        </w:tc>
        <w:tc>
          <w:tcPr>
            <w:tcW w:type="dxa" w:w="3024"/>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Basis</w:t>
            </w:r>
          </w:p>
        </w:tc>
        <w:tc>
          <w:tcPr>
            <w:tcW w:type="dxa" w:w="3024"/>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How to use it</w:t>
            </w:r>
          </w:p>
        </w:tc>
      </w:tr>
      <w:tr>
        <w:trPr>
          <w:cantSplit/>
        </w:trPr>
        <w:tc>
          <w:tcPr>
            <w:tcW w:type="dxa" w:w="262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“SOC 2 Type I with zero findings”</w:t>
            </w:r>
          </w:p>
        </w:tc>
        <w:tc>
          <w:tcPr>
            <w:tcW w:type="dxa" w:w="141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2F8562"/>
                <w:sz w:val="18"/>
                <w:szCs w:val="18"/>
              </w:rPr>
              <w:t xml:space="preserve">Substantiated</w:t>
            </w:r>
          </w:p>
        </w:tc>
        <w:tc>
          <w:tcPr>
            <w:tcW w:type="dxa" w:w="3024"/>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Transit Technologies engagement, published on the customer stories page.</w:t>
            </w:r>
          </w:p>
        </w:tc>
        <w:tc>
          <w:tcPr>
            <w:tcW w:type="dxa" w:w="3024"/>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Always attached to that engagement. Never as a general promise about future audits.</w:t>
            </w:r>
          </w:p>
        </w:tc>
      </w:tr>
      <w:tr>
        <w:trPr>
          <w:cantSplit/>
        </w:trPr>
        <w:tc>
          <w:tcPr>
            <w:tcW w:type="dxa" w:w="262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“Multi-entity SOC 2 Type II across a software portfolio”</w:t>
            </w:r>
          </w:p>
        </w:tc>
        <w:tc>
          <w:tcPr>
            <w:tcW w:type="dxa" w:w="141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2F8562"/>
                <w:sz w:val="18"/>
                <w:szCs w:val="18"/>
              </w:rPr>
              <w:t xml:space="preserve">Substantiated</w:t>
            </w:r>
          </w:p>
        </w:tc>
        <w:tc>
          <w:tcPr>
            <w:tcW w:type="dxa" w:w="3024"/>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Same engagement.</w:t>
            </w:r>
          </w:p>
        </w:tc>
        <w:tc>
          <w:tcPr>
            <w:tcW w:type="dxa" w:w="3024"/>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The strongest Hue 01 and Hue 02 proof point 3HUE owns. Lead with it.</w:t>
            </w:r>
          </w:p>
        </w:tc>
      </w:tr>
      <w:tr>
        <w:trPr>
          <w:cantSplit/>
        </w:trPr>
        <w:tc>
          <w:tcPr>
            <w:tcW w:type="dxa" w:w="262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“1,000+ systems certified under one assessment framework”</w:t>
            </w:r>
          </w:p>
        </w:tc>
        <w:tc>
          <w:tcPr>
            <w:tcW w:type="dxa" w:w="141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2F8562"/>
                <w:sz w:val="18"/>
                <w:szCs w:val="18"/>
              </w:rPr>
              <w:t xml:space="preserve">Substantiated</w:t>
            </w:r>
          </w:p>
        </w:tc>
        <w:tc>
          <w:tcPr>
            <w:tcW w:type="dxa" w:w="3024"/>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Large North American bank engagement, published.</w:t>
            </w:r>
          </w:p>
        </w:tc>
        <w:tc>
          <w:tcPr>
            <w:tcW w:type="dxa" w:w="3024"/>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Usable, but the client is unnamed — say “a large North American bank,” never imply a logo.</w:t>
            </w:r>
          </w:p>
        </w:tc>
      </w:tr>
      <w:tr>
        <w:trPr>
          <w:cantSplit/>
        </w:trPr>
        <w:tc>
          <w:tcPr>
            <w:tcW w:type="dxa" w:w="262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“AI Risk &amp; Readiness Snapshot in 10 business days”</w:t>
            </w:r>
          </w:p>
        </w:tc>
        <w:tc>
          <w:tcPr>
            <w:tcW w:type="dxa" w:w="141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2F8562"/>
                <w:sz w:val="18"/>
                <w:szCs w:val="18"/>
              </w:rPr>
              <w:t xml:space="preserve">Substantiated</w:t>
            </w:r>
          </w:p>
        </w:tc>
        <w:tc>
          <w:tcPr>
            <w:tcW w:type="dxa" w:w="3024"/>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Published offer and headline commitment on 3hue.net.</w:t>
            </w:r>
          </w:p>
        </w:tc>
        <w:tc>
          <w:tcPr>
            <w:tcW w:type="dxa" w:w="3024"/>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Freely usable. The single most concrete thing on the website — use it more, not less.</w:t>
            </w:r>
          </w:p>
        </w:tc>
      </w:tr>
      <w:tr>
        <w:trPr>
          <w:cantSplit/>
        </w:trPr>
        <w:tc>
          <w:tcPr>
            <w:tcW w:type="dxa" w:w="262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“The same advisor who scopes the work delivers it”</w:t>
            </w:r>
          </w:p>
        </w:tc>
        <w:tc>
          <w:tcPr>
            <w:tcW w:type="dxa" w:w="141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2F8562"/>
                <w:sz w:val="18"/>
                <w:szCs w:val="18"/>
              </w:rPr>
              <w:t xml:space="preserve">Substantiated</w:t>
            </w:r>
          </w:p>
        </w:tc>
        <w:tc>
          <w:tcPr>
            <w:tcW w:type="dxa" w:w="3024"/>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Stated on the About page; structural to a founder-led firm.</w:t>
            </w:r>
          </w:p>
        </w:tc>
        <w:tc>
          <w:tcPr>
            <w:tcW w:type="dxa" w:w="3024"/>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Core differentiator. Stops being true the moment delivery is delegated.</w:t>
            </w:r>
          </w:p>
        </w:tc>
      </w:tr>
      <w:tr>
        <w:trPr>
          <w:cantSplit/>
        </w:trPr>
        <w:tc>
          <w:tcPr>
            <w:tcW w:type="dxa" w:w="262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“11 years in business · BBB Accredited · A+”</w:t>
            </w:r>
          </w:p>
        </w:tc>
        <w:tc>
          <w:tcPr>
            <w:tcW w:type="dxa" w:w="141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2F8562"/>
                <w:sz w:val="18"/>
                <w:szCs w:val="18"/>
              </w:rPr>
              <w:t xml:space="preserve">Substantiated</w:t>
            </w:r>
          </w:p>
        </w:tc>
        <w:tc>
          <w:tcPr>
            <w:tcW w:type="dxa" w:w="3024"/>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Incorporated 27 July 2015; BBB accredited 28 August 2025, A+ rating.</w:t>
            </w:r>
          </w:p>
        </w:tc>
        <w:tc>
          <w:tcPr>
            <w:tcW w:type="dxa" w:w="3024"/>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Useful trust signal for SMB and regulated buyers. Weak with SaaS founders — omit there.</w:t>
            </w:r>
          </w:p>
        </w:tc>
      </w:tr>
      <w:tr>
        <w:trPr>
          <w:cantSplit/>
        </w:trPr>
        <w:tc>
          <w:tcPr>
            <w:tcW w:type="dxa" w:w="262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Andrew’s record: FDA 483s closed, bank MRAs remediated</w:t>
            </w:r>
          </w:p>
        </w:tc>
        <w:tc>
          <w:tcPr>
            <w:tcW w:type="dxa" w:w="141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2F8562"/>
                <w:sz w:val="18"/>
                <w:szCs w:val="18"/>
              </w:rPr>
              <w:t xml:space="preserve">Substantiated</w:t>
            </w:r>
          </w:p>
        </w:tc>
        <w:tc>
          <w:tcPr>
            <w:tcW w:type="dxa" w:w="3024"/>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Stated in his published founder thesis, consistent across his writing.</w:t>
            </w:r>
          </w:p>
        </w:tc>
        <w:tc>
          <w:tcPr>
            <w:tcW w:type="dxa" w:w="3024"/>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The single best Hue 03 asset. Use in first person, from him, not as third-person marketing copy.</w:t>
            </w:r>
          </w:p>
        </w:tc>
      </w:tr>
      <w:tr>
        <w:trPr>
          <w:cantSplit/>
        </w:trPr>
        <w:tc>
          <w:tcPr>
            <w:tcW w:type="dxa" w:w="262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Veteran-Owned Small Business</w:t>
            </w:r>
          </w:p>
        </w:tc>
        <w:tc>
          <w:tcPr>
            <w:tcW w:type="dxa" w:w="141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A8781F"/>
                <w:sz w:val="18"/>
                <w:szCs w:val="18"/>
              </w:rPr>
              <w:t xml:space="preserve">Needs verification</w:t>
            </w:r>
          </w:p>
        </w:tc>
        <w:tc>
          <w:tcPr>
            <w:tcW w:type="dxa" w:w="3024"/>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Stated in the 2024 marketing strategy deck. Appears on no current public page or third-party listing.</w:t>
            </w:r>
          </w:p>
        </w:tc>
        <w:tc>
          <w:tcPr>
            <w:tcW w:type="dxa" w:w="3024"/>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Confirm VOSB vs SDVOSB and SBA registration before any public use. Then it belongs in the footer, the LinkedIn page and this library.</w:t>
            </w:r>
          </w:p>
        </w:tc>
      </w:tr>
      <w:tr>
        <w:trPr>
          <w:cantSplit/>
        </w:trPr>
        <w:tc>
          <w:tcPr>
            <w:tcW w:type="dxa" w:w="262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Named client logos beyond those published</w:t>
            </w:r>
          </w:p>
        </w:tc>
        <w:tc>
          <w:tcPr>
            <w:tcW w:type="dxa" w:w="141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A8781F"/>
                <w:sz w:val="18"/>
                <w:szCs w:val="18"/>
              </w:rPr>
              <w:t xml:space="preserve">Needs permission</w:t>
            </w:r>
          </w:p>
        </w:tc>
        <w:tc>
          <w:tcPr>
            <w:tcW w:type="dxa" w:w="3024"/>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Only Transit Technologies and Rolly Marine appear publicly.</w:t>
            </w:r>
          </w:p>
        </w:tc>
        <w:tc>
          <w:tcPr>
            <w:tcW w:type="dxa" w:w="3024"/>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Get written consent before any new name appears anywhere. Assume no until confirmed.</w:t>
            </w:r>
          </w:p>
        </w:tc>
      </w:tr>
      <w:tr>
        <w:trPr>
          <w:cantSplit/>
        </w:trPr>
        <w:tc>
          <w:tcPr>
            <w:tcW w:type="dxa" w:w="262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AiVRIC modules in beta or alpha sold as available</w:t>
            </w:r>
          </w:p>
        </w:tc>
        <w:tc>
          <w:tcPr>
            <w:tcW w:type="dxa" w:w="141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A8781F"/>
                <w:sz w:val="18"/>
                <w:szCs w:val="18"/>
              </w:rPr>
              <w:t xml:space="preserve">Qualify it</w:t>
            </w:r>
          </w:p>
        </w:tc>
        <w:tc>
          <w:tcPr>
            <w:tcW w:type="dxa" w:w="3024"/>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Only CloudSignals+RiskOps is marked available. AI Signals, AIRE Agentic Mesh, RogueAgent and Vision AI are beta, alpha or roadmap.</w:t>
            </w:r>
          </w:p>
        </w:tc>
        <w:tc>
          <w:tcPr>
            <w:tcW w:type="dxa" w:w="3024"/>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Say “available today” only for CloudSignals. Everything else is “in development” — in writing, every time.</w:t>
            </w:r>
          </w:p>
        </w:tc>
      </w:tr>
      <w:tr>
        <w:trPr>
          <w:cantSplit/>
        </w:trPr>
        <w:tc>
          <w:tcPr>
            <w:tcW w:type="dxa" w:w="262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“We reduce audit cost / time by X%”</w:t>
            </w:r>
          </w:p>
        </w:tc>
        <w:tc>
          <w:tcPr>
            <w:tcW w:type="dxa" w:w="141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A4462F"/>
                <w:sz w:val="18"/>
                <w:szCs w:val="18"/>
              </w:rPr>
              <w:t xml:space="preserve">DO NOT USE</w:t>
            </w:r>
          </w:p>
        </w:tc>
        <w:tc>
          <w:tcPr>
            <w:tcW w:type="dxa" w:w="3024"/>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No measured baseline exists. No engagement has published before-and-after figures.</w:t>
            </w:r>
          </w:p>
        </w:tc>
        <w:tc>
          <w:tcPr>
            <w:tcW w:type="dxa" w:w="3024"/>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Blocked until 3HUE instruments its own delivery. Worth fixing — this is the claim buyers most want.</w:t>
            </w:r>
          </w:p>
        </w:tc>
      </w:tr>
      <w:tr>
        <w:trPr>
          <w:cantSplit/>
        </w:trPr>
        <w:tc>
          <w:tcPr>
            <w:tcW w:type="dxa" w:w="262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“Trusted by N companies” / any client count</w:t>
            </w:r>
          </w:p>
        </w:tc>
        <w:tc>
          <w:tcPr>
            <w:tcW w:type="dxa" w:w="141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A4462F"/>
                <w:sz w:val="18"/>
                <w:szCs w:val="18"/>
              </w:rPr>
              <w:t xml:space="preserve">DO NOT USE</w:t>
            </w:r>
          </w:p>
        </w:tc>
        <w:tc>
          <w:tcPr>
            <w:tcW w:type="dxa" w:w="3024"/>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No verifiable count is public.</w:t>
            </w:r>
          </w:p>
        </w:tc>
        <w:tc>
          <w:tcPr>
            <w:tcW w:type="dxa" w:w="3024"/>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Blocked until someone confirms the number and is willing to stand behind it.</w:t>
            </w:r>
          </w:p>
        </w:tc>
      </w:tr>
    </w:tbl>
    <w:p>
      <w:pPr>
        <w:spacing w:after="180" w:before="0" w:line="276"/>
      </w:pPr>
      <w:r>
        <w:rPr>
          <w:rFonts w:ascii="Calibri" w:cs="Calibri" w:eastAsia="Calibri" w:hAnsi="Calibri"/>
          <w:color w:val="3D4A5A"/>
          <w:sz w:val="8"/>
          <w:szCs w:val="8"/>
        </w:rPr>
        <w:t xml:space="preserve"/>
      </w:r>
    </w:p>
    <w:p>
      <w:pPr>
        <w:pStyle w:val="Heading3"/>
        <w:keepNext/>
        <w:spacing w:after="80" w:before="240"/>
      </w:pPr>
      <w:r>
        <w:rPr>
          <w:rFonts w:ascii="Calibri" w:cs="Calibri" w:eastAsia="Calibri" w:hAnsi="Calibri"/>
          <w:b/>
          <w:bCs/>
          <w:color w:val="14202E"/>
          <w:sz w:val="22"/>
          <w:szCs w:val="22"/>
        </w:rPr>
        <w:t xml:space="preserve">15.2  Third-party statistics — cite the source every time</w:t>
      </w:r>
    </w:p>
    <w:tbl>
      <w:tblPr>
        <w:tblW w:type="dxa" w:w="10080"/>
        <w:tblBorders>
          <w:top w:val="single" w:color="D3DCE6" w:sz="2"/>
          <w:left w:val="none"/>
          <w:bottom w:val="single" w:color="D3DCE6" w:sz="2"/>
          <w:right w:val="none"/>
          <w:insideH w:val="single" w:color="D3DCE6" w:sz="2"/>
          <w:insideV w:val="none"/>
        </w:tblBorders>
      </w:tblPr>
      <w:tblGrid>
        <w:gridCol w:w="2822"/>
        <w:gridCol w:w="1310"/>
        <w:gridCol w:w="3024"/>
        <w:gridCol w:w="2923"/>
      </w:tblGrid>
      <w:tr>
        <w:trPr>
          <w:cantSplit/>
          <w:tblHeader/>
        </w:trPr>
        <w:tc>
          <w:tcPr>
            <w:tcW w:type="dxa" w:w="2822"/>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Statistic</w:t>
            </w:r>
          </w:p>
        </w:tc>
        <w:tc>
          <w:tcPr>
            <w:tcW w:type="dxa" w:w="1310"/>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Status</w:t>
            </w:r>
          </w:p>
        </w:tc>
        <w:tc>
          <w:tcPr>
            <w:tcW w:type="dxa" w:w="3024"/>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Source to cite</w:t>
            </w:r>
          </w:p>
        </w:tc>
        <w:tc>
          <w:tcPr>
            <w:tcW w:type="dxa" w:w="2923"/>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Best used for</w:t>
            </w:r>
          </w:p>
        </w:tc>
      </w:tr>
      <w:tr>
        <w:trPr>
          <w:cantSplit/>
        </w:trPr>
        <w:tc>
          <w:tcPr>
            <w:tcW w:type="dxa" w:w="2822"/>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68% have ≤1 full-time security person; 93% call security a top priority</w:t>
            </w:r>
          </w:p>
        </w:tc>
        <w:tc>
          <w:tcPr>
            <w:tcW w:type="dxa" w:w="131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2F8562"/>
                <w:sz w:val="18"/>
                <w:szCs w:val="18"/>
              </w:rPr>
              <w:t xml:space="preserve">Verified</w:t>
            </w:r>
          </w:p>
        </w:tc>
        <w:tc>
          <w:tcPr>
            <w:tcW w:type="dxa" w:w="3024"/>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Secureframe, 2026 Benchmark (Dec 2025, n=255)</w:t>
            </w:r>
          </w:p>
        </w:tc>
        <w:tc>
          <w:tcPr>
            <w:tcW w:type="dxa" w:w="2923"/>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The capacity beat. The workhorse stat of the whole framework.</w:t>
            </w:r>
          </w:p>
        </w:tc>
      </w:tr>
      <w:tr>
        <w:trPr>
          <w:cantSplit/>
        </w:trPr>
        <w:tc>
          <w:tcPr>
            <w:tcW w:type="dxa" w:w="2822"/>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61% required a certification to win or renew; 38% lost revenue</w:t>
            </w:r>
          </w:p>
        </w:tc>
        <w:tc>
          <w:tcPr>
            <w:tcW w:type="dxa" w:w="1310"/>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2F8562"/>
                <w:sz w:val="18"/>
                <w:szCs w:val="18"/>
              </w:rPr>
              <w:t xml:space="preserve">Verified</w:t>
            </w:r>
          </w:p>
        </w:tc>
        <w:tc>
          <w:tcPr>
            <w:tcW w:type="dxa" w:w="3024"/>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Secureframe, 2026 Benchmark</w:t>
            </w:r>
          </w:p>
        </w:tc>
        <w:tc>
          <w:tcPr>
            <w:tcW w:type="dxa" w:w="2923"/>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The trigger beat, Hue 01.</w:t>
            </w:r>
          </w:p>
        </w:tc>
      </w:tr>
      <w:tr>
        <w:trPr>
          <w:cantSplit/>
        </w:trPr>
        <w:tc>
          <w:tcPr>
            <w:tcW w:type="dxa" w:w="2822"/>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81% vs 29% PE cyber diligence; $2.1M average deal impact</w:t>
            </w:r>
          </w:p>
        </w:tc>
        <w:tc>
          <w:tcPr>
            <w:tcW w:type="dxa" w:w="131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2F8562"/>
                <w:sz w:val="18"/>
                <w:szCs w:val="18"/>
              </w:rPr>
              <w:t xml:space="preserve">Verified</w:t>
            </w:r>
          </w:p>
        </w:tc>
        <w:tc>
          <w:tcPr>
            <w:tcW w:type="dxa" w:w="3024"/>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Kroll, Private Equity Cybersecurity (Feb 2026, n=325)</w:t>
            </w:r>
          </w:p>
        </w:tc>
        <w:tc>
          <w:tcPr>
            <w:tcW w:type="dxa" w:w="2923"/>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Hue 02. The entire portfolio pitch rests on this.</w:t>
            </w:r>
          </w:p>
        </w:tc>
      </w:tr>
      <w:tr>
        <w:trPr>
          <w:cantSplit/>
        </w:trPr>
        <w:tc>
          <w:tcPr>
            <w:tcW w:type="dxa" w:w="2822"/>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~35,000 CISOs for ~359 million businesses (10,000:1)</w:t>
            </w:r>
          </w:p>
        </w:tc>
        <w:tc>
          <w:tcPr>
            <w:tcW w:type="dxa" w:w="1310"/>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2F8562"/>
                <w:sz w:val="18"/>
                <w:szCs w:val="18"/>
              </w:rPr>
              <w:t xml:space="preserve">Verified</w:t>
            </w:r>
          </w:p>
        </w:tc>
        <w:tc>
          <w:tcPr>
            <w:tcW w:type="dxa" w:w="3024"/>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Cybersecurity Ventures with Sophos, 2026 CISO Report</w:t>
            </w:r>
          </w:p>
        </w:tc>
        <w:tc>
          <w:tcPr>
            <w:tcW w:type="dxa" w:w="2923"/>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Why hiring is not the alternative.</w:t>
            </w:r>
          </w:p>
        </w:tc>
      </w:tr>
      <w:tr>
        <w:trPr>
          <w:cantSplit/>
        </w:trPr>
        <w:tc>
          <w:tcPr>
            <w:tcW w:type="dxa" w:w="2822"/>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72% periodic assessments vs 28% continuous</w:t>
            </w:r>
          </w:p>
        </w:tc>
        <w:tc>
          <w:tcPr>
            <w:tcW w:type="dxa" w:w="131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2F8562"/>
                <w:sz w:val="18"/>
                <w:szCs w:val="18"/>
              </w:rPr>
              <w:t xml:space="preserve">Verified</w:t>
            </w:r>
          </w:p>
        </w:tc>
        <w:tc>
          <w:tcPr>
            <w:tcW w:type="dxa" w:w="3024"/>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RegScale, 2026 State of Continuous Controls Monitoring (n=253)</w:t>
            </w:r>
          </w:p>
        </w:tc>
        <w:tc>
          <w:tcPr>
            <w:tcW w:type="dxa" w:w="2923"/>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Pillar 02.</w:t>
            </w:r>
          </w:p>
        </w:tc>
      </w:tr>
      <w:tr>
        <w:trPr>
          <w:cantSplit/>
        </w:trPr>
        <w:tc>
          <w:tcPr>
            <w:tcW w:type="dxa" w:w="2822"/>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78% of recent audit failures had prior breaches</w:t>
            </w:r>
          </w:p>
        </w:tc>
        <w:tc>
          <w:tcPr>
            <w:tcW w:type="dxa" w:w="1310"/>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2F8562"/>
                <w:sz w:val="18"/>
                <w:szCs w:val="18"/>
              </w:rPr>
              <w:t xml:space="preserve">Verified</w:t>
            </w:r>
          </w:p>
        </w:tc>
        <w:tc>
          <w:tcPr>
            <w:tcW w:type="dxa" w:w="3024"/>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Thales, 2025 Data Threat Report</w:t>
            </w:r>
          </w:p>
        </w:tc>
        <w:tc>
          <w:tcPr>
            <w:tcW w:type="dxa" w:w="2923"/>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The paper-doesn’t-protect beat. Handle carefully — it is correlation.</w:t>
            </w:r>
          </w:p>
        </w:tc>
      </w:tr>
      <w:tr>
        <w:trPr>
          <w:cantSplit/>
        </w:trPr>
        <w:tc>
          <w:tcPr>
            <w:tcW w:type="dxa" w:w="2822"/>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MFA deployed 86.8%, required everywhere 51.1%</w:t>
            </w:r>
          </w:p>
        </w:tc>
        <w:tc>
          <w:tcPr>
            <w:tcW w:type="dxa" w:w="131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2F8562"/>
                <w:sz w:val="18"/>
                <w:szCs w:val="18"/>
              </w:rPr>
              <w:t xml:space="preserve">Verified</w:t>
            </w:r>
          </w:p>
        </w:tc>
        <w:tc>
          <w:tcPr>
            <w:tcW w:type="dxa" w:w="3024"/>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National Cybersecurity Alliance with CISA, 2026 (n=1,000)</w:t>
            </w:r>
          </w:p>
        </w:tc>
        <w:tc>
          <w:tcPr>
            <w:tcW w:type="dxa" w:w="2923"/>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“Deployed is not operating.” The most vivid stat available.</w:t>
            </w:r>
          </w:p>
        </w:tc>
      </w:tr>
      <w:tr>
        <w:trPr>
          <w:cantSplit/>
        </w:trPr>
        <w:tc>
          <w:tcPr>
            <w:tcW w:type="dxa" w:w="2822"/>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MSPs offering vCISO: 21% → 67% in one year</w:t>
            </w:r>
          </w:p>
        </w:tc>
        <w:tc>
          <w:tcPr>
            <w:tcW w:type="dxa" w:w="1310"/>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2F8562"/>
                <w:sz w:val="18"/>
                <w:szCs w:val="18"/>
              </w:rPr>
              <w:t xml:space="preserve">Verified</w:t>
            </w:r>
          </w:p>
        </w:tc>
        <w:tc>
          <w:tcPr>
            <w:tcW w:type="dxa" w:w="3024"/>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Cynomi, 2025 State of the vCISO</w:t>
            </w:r>
          </w:p>
        </w:tc>
        <w:tc>
          <w:tcPr>
            <w:tcW w:type="dxa" w:w="2923"/>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Battlecard context. Also a warning about commoditization.</w:t>
            </w:r>
          </w:p>
        </w:tc>
      </w:tr>
      <w:tr>
        <w:trPr>
          <w:cantSplit/>
        </w:trPr>
        <w:tc>
          <w:tcPr>
            <w:tcW w:type="dxa" w:w="2822"/>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“40% of cyber insurance claims were denied”</w:t>
            </w:r>
          </w:p>
        </w:tc>
        <w:tc>
          <w:tcPr>
            <w:tcW w:type="dxa" w:w="131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A4462F"/>
                <w:sz w:val="18"/>
                <w:szCs w:val="18"/>
              </w:rPr>
              <w:t xml:space="preserve">DO NOT USE</w:t>
            </w:r>
          </w:p>
        </w:tc>
        <w:tc>
          <w:tcPr>
            <w:tcW w:type="dxa" w:w="3024"/>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Appears in a LinkedIn post with no source attached; no carrier report supports it.</w:t>
            </w:r>
          </w:p>
        </w:tc>
        <w:tc>
          <w:tcPr>
            <w:tcW w:type="dxa" w:w="2923"/>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Use the mechanism instead — controls attested versus controls demonstrated at claim time. The story converts without the number.</w:t>
            </w:r>
          </w:p>
        </w:tc>
      </w:tr>
      <w:tr>
        <w:trPr>
          <w:cantSplit/>
        </w:trPr>
        <w:tc>
          <w:tcPr>
            <w:tcW w:type="dxa" w:w="2822"/>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Any dollar size for “the vCISO market”</w:t>
            </w:r>
          </w:p>
        </w:tc>
        <w:tc>
          <w:tcPr>
            <w:tcW w:type="dxa" w:w="1310"/>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A4462F"/>
                <w:sz w:val="18"/>
                <w:szCs w:val="18"/>
              </w:rPr>
              <w:t xml:space="preserve">DO NOT USE</w:t>
            </w:r>
          </w:p>
        </w:tc>
        <w:tc>
          <w:tcPr>
            <w:tcW w:type="dxa" w:w="3024"/>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Only SEO aggregators publish one. No credible primary source found.</w:t>
            </w:r>
          </w:p>
        </w:tc>
        <w:tc>
          <w:tcPr>
            <w:tcW w:type="dxa" w:w="2923"/>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Blocked. Use the adoption trend instead.</w:t>
            </w:r>
          </w:p>
        </w:tc>
      </w:tr>
      <w:tr>
        <w:trPr>
          <w:cantSplit/>
        </w:trPr>
        <w:tc>
          <w:tcPr>
            <w:tcW w:type="dxa" w:w="2822"/>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Current TOGAF or COBIT adoption rates</w:t>
            </w:r>
          </w:p>
        </w:tc>
        <w:tc>
          <w:tcPr>
            <w:tcW w:type="dxa" w:w="131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A4462F"/>
                <w:sz w:val="18"/>
                <w:szCs w:val="18"/>
              </w:rPr>
              <w:t xml:space="preserve">DO NOT USE</w:t>
            </w:r>
          </w:p>
        </w:tc>
        <w:tc>
          <w:tcPr>
            <w:tcW w:type="dxa" w:w="3024"/>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No current data exists. The newest ITIL adoption survey found is from 2020.</w:t>
            </w:r>
          </w:p>
        </w:tc>
        <w:tc>
          <w:tcPr>
            <w:tcW w:type="dxa" w:w="2923"/>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Blocked. Do not estimate.</w:t>
            </w:r>
          </w:p>
        </w:tc>
      </w:tr>
      <w:tr>
        <w:trPr>
          <w:cantSplit/>
        </w:trPr>
        <w:tc>
          <w:tcPr>
            <w:tcW w:type="dxa" w:w="2822"/>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“ISO 27001 certifications doubled”</w:t>
            </w:r>
          </w:p>
        </w:tc>
        <w:tc>
          <w:tcPr>
            <w:tcW w:type="dxa" w:w="1310"/>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A4462F"/>
                <w:sz w:val="18"/>
                <w:szCs w:val="18"/>
              </w:rPr>
              <w:t xml:space="preserve">DO NOT USE</w:t>
            </w:r>
          </w:p>
        </w:tc>
        <w:tc>
          <w:tcPr>
            <w:tcW w:type="dxa" w:w="3024"/>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The apparent jump in the 2024 ISO Survey is a reporting-method change, not growth.</w:t>
            </w:r>
          </w:p>
        </w:tc>
        <w:tc>
          <w:tcPr>
            <w:tcW w:type="dxa" w:w="2923"/>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Cite the level (96,709 valid certificates) if needed, never the growth.</w:t>
            </w:r>
          </w:p>
        </w:tc>
      </w:tr>
      <w:tr>
        <w:trPr>
          <w:cantSplit/>
        </w:trPr>
        <w:tc>
          <w:tcPr>
            <w:tcW w:type="dxa" w:w="2822"/>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CMMC as a live, enforced requirement</w:t>
            </w:r>
          </w:p>
        </w:tc>
        <w:tc>
          <w:tcPr>
            <w:tcW w:type="dxa" w:w="131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A8781F"/>
                <w:sz w:val="18"/>
                <w:szCs w:val="18"/>
              </w:rPr>
              <w:t xml:space="preserve">Time-sensitive</w:t>
            </w:r>
          </w:p>
        </w:tc>
        <w:tc>
          <w:tcPr>
            <w:tcW w:type="dxa" w:w="3024"/>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Phase II suspended 13 July 2026 by the DoW CIO. Phase I self-assessments, NIST SP 800-171 and DFARS 252.204-7012 still apply.</w:t>
            </w:r>
          </w:p>
        </w:tc>
        <w:tc>
          <w:tcPr>
            <w:tcW w:type="dxa" w:w="2923"/>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Re-verify before any defense-sector campaign. The correct line is “the certification paused; the controls didn’t.”</w:t>
            </w:r>
          </w:p>
        </w:tc>
      </w:tr>
    </w:tbl>
    <w:p>
      <w:pPr>
        <w:spacing w:after="180" w:before="0" w:line="276"/>
      </w:pPr>
      <w:r>
        <w:rPr>
          <w:rFonts w:ascii="Calibri" w:cs="Calibri" w:eastAsia="Calibri" w:hAnsi="Calibri"/>
          <w:color w:val="3D4A5A"/>
          <w:sz w:val="8"/>
          <w:szCs w:val="8"/>
        </w:rPr>
        <w:t xml:space="preserve"/>
      </w:r>
    </w:p>
    <w:tbl>
      <w:tblPr>
        <w:tblW w:type="dxa" w:w="10080"/>
        <w:tblBorders>
          <w:top w:val="none"/>
          <w:left w:val="single" w:color="A8781F" w:sz="18"/>
          <w:bottom w:val="none"/>
          <w:right w:val="none"/>
          <w:insideH w:val="none"/>
          <w:insideV w:val="none"/>
        </w:tblBorders>
      </w:tblPr>
      <w:tblGrid>
        <w:gridCol w:w="10080"/>
      </w:tblGrid>
      <w:tr>
        <w:trPr>
          <w:cantSplit/>
        </w:trPr>
        <w:tc>
          <w:tcPr>
            <w:tcW w:type="dxa" w:w="10080"/>
            <w:tcBorders>
              <w:top w:val="none"/>
              <w:left w:val="none"/>
              <w:bottom w:val="none"/>
              <w:right w:val="none"/>
            </w:tcBorders>
            <w:shd w:fill="FBF4E6" w:color="auto" w:val="clear"/>
            <w:tcMar>
              <w:top w:type="dxa" w:w="130"/>
              <w:left w:type="dxa" w:w="180"/>
              <w:bottom w:type="dxa" w:w="130"/>
              <w:right w:type="dxa" w:w="160"/>
            </w:tcMar>
          </w:tcPr>
          <w:p>
            <w:pPr>
              <w:keepNext/>
              <w:spacing w:after="60" w:before="0" w:line="260"/>
            </w:pPr>
            <w:r>
              <w:rPr>
                <w:rFonts w:ascii="Calibri" w:cs="Calibri" w:eastAsia="Calibri" w:hAnsi="Calibri"/>
                <w:b/>
                <w:bCs/>
                <w:color w:val="A8781F"/>
                <w:sz w:val="19"/>
                <w:szCs w:val="19"/>
              </w:rPr>
              <w:t xml:space="preserve">Two standing rules</w:t>
            </w:r>
          </w:p>
          <w:p>
            <w:pPr>
              <w:spacing w:after="40" w:before="0" w:line="265"/>
            </w:pPr>
            <w:r>
              <w:rPr>
                <w:rFonts w:ascii="Calibri" w:cs="Calibri" w:eastAsia="Calibri" w:hAnsi="Calibri"/>
                <w:color w:val="3D4A5A"/>
                <w:sz w:val="19"/>
                <w:szCs w:val="19"/>
              </w:rPr>
              <w:t xml:space="preserve">Cite the source and the year in the asset itself, not just in a footnote — an uncited statistic in a deck becomes an unattributable one in a proposal.</w:t>
            </w:r>
          </w:p>
          <w:p>
            <w:pPr>
              <w:spacing w:after="40" w:before="0" w:line="265"/>
            </w:pPr>
            <w:r>
              <w:rPr>
                <w:rFonts w:ascii="Calibri" w:cs="Calibri" w:eastAsia="Calibri" w:hAnsi="Calibri"/>
                <w:color w:val="3D4A5A"/>
                <w:sz w:val="19"/>
                <w:szCs w:val="19"/>
              </w:rPr>
              <w:t xml:space="preserve">Treat every figure here as expiring. These are 2024–2026 surveys, most refresh annually, and a stat that is two cycles old reads as sloppy to the exact buyer 3HUE wants. Re-check this table each January.</w:t>
            </w:r>
          </w:p>
        </w:tc>
      </w:tr>
    </w:tbl>
    <w:p>
      <w:pPr>
        <w:pStyle w:val="Heading2"/>
        <w:keepNext/>
        <w:spacing w:after="40" w:before="340"/>
      </w:pPr>
      <w:r>
        <w:rPr>
          <w:rFonts w:ascii="Calibri" w:cs="Calibri" w:eastAsia="Calibri" w:hAnsi="Calibri"/>
          <w:b/>
          <w:bCs/>
          <w:color w:val="2F86B3"/>
          <w:sz w:val="28"/>
          <w:szCs w:val="28"/>
        </w:rPr>
        <w:t xml:space="preserve">16. Objection handling</w:t>
      </w:r>
    </w:p>
    <w:p>
      <w:pPr>
        <w:keepNext/>
        <w:spacing w:after="140" w:before="0" w:line="276"/>
      </w:pPr>
      <w:r>
        <w:rPr>
          <w:rFonts w:ascii="Calibri" w:cs="Calibri" w:eastAsia="Calibri" w:hAnsi="Calibri"/>
          <w:i/>
          <w:iCs/>
          <w:color w:val="6B7A8C"/>
          <w:sz w:val="19"/>
          <w:szCs w:val="19"/>
        </w:rPr>
        <w:t xml:space="preserve">The eight that actually come up, drawn from what buyers say in public. The move is never to argue the objection away — most of them are correct.</w:t>
      </w:r>
    </w:p>
    <w:p>
      <w:pPr>
        <w:keepNext/>
        <w:spacing w:after="60" w:before="180"/>
      </w:pPr>
      <w:r>
        <w:rPr>
          <w:rFonts w:ascii="Calibri" w:cs="Calibri" w:eastAsia="Calibri" w:hAnsi="Calibri"/>
          <w:b/>
          <w:bCs/>
          <w:color w:val="3D4A5A"/>
          <w:sz w:val="20"/>
          <w:szCs w:val="20"/>
        </w:rPr>
        <w:t xml:space="preserve">“We already have Vanta / Drata.”</w:t>
      </w:r>
    </w:p>
    <w:p>
      <w:pPr>
        <w:spacing w:after="120" w:before="0" w:line="276"/>
      </w:pPr>
      <w:r>
        <w:rPr>
          <w:rFonts w:ascii="Calibri" w:cs="Calibri" w:eastAsia="Calibri" w:hAnsi="Calibri"/>
          <w:color w:val="3D4A5A"/>
          <w:sz w:val="20"/>
          <w:szCs w:val="20"/>
        </w:rPr>
        <w:t xml:space="preserve">Do not treat this as a competitor. It is a qualifier — they have already spent money to solve this and are still not done.</w:t>
      </w:r>
    </w:p>
    <w:p>
      <w:pPr>
        <w:spacing w:after="120" w:before="0" w:line="276"/>
      </w:pPr>
      <w:r>
        <w:rPr>
          <w:rFonts w:ascii="Calibri" w:cs="Calibri" w:eastAsia="Calibri" w:hAnsi="Calibri"/>
          <w:b/>
          <w:bCs/>
          <w:color w:val="14202E"/>
          <w:sz w:val="20"/>
          <w:szCs w:val="20"/>
        </w:rPr>
        <w:t xml:space="preserve">Move: </w:t>
      </w:r>
      <w:r>
        <w:rPr>
          <w:rFonts w:ascii="Calibri" w:cs="Calibri" w:eastAsia="Calibri" w:hAnsi="Calibri"/>
          <w:i/>
          <w:iCs/>
          <w:color w:val="3D4A5A"/>
          <w:sz w:val="20"/>
          <w:szCs w:val="20"/>
        </w:rPr>
        <w:t xml:space="preserve">“Good — keep it. A platform tells you what is wrong. The question is who fixes it, who answers the questionnaire, and who negotiates scope with the auditor. That is the job we do, and we do it on top of the tool you already bought.”</w:t>
      </w:r>
    </w:p>
    <w:p>
      <w:pPr>
        <w:spacing w:after="160" w:before="0" w:line="276"/>
      </w:pPr>
      <w:r>
        <w:rPr>
          <w:rFonts w:ascii="Calibri" w:cs="Calibri" w:eastAsia="Calibri" w:hAnsi="Calibri"/>
          <w:i/>
          <w:iCs/>
          <w:color w:val="6B7A8C"/>
          <w:sz w:val="16"/>
          <w:szCs w:val="16"/>
        </w:rPr>
        <w:t xml:space="preserve">Buyer language: “most compliance tools just hand you a longer to-do list.” Also: “Basic technical compliance is not the hard part. It’s everything else.”</w:t>
      </w:r>
    </w:p>
    <w:p>
      <w:pPr>
        <w:keepNext/>
        <w:spacing w:after="60" w:before="180"/>
      </w:pPr>
      <w:r>
        <w:rPr>
          <w:rFonts w:ascii="Calibri" w:cs="Calibri" w:eastAsia="Calibri" w:hAnsi="Calibri"/>
          <w:b/>
          <w:bCs/>
          <w:color w:val="3D4A5A"/>
          <w:sz w:val="20"/>
          <w:szCs w:val="20"/>
        </w:rPr>
        <w:t xml:space="preserve">“Isn’t this just compliance theater?”</w:t>
      </w:r>
    </w:p>
    <w:p>
      <w:pPr>
        <w:spacing w:after="120" w:before="0" w:line="276"/>
      </w:pPr>
      <w:r>
        <w:rPr>
          <w:rFonts w:ascii="Calibri" w:cs="Calibri" w:eastAsia="Calibri" w:hAnsi="Calibri"/>
          <w:color w:val="3D4A5A"/>
          <w:sz w:val="20"/>
          <w:szCs w:val="20"/>
        </w:rPr>
        <w:t xml:space="preserve">Agree immediately and completely. Arguing loses the room — the market consensus is already on their side.</w:t>
      </w:r>
    </w:p>
    <w:p>
      <w:pPr>
        <w:spacing w:after="120" w:before="0" w:line="276"/>
      </w:pPr>
      <w:r>
        <w:rPr>
          <w:rFonts w:ascii="Calibri" w:cs="Calibri" w:eastAsia="Calibri" w:hAnsi="Calibri"/>
          <w:b/>
          <w:bCs/>
          <w:color w:val="14202E"/>
          <w:sz w:val="20"/>
          <w:szCs w:val="20"/>
        </w:rPr>
        <w:t xml:space="preserve">Move: </w:t>
      </w:r>
      <w:r>
        <w:rPr>
          <w:rFonts w:ascii="Calibri" w:cs="Calibri" w:eastAsia="Calibri" w:hAnsi="Calibri"/>
          <w:i/>
          <w:iCs/>
          <w:color w:val="3D4A5A"/>
          <w:sz w:val="20"/>
          <w:szCs w:val="20"/>
        </w:rPr>
        <w:t xml:space="preserve">“Mostly, yes. A certificate says controls existed during a window. That is why we sell the operating layer and not the certificate — you get the report because your buyer needs it, and you get a program because you need it. Those are two different products and most firms only deliver the first.”</w:t>
      </w:r>
    </w:p>
    <w:p>
      <w:pPr>
        <w:spacing w:after="160" w:before="0" w:line="276"/>
      </w:pPr>
      <w:r>
        <w:rPr>
          <w:rFonts w:ascii="Calibri" w:cs="Calibri" w:eastAsia="Calibri" w:hAnsi="Calibri"/>
          <w:i/>
          <w:iCs/>
          <w:color w:val="6B7A8C"/>
          <w:sz w:val="16"/>
          <w:szCs w:val="16"/>
        </w:rPr>
        <w:t xml:space="preserve">Reference the Delve episode of March 2026 if the prospect is technical: 494 audit reports, 493 near-identical.</w:t>
      </w:r>
    </w:p>
    <w:p>
      <w:pPr>
        <w:keepNext/>
        <w:spacing w:after="60" w:before="180"/>
      </w:pPr>
      <w:r>
        <w:rPr>
          <w:rFonts w:ascii="Calibri" w:cs="Calibri" w:eastAsia="Calibri" w:hAnsi="Calibri"/>
          <w:b/>
          <w:bCs/>
          <w:color w:val="3D4A5A"/>
          <w:sz w:val="20"/>
          <w:szCs w:val="20"/>
        </w:rPr>
        <w:t xml:space="preserve">“This is too expensive.” / “We’ll do it ourselves.”</w:t>
      </w:r>
    </w:p>
    <w:p>
      <w:pPr>
        <w:spacing w:after="120" w:before="0" w:line="276"/>
      </w:pPr>
      <w:r>
        <w:rPr>
          <w:rFonts w:ascii="Calibri" w:cs="Calibri" w:eastAsia="Calibri" w:hAnsi="Calibri"/>
          <w:color w:val="3D4A5A"/>
          <w:sz w:val="20"/>
          <w:szCs w:val="20"/>
        </w:rPr>
        <w:t xml:space="preserve">Almost always a framing problem, not a budget problem. Security spend is compared against other overhead; it should be compared against the blocked deal.</w:t>
      </w:r>
    </w:p>
    <w:p>
      <w:pPr>
        <w:spacing w:after="120" w:before="0" w:line="276"/>
      </w:pPr>
      <w:r>
        <w:rPr>
          <w:rFonts w:ascii="Calibri" w:cs="Calibri" w:eastAsia="Calibri" w:hAnsi="Calibri"/>
          <w:b/>
          <w:bCs/>
          <w:color w:val="14202E"/>
          <w:sz w:val="20"/>
          <w:szCs w:val="20"/>
        </w:rPr>
        <w:t xml:space="preserve">Move: </w:t>
      </w:r>
      <w:r>
        <w:rPr>
          <w:rFonts w:ascii="Calibri" w:cs="Calibri" w:eastAsia="Calibri" w:hAnsi="Calibri"/>
          <w:i/>
          <w:iCs/>
          <w:color w:val="3D4A5A"/>
          <w:sz w:val="20"/>
          <w:szCs w:val="20"/>
        </w:rPr>
        <w:t xml:space="preserve">“What is the contract worth that is waiting on this? Price the program against that, not against a tool subscription. And on doing it yourselves — you can, and some clients graduate to exactly that. The question is whether the person who would run it has eleven weeks free this year.”</w:t>
      </w:r>
    </w:p>
    <w:p>
      <w:pPr>
        <w:spacing w:after="160" w:before="0" w:line="276"/>
      </w:pPr>
      <w:r>
        <w:rPr>
          <w:rFonts w:ascii="Calibri" w:cs="Calibri" w:eastAsia="Calibri" w:hAnsi="Calibri"/>
          <w:i/>
          <w:iCs/>
          <w:color w:val="6B7A8C"/>
          <w:sz w:val="16"/>
          <w:szCs w:val="16"/>
        </w:rPr>
        <w:t xml:space="preserve">A founder on X: “Just lost a $500k deal because we didn’t have SOC 2. The consultant quoted us $80,000 and 9 months.” The comparison the buyer is already making is $80K against $500K.</w:t>
      </w:r>
    </w:p>
    <w:p>
      <w:pPr>
        <w:keepNext/>
        <w:spacing w:after="60" w:before="180"/>
      </w:pPr>
      <w:r>
        <w:rPr>
          <w:rFonts w:ascii="Calibri" w:cs="Calibri" w:eastAsia="Calibri" w:hAnsi="Calibri"/>
          <w:b/>
          <w:bCs/>
          <w:color w:val="3D4A5A"/>
          <w:sz w:val="20"/>
          <w:szCs w:val="20"/>
        </w:rPr>
        <w:t xml:space="preserve">“We’re too small to be a target.”</w:t>
      </w:r>
    </w:p>
    <w:p>
      <w:pPr>
        <w:spacing w:after="120" w:before="0" w:line="276"/>
      </w:pPr>
      <w:r>
        <w:rPr>
          <w:rFonts w:ascii="Calibri" w:cs="Calibri" w:eastAsia="Calibri" w:hAnsi="Calibri"/>
          <w:color w:val="3D4A5A"/>
          <w:sz w:val="20"/>
          <w:szCs w:val="20"/>
        </w:rPr>
        <w:t xml:space="preserve">Rarely the real objection — usually a stand-in for “nothing is forcing me.” Check for a trigger before spending effort here.</w:t>
      </w:r>
    </w:p>
    <w:p>
      <w:pPr>
        <w:spacing w:after="120" w:before="0" w:line="276"/>
      </w:pPr>
      <w:r>
        <w:rPr>
          <w:rFonts w:ascii="Calibri" w:cs="Calibri" w:eastAsia="Calibri" w:hAnsi="Calibri"/>
          <w:b/>
          <w:bCs/>
          <w:color w:val="14202E"/>
          <w:sz w:val="20"/>
          <w:szCs w:val="20"/>
        </w:rPr>
        <w:t xml:space="preserve">Move: </w:t>
      </w:r>
      <w:r>
        <w:rPr>
          <w:rFonts w:ascii="Calibri" w:cs="Calibri" w:eastAsia="Calibri" w:hAnsi="Calibri"/>
          <w:i/>
          <w:iCs/>
          <w:color w:val="3D4A5A"/>
          <w:sz w:val="20"/>
          <w:szCs w:val="20"/>
        </w:rPr>
        <w:t xml:space="preserve">“Targeting stopped being how this works. Automated campaigns scan for what is reachable. But the more useful question is who has asked you to prove something recently — a customer, your insurer, an investor? If nobody has, we are early and I would rather come back when they do.”</w:t>
      </w:r>
    </w:p>
    <w:p>
      <w:pPr>
        <w:spacing w:after="160" w:before="0" w:line="276"/>
      </w:pPr>
      <w:r>
        <w:rPr>
          <w:rFonts w:ascii="Calibri" w:cs="Calibri" w:eastAsia="Calibri" w:hAnsi="Calibri"/>
          <w:i/>
          <w:iCs/>
          <w:color w:val="6B7A8C"/>
          <w:sz w:val="16"/>
          <w:szCs w:val="16"/>
        </w:rPr>
        <w:t xml:space="preserve">The Cyber Threat Alliance CEO, publicly: “too small to target is another version of the old security by obscurity approach… it is most assuredly dead now.”</w:t>
      </w:r>
    </w:p>
    <w:p>
      <w:pPr>
        <w:keepNext/>
        <w:spacing w:after="60" w:before="180"/>
      </w:pPr>
      <w:r>
        <w:rPr>
          <w:rFonts w:ascii="Calibri" w:cs="Calibri" w:eastAsia="Calibri" w:hAnsi="Calibri"/>
          <w:b/>
          <w:bCs/>
          <w:color w:val="3D4A5A"/>
          <w:sz w:val="20"/>
          <w:szCs w:val="20"/>
        </w:rPr>
        <w:t xml:space="preserve">“Our MSP already does this.”</w:t>
      </w:r>
    </w:p>
    <w:p>
      <w:pPr>
        <w:spacing w:after="120" w:before="0" w:line="276"/>
      </w:pPr>
      <w:r>
        <w:rPr>
          <w:rFonts w:ascii="Calibri" w:cs="Calibri" w:eastAsia="Calibri" w:hAnsi="Calibri"/>
          <w:color w:val="3D4A5A"/>
          <w:sz w:val="20"/>
          <w:szCs w:val="20"/>
        </w:rPr>
        <w:t xml:space="preserve">Two-thirds of MSPs now claim a vCISO service, up from a fifth a year ago. Most of it is advisory attached to a help desk.</w:t>
      </w:r>
    </w:p>
    <w:p>
      <w:pPr>
        <w:spacing w:after="120" w:before="0" w:line="276"/>
      </w:pPr>
      <w:r>
        <w:rPr>
          <w:rFonts w:ascii="Calibri" w:cs="Calibri" w:eastAsia="Calibri" w:hAnsi="Calibri"/>
          <w:b/>
          <w:bCs/>
          <w:color w:val="14202E"/>
          <w:sz w:val="20"/>
          <w:szCs w:val="20"/>
        </w:rPr>
        <w:t xml:space="preserve">Move: </w:t>
      </w:r>
      <w:r>
        <w:rPr>
          <w:rFonts w:ascii="Calibri" w:cs="Calibri" w:eastAsia="Calibri" w:hAnsi="Calibri"/>
          <w:i/>
          <w:iCs/>
          <w:color w:val="3D4A5A"/>
          <w:sz w:val="20"/>
          <w:szCs w:val="20"/>
        </w:rPr>
        <w:t xml:space="preserve">“Ask them three questions: which framework are we assessed against, who signs off on risk acceptance, and what happens when an auditor challenges a control. If the answers are good, you are in fine shape. If they are vague, that is the gap we fill — and we work alongside your MSP, not instead of them.”</w:t>
      </w:r>
    </w:p>
    <w:p>
      <w:pPr>
        <w:spacing w:after="160" w:before="0" w:line="276"/>
      </w:pPr>
      <w:r>
        <w:rPr>
          <w:rFonts w:ascii="Calibri" w:cs="Calibri" w:eastAsia="Calibri" w:hAnsi="Calibri"/>
          <w:i/>
          <w:iCs/>
          <w:color w:val="6B7A8C"/>
          <w:sz w:val="16"/>
          <w:szCs w:val="16"/>
        </w:rPr>
        <w:t xml:space="preserve">67% of MSPs and MSSPs now offer vCISO services, up from 21% in 2024 (Cynomi 2025).</w:t>
      </w:r>
    </w:p>
    <w:p>
      <w:pPr>
        <w:keepNext/>
        <w:spacing w:after="60" w:before="180"/>
      </w:pPr>
      <w:r>
        <w:rPr>
          <w:rFonts w:ascii="Calibri" w:cs="Calibri" w:eastAsia="Calibri" w:hAnsi="Calibri"/>
          <w:b/>
          <w:bCs/>
          <w:color w:val="3D4A5A"/>
          <w:sz w:val="20"/>
          <w:szCs w:val="20"/>
        </w:rPr>
        <w:t xml:space="preserve">“Why not just hire someone?”</w:t>
      </w:r>
    </w:p>
    <w:p>
      <w:pPr>
        <w:spacing w:after="120" w:before="0" w:line="276"/>
      </w:pPr>
      <w:r>
        <w:rPr>
          <w:rFonts w:ascii="Calibri" w:cs="Calibri" w:eastAsia="Calibri" w:hAnsi="Calibri"/>
          <w:color w:val="3D4A5A"/>
          <w:sz w:val="20"/>
          <w:szCs w:val="20"/>
        </w:rPr>
        <w:t xml:space="preserve">The honest answer is that they should, eventually — and saying so builds more trust than defending the engagement.</w:t>
      </w:r>
    </w:p>
    <w:p>
      <w:pPr>
        <w:spacing w:after="120" w:before="0" w:line="276"/>
      </w:pPr>
      <w:r>
        <w:rPr>
          <w:rFonts w:ascii="Calibri" w:cs="Calibri" w:eastAsia="Calibri" w:hAnsi="Calibri"/>
          <w:b/>
          <w:bCs/>
          <w:color w:val="14202E"/>
          <w:sz w:val="20"/>
          <w:szCs w:val="20"/>
        </w:rPr>
        <w:t xml:space="preserve">Move: </w:t>
      </w:r>
      <w:r>
        <w:rPr>
          <w:rFonts w:ascii="Calibri" w:cs="Calibri" w:eastAsia="Calibri" w:hAnsi="Calibri"/>
          <w:i/>
          <w:iCs/>
          <w:color w:val="3D4A5A"/>
          <w:sz w:val="20"/>
          <w:szCs w:val="20"/>
        </w:rPr>
        <w:t xml:space="preserve">“Eventually you should. A full-time security leader runs $250,000 to $400,000 and takes three to six months to find, and at your size they would be under-used for the first year. We run the program now and build it so an internal hire inherits something rather than starting over.”</w:t>
      </w:r>
    </w:p>
    <w:p>
      <w:pPr>
        <w:spacing w:after="160" w:before="0" w:line="276"/>
      </w:pPr>
      <w:r>
        <w:rPr>
          <w:rFonts w:ascii="Calibri" w:cs="Calibri" w:eastAsia="Calibri" w:hAnsi="Calibri"/>
          <w:i/>
          <w:iCs/>
          <w:color w:val="6B7A8C"/>
          <w:sz w:val="16"/>
          <w:szCs w:val="16"/>
        </w:rPr>
        <w:t xml:space="preserve">$250–400K compensation range and the 10,000:1 ratio, Cybersecurity Ventures with Sophos 2026. 38–39% of roles take three to six months to fill (ISACA 2025).</w:t>
      </w:r>
    </w:p>
    <w:p>
      <w:pPr>
        <w:keepNext/>
        <w:spacing w:after="60" w:before="180"/>
      </w:pPr>
      <w:r>
        <w:rPr>
          <w:rFonts w:ascii="Calibri" w:cs="Calibri" w:eastAsia="Calibri" w:hAnsi="Calibri"/>
          <w:b/>
          <w:bCs/>
          <w:color w:val="3D4A5A"/>
          <w:sz w:val="20"/>
          <w:szCs w:val="20"/>
        </w:rPr>
        <w:t xml:space="preserve">“Can you guarantee we pass?”</w:t>
      </w:r>
    </w:p>
    <w:p>
      <w:pPr>
        <w:spacing w:after="120" w:before="0" w:line="276"/>
      </w:pPr>
      <w:r>
        <w:rPr>
          <w:rFonts w:ascii="Calibri" w:cs="Calibri" w:eastAsia="Calibri" w:hAnsi="Calibri"/>
          <w:color w:val="3D4A5A"/>
          <w:sz w:val="20"/>
          <w:szCs w:val="20"/>
        </w:rPr>
        <w:t xml:space="preserve">No, and the answer must be no. Anyone promising otherwise is describing the thing that just blew up publicly.</w:t>
      </w:r>
    </w:p>
    <w:p>
      <w:pPr>
        <w:spacing w:after="120" w:before="0" w:line="276"/>
      </w:pPr>
      <w:r>
        <w:rPr>
          <w:rFonts w:ascii="Calibri" w:cs="Calibri" w:eastAsia="Calibri" w:hAnsi="Calibri"/>
          <w:b/>
          <w:bCs/>
          <w:color w:val="14202E"/>
          <w:sz w:val="20"/>
          <w:szCs w:val="20"/>
        </w:rPr>
        <w:t xml:space="preserve">Move: </w:t>
      </w:r>
      <w:r>
        <w:rPr>
          <w:rFonts w:ascii="Calibri" w:cs="Calibri" w:eastAsia="Calibri" w:hAnsi="Calibri"/>
          <w:i/>
          <w:iCs/>
          <w:color w:val="3D4A5A"/>
          <w:sz w:val="20"/>
          <w:szCs w:val="20"/>
        </w:rPr>
        <w:t xml:space="preserve">“No. What I can do is tell you before we start whether you will pass, scope the work to what the standard actually requires rather than what the tool suggests, and manage the auditor relationship so there are no surprises. If we find something that will not clear in your timeline, you will hear it from me in week two, not from the auditor in month six.”</w:t>
      </w:r>
    </w:p>
    <w:p>
      <w:pPr>
        <w:spacing w:after="160" w:before="0" w:line="276"/>
      </w:pPr>
      <w:r>
        <w:rPr>
          <w:rFonts w:ascii="Calibri" w:cs="Calibri" w:eastAsia="Calibri" w:hAnsi="Calibri"/>
          <w:i/>
          <w:iCs/>
          <w:color w:val="6B7A8C"/>
          <w:sz w:val="16"/>
          <w:szCs w:val="16"/>
        </w:rPr>
        <w:t xml:space="preserve">The most valuable skill in this work, per practitioners, is “managing down the scope of the framework.” Sell that, not a guarantee.</w:t>
      </w:r>
    </w:p>
    <w:p>
      <w:pPr>
        <w:keepNext/>
        <w:spacing w:after="60" w:before="180"/>
      </w:pPr>
      <w:r>
        <w:rPr>
          <w:rFonts w:ascii="Calibri" w:cs="Calibri" w:eastAsia="Calibri" w:hAnsi="Calibri"/>
          <w:b/>
          <w:bCs/>
          <w:color w:val="3D4A5A"/>
          <w:sz w:val="20"/>
          <w:szCs w:val="20"/>
        </w:rPr>
        <w:t xml:space="preserve">“How is this different from a Big 4 readiness engagement?”</w:t>
      </w:r>
    </w:p>
    <w:p>
      <w:pPr>
        <w:spacing w:after="120" w:before="0" w:line="276"/>
      </w:pPr>
      <w:r>
        <w:rPr>
          <w:rFonts w:ascii="Calibri" w:cs="Calibri" w:eastAsia="Calibri" w:hAnsi="Calibri"/>
          <w:color w:val="3D4A5A"/>
          <w:sz w:val="20"/>
          <w:szCs w:val="20"/>
        </w:rPr>
        <w:t xml:space="preserve">Comes up in Hue 03 and in PE portfolios. Do not disparage — differentiate on delivery model.</w:t>
      </w:r>
    </w:p>
    <w:p>
      <w:pPr>
        <w:spacing w:after="120" w:before="0" w:line="276"/>
      </w:pPr>
      <w:r>
        <w:rPr>
          <w:rFonts w:ascii="Calibri" w:cs="Calibri" w:eastAsia="Calibri" w:hAnsi="Calibri"/>
          <w:b/>
          <w:bCs/>
          <w:color w:val="14202E"/>
          <w:sz w:val="20"/>
          <w:szCs w:val="20"/>
        </w:rPr>
        <w:t xml:space="preserve">Move: </w:t>
      </w:r>
      <w:r>
        <w:rPr>
          <w:rFonts w:ascii="Calibri" w:cs="Calibri" w:eastAsia="Calibri" w:hAnsi="Calibri"/>
          <w:i/>
          <w:iCs/>
          <w:color w:val="3D4A5A"/>
          <w:sz w:val="20"/>
          <w:szCs w:val="20"/>
        </w:rPr>
        <w:t xml:space="preserve">“They will do good work and you will get a partner in the pitch and a team of two-year analysts on the engagement. Here, the person in the room is the person doing the work, the scope stays where we set it, and when the report is delivered we are still running the program. That last part is usually the difference that matters.”</w:t>
      </w:r>
    </w:p>
    <w:p>
      <w:pPr>
        <w:spacing w:after="160" w:before="0" w:line="276"/>
      </w:pPr>
      <w:r>
        <w:rPr>
          <w:rFonts w:ascii="Calibri" w:cs="Calibri" w:eastAsia="Calibri" w:hAnsi="Calibri"/>
          <w:i/>
          <w:iCs/>
          <w:color w:val="6B7A8C"/>
          <w:sz w:val="16"/>
          <w:szCs w:val="16"/>
        </w:rPr>
        <w:t xml:space="preserve">Continuity is the differentiator, not price. Do not compete on rate against a firm that can discount deeper.</w:t>
      </w:r>
    </w:p>
    <w:p>
      <w:pPr>
        <w:pStyle w:val="Heading2"/>
        <w:keepNext/>
        <w:spacing w:after="40" w:before="340"/>
      </w:pPr>
      <w:r>
        <w:rPr>
          <w:rFonts w:ascii="Calibri" w:cs="Calibri" w:eastAsia="Calibri" w:hAnsi="Calibri"/>
          <w:b/>
          <w:bCs/>
          <w:color w:val="2F86B3"/>
          <w:sz w:val="28"/>
          <w:szCs w:val="28"/>
        </w:rPr>
        <w:t xml:space="preserve">17. Battlecards</w:t>
      </w:r>
    </w:p>
    <w:p>
      <w:pPr>
        <w:keepNext/>
        <w:spacing w:after="140" w:before="0" w:line="276"/>
      </w:pPr>
      <w:r>
        <w:rPr>
          <w:rFonts w:ascii="Calibri" w:cs="Calibri" w:eastAsia="Calibri" w:hAnsi="Calibri"/>
          <w:i/>
          <w:iCs/>
          <w:color w:val="6B7A8C"/>
          <w:sz w:val="19"/>
          <w:szCs w:val="19"/>
        </w:rPr>
        <w:t xml:space="preserve">Four real alternatives. The fourth — doing nothing — wins more deals than the other three combined.</w:t>
      </w:r>
    </w:p>
    <w:tbl>
      <w:tblPr>
        <w:tblW w:type="dxa" w:w="10080"/>
        <w:tblBorders>
          <w:top w:val="single" w:color="D3DCE6" w:sz="2"/>
          <w:left w:val="none"/>
          <w:bottom w:val="single" w:color="D3DCE6" w:sz="2"/>
          <w:right w:val="none"/>
          <w:insideH w:val="single" w:color="D3DCE6" w:sz="2"/>
          <w:insideV w:val="none"/>
        </w:tblBorders>
      </w:tblPr>
      <w:tblGrid>
        <w:gridCol w:w="1613"/>
        <w:gridCol w:w="2318"/>
        <w:gridCol w:w="2016"/>
        <w:gridCol w:w="2117"/>
        <w:gridCol w:w="2016"/>
      </w:tblGrid>
      <w:tr>
        <w:trPr>
          <w:cantSplit/>
          <w:tblHeader/>
        </w:trPr>
        <w:tc>
          <w:tcPr>
            <w:tcW w:type="dxa" w:w="1613"/>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Alternative</w:t>
            </w:r>
          </w:p>
        </w:tc>
        <w:tc>
          <w:tcPr>
            <w:tcW w:type="dxa" w:w="2318"/>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Where they win</w:t>
            </w:r>
          </w:p>
        </w:tc>
        <w:tc>
          <w:tcPr>
            <w:tcW w:type="dxa" w:w="2016"/>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Where they lose</w:t>
            </w:r>
          </w:p>
        </w:tc>
        <w:tc>
          <w:tcPr>
            <w:tcW w:type="dxa" w:w="2117"/>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What to say</w:t>
            </w:r>
          </w:p>
        </w:tc>
        <w:tc>
          <w:tcPr>
            <w:tcW w:type="dxa" w:w="2016"/>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What not to say</w:t>
            </w:r>
          </w:p>
        </w:tc>
      </w:tr>
      <w:tr>
        <w:trPr>
          <w:cantSplit/>
        </w:trPr>
        <w:tc>
          <w:tcPr>
            <w:tcW w:type="dxa" w:w="1613"/>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Compliance platforms
Vanta · Drata · Secureframe · Sprinto</w:t>
            </w:r>
          </w:p>
        </w:tc>
        <w:tc>
          <w:tcPr>
            <w:tcW w:type="dxa" w:w="231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Speed, price transparency, evidence automation, a name the board recognizes. For a 25-person startup with a clean environment and a technical founder who will do the work, they are genuinely the right answer.</w:t>
            </w:r>
          </w:p>
        </w:tc>
        <w:tc>
          <w:tcPr>
            <w:tcW w:type="dxa" w:w="201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They surface findings and cannot close them. They cannot negotiate scope with an auditor or answer a 200-question review.</w:t>
            </w:r>
          </w:p>
        </w:tc>
        <w:tc>
          <w:tcPr>
            <w:tcW w:type="dxa" w:w="2117"/>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“Keep the platform. We’re the layer that operates it — and we’ll get more out of the licence you’re already paying for.”</w:t>
            </w:r>
          </w:p>
        </w:tc>
        <w:tc>
          <w:tcPr>
            <w:tcW w:type="dxa" w:w="201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Never attack the tool. A large share of good prospects own one, and criticizing it tells them their judgment was poor.</w:t>
            </w:r>
          </w:p>
        </w:tc>
      </w:tr>
      <w:tr>
        <w:trPr>
          <w:cantSplit/>
        </w:trPr>
        <w:tc>
          <w:tcPr>
            <w:tcW w:type="dxa" w:w="1613"/>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The MSP’s vCISO add-on</w:t>
            </w:r>
          </w:p>
        </w:tc>
        <w:tc>
          <w:tcPr>
            <w:tcW w:type="dxa" w:w="2318"/>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Incumbency, one invoice, an existing relationship with the person who would otherwise be 3HUE’s champion. Cheap, because it is bundled.</w:t>
            </w:r>
          </w:p>
        </w:tc>
        <w:tc>
          <w:tcPr>
            <w:tcW w:type="dxa" w:w="2016"/>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Advisory attached to a help desk. Two-thirds of MSPs now claim the service. Independence is compromised — the MSP is auditing its own work.</w:t>
            </w:r>
          </w:p>
        </w:tc>
        <w:tc>
          <w:tcPr>
            <w:tcW w:type="dxa" w:w="2117"/>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“Who signs off on risk acceptance today? If it’s the same firm that runs your infrastructure, that’s a conflict an examiner will find before you do.”</w:t>
            </w:r>
          </w:p>
        </w:tc>
        <w:tc>
          <w:tcPr>
            <w:tcW w:type="dxa" w:w="2016"/>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Do not force a rip-and-replace. The winning posture is alongside the MSP, which makes them a referral channel rather than an enemy.</w:t>
            </w:r>
          </w:p>
        </w:tc>
      </w:tr>
      <w:tr>
        <w:trPr>
          <w:cantSplit/>
        </w:trPr>
        <w:tc>
          <w:tcPr>
            <w:tcW w:type="dxa" w:w="1613"/>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The solo fractional CISO</w:t>
            </w:r>
          </w:p>
        </w:tc>
        <w:tc>
          <w:tcPr>
            <w:tcW w:type="dxa" w:w="231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Cheapest credible option, senior person in the room, personal relationship. Often genuinely excellent, and the closest substitute for what 3HUE sells.</w:t>
            </w:r>
          </w:p>
        </w:tc>
        <w:tc>
          <w:tcPr>
            <w:tcW w:type="dxa" w:w="201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One person, no platform, no continuity. Evidence lives in their spreadsheets. If they take a full-time role, the program leaves with them.</w:t>
            </w:r>
          </w:p>
        </w:tc>
        <w:tc>
          <w:tcPr>
            <w:tcW w:type="dxa" w:w="2117"/>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“What happens to your program if that person takes a full-time job? Ours runs on a platform your team keeps, with a firm behind it.”</w:t>
            </w:r>
          </w:p>
        </w:tc>
        <w:tc>
          <w:tcPr>
            <w:tcW w:type="dxa" w:w="201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Do not disparage individuals — several are respected voices this market listens to. Compete on continuity and infrastructure, not seniority.</w:t>
            </w:r>
          </w:p>
        </w:tc>
      </w:tr>
      <w:tr>
        <w:trPr>
          <w:cantSplit/>
        </w:trPr>
        <w:tc>
          <w:tcPr>
            <w:tcW w:type="dxa" w:w="1613"/>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A4462F"/>
                <w:sz w:val="18"/>
                <w:szCs w:val="18"/>
              </w:rPr>
              <w:t xml:space="preserve">Doing nothing</w:t>
            </w:r>
          </w:p>
        </w:tc>
        <w:tc>
          <w:tcPr>
            <w:tcW w:type="dxa" w:w="2318"/>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Always, until something forces a decision. Budget goes to whatever is on fire.</w:t>
            </w:r>
          </w:p>
        </w:tc>
        <w:tc>
          <w:tcPr>
            <w:tcW w:type="dxa" w:w="2016"/>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Only at a trigger: a blocked contract, an insurance renewal, diligence, an exam finding, a customer’s AI questionnaire. Not at a fear appeal.</w:t>
            </w:r>
          </w:p>
        </w:tc>
        <w:tc>
          <w:tcPr>
            <w:tcW w:type="dxa" w:w="2117"/>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“Who has asked you to prove something recently, and by when?” If the honest answer is nobody, say so and set a reminder for their renewal date.</w:t>
            </w:r>
          </w:p>
        </w:tc>
        <w:tc>
          <w:tcPr>
            <w:tcW w:type="dxa" w:w="2016"/>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Do not manufacture urgency with breach statistics. It does not convert and it makes 3HUE sound like every other security vendor in the inbox.</w:t>
            </w:r>
          </w:p>
        </w:tc>
      </w:tr>
    </w:tbl>
    <w:p>
      <w:pPr>
        <w:spacing w:after="180" w:before="0" w:line="276"/>
      </w:pPr>
      <w:r>
        <w:rPr>
          <w:rFonts w:ascii="Calibri" w:cs="Calibri" w:eastAsia="Calibri" w:hAnsi="Calibri"/>
          <w:color w:val="3D4A5A"/>
          <w:sz w:val="8"/>
          <w:szCs w:val="8"/>
        </w:rPr>
        <w:t xml:space="preserve"/>
      </w:r>
    </w:p>
    <w:p>
      <w:pPr>
        <w:pStyle w:val="Heading2"/>
        <w:keepNext/>
        <w:spacing w:after="120" w:before="340"/>
      </w:pPr>
      <w:r>
        <w:rPr>
          <w:rFonts w:ascii="Calibri" w:cs="Calibri" w:eastAsia="Calibri" w:hAnsi="Calibri"/>
          <w:b/>
          <w:bCs/>
          <w:color w:val="2F86B3"/>
          <w:sz w:val="28"/>
          <w:szCs w:val="28"/>
        </w:rPr>
        <w:t xml:space="preserve">18. Words we use, words we don’t</w:t>
      </w:r>
    </w:p>
    <w:p>
      <w:pPr>
        <w:pStyle w:val="Heading3"/>
        <w:keepNext/>
        <w:spacing w:after="80" w:before="240"/>
      </w:pPr>
      <w:r>
        <w:rPr>
          <w:rFonts w:ascii="Calibri" w:cs="Calibri" w:eastAsia="Calibri" w:hAnsi="Calibri"/>
          <w:b/>
          <w:bCs/>
          <w:color w:val="14202E"/>
          <w:sz w:val="22"/>
          <w:szCs w:val="22"/>
        </w:rPr>
        <w:t xml:space="preserve">18.1  Use — their vocabulary, not ours</w:t>
      </w:r>
    </w:p>
    <w:p>
      <w:pPr>
        <w:pStyle w:val="ListParagraph"/>
        <w:numPr>
          <w:ilvl w:val="0"/>
          <w:numId w:val="1"/>
        </w:numPr>
        <w:spacing w:after="70" w:line="270"/>
      </w:pPr>
      <w:r>
        <w:rPr>
          <w:rFonts w:ascii="Calibri" w:cs="Calibri" w:eastAsia="Calibri" w:hAnsi="Calibri"/>
          <w:b/>
          <w:bCs/>
          <w:color w:val="14202E"/>
          <w:sz w:val="20"/>
          <w:szCs w:val="20"/>
        </w:rPr>
        <w:t xml:space="preserve">Provable</w:t>
      </w:r>
      <w:r>
        <w:rPr>
          <w:rFonts w:ascii="Calibri" w:cs="Calibri" w:eastAsia="Calibri" w:hAnsi="Calibri"/>
          <w:color w:val="3D4A5A"/>
          <w:sz w:val="20"/>
          <w:szCs w:val="20"/>
        </w:rPr>
        <w:t xml:space="preserve"> — the whole positioning in one word. “The competitor that won wasn’t better. They were provable.”</w:t>
      </w:r>
    </w:p>
    <w:p>
      <w:pPr>
        <w:pStyle w:val="ListParagraph"/>
        <w:numPr>
          <w:ilvl w:val="0"/>
          <w:numId w:val="1"/>
        </w:numPr>
        <w:spacing w:after="70" w:line="270"/>
      </w:pPr>
      <w:r>
        <w:rPr>
          <w:rFonts w:ascii="Calibri" w:cs="Calibri" w:eastAsia="Calibri" w:hAnsi="Calibri"/>
          <w:b/>
          <w:bCs/>
          <w:color w:val="14202E"/>
          <w:sz w:val="20"/>
          <w:szCs w:val="20"/>
        </w:rPr>
        <w:t xml:space="preserve">Operated / runs / we run it</w:t>
      </w:r>
      <w:r>
        <w:rPr>
          <w:rFonts w:ascii="Calibri" w:cs="Calibri" w:eastAsia="Calibri" w:hAnsi="Calibri"/>
          <w:color w:val="3D4A5A"/>
          <w:sz w:val="20"/>
          <w:szCs w:val="20"/>
        </w:rPr>
        <w:t xml:space="preserve"> — the distinction from advisory.</w:t>
      </w:r>
    </w:p>
    <w:p>
      <w:pPr>
        <w:pStyle w:val="ListParagraph"/>
        <w:numPr>
          <w:ilvl w:val="0"/>
          <w:numId w:val="1"/>
        </w:numPr>
        <w:spacing w:after="70" w:line="270"/>
      </w:pPr>
      <w:r>
        <w:rPr>
          <w:rFonts w:ascii="Calibri" w:cs="Calibri" w:eastAsia="Calibri" w:hAnsi="Calibri"/>
          <w:b/>
          <w:bCs/>
          <w:color w:val="14202E"/>
          <w:sz w:val="20"/>
          <w:szCs w:val="20"/>
        </w:rPr>
        <w:t xml:space="preserve">Evidence</w:t>
      </w:r>
      <w:r>
        <w:rPr>
          <w:rFonts w:ascii="Calibri" w:cs="Calibri" w:eastAsia="Calibri" w:hAnsi="Calibri"/>
          <w:color w:val="3D4A5A"/>
          <w:sz w:val="20"/>
          <w:szCs w:val="20"/>
        </w:rPr>
        <w:t xml:space="preserve"> — concrete, auditable, and what buyers actually need to hand someone.</w:t>
      </w:r>
    </w:p>
    <w:p>
      <w:pPr>
        <w:pStyle w:val="ListParagraph"/>
        <w:numPr>
          <w:ilvl w:val="0"/>
          <w:numId w:val="1"/>
        </w:numPr>
        <w:spacing w:after="70" w:line="270"/>
      </w:pPr>
      <w:r>
        <w:rPr>
          <w:rFonts w:ascii="Calibri" w:cs="Calibri" w:eastAsia="Calibri" w:hAnsi="Calibri"/>
          <w:b/>
          <w:bCs/>
          <w:color w:val="14202E"/>
          <w:sz w:val="20"/>
          <w:szCs w:val="20"/>
        </w:rPr>
        <w:t xml:space="preserve">Accountable / someone owns it</w:t>
      </w:r>
      <w:r>
        <w:rPr>
          <w:rFonts w:ascii="Calibri" w:cs="Calibri" w:eastAsia="Calibri" w:hAnsi="Calibri"/>
          <w:color w:val="3D4A5A"/>
          <w:sz w:val="20"/>
          <w:szCs w:val="20"/>
        </w:rPr>
        <w:t xml:space="preserve"> — “You don’t need a full-time CISO. You need someone accountable.”</w:t>
      </w:r>
    </w:p>
    <w:p>
      <w:pPr>
        <w:pStyle w:val="ListParagraph"/>
        <w:numPr>
          <w:ilvl w:val="0"/>
          <w:numId w:val="1"/>
        </w:numPr>
        <w:spacing w:after="70" w:line="270"/>
      </w:pPr>
      <w:r>
        <w:rPr>
          <w:rFonts w:ascii="Calibri" w:cs="Calibri" w:eastAsia="Calibri" w:hAnsi="Calibri"/>
          <w:b/>
          <w:bCs/>
          <w:color w:val="14202E"/>
          <w:sz w:val="20"/>
          <w:szCs w:val="20"/>
        </w:rPr>
        <w:t xml:space="preserve">Scope</w:t>
      </w:r>
      <w:r>
        <w:rPr>
          <w:rFonts w:ascii="Calibri" w:cs="Calibri" w:eastAsia="Calibri" w:hAnsi="Calibri"/>
          <w:color w:val="3D4A5A"/>
          <w:sz w:val="20"/>
          <w:szCs w:val="20"/>
        </w:rPr>
        <w:t xml:space="preserve"> — as a verb. Telling a buyer what they don’t have to do is the most differentiated promise available.</w:t>
      </w:r>
    </w:p>
    <w:p>
      <w:pPr>
        <w:pStyle w:val="ListParagraph"/>
        <w:numPr>
          <w:ilvl w:val="0"/>
          <w:numId w:val="1"/>
        </w:numPr>
        <w:spacing w:after="70" w:line="270"/>
      </w:pPr>
      <w:r>
        <w:rPr>
          <w:rFonts w:ascii="Calibri" w:cs="Calibri" w:eastAsia="Calibri" w:hAnsi="Calibri"/>
          <w:b/>
          <w:bCs/>
          <w:color w:val="14202E"/>
          <w:sz w:val="20"/>
          <w:szCs w:val="20"/>
        </w:rPr>
        <w:t xml:space="preserve">Blocked deal, renewal, diligence, the exam</w:t>
      </w:r>
      <w:r>
        <w:rPr>
          <w:rFonts w:ascii="Calibri" w:cs="Calibri" w:eastAsia="Calibri" w:hAnsi="Calibri"/>
          <w:color w:val="3D4A5A"/>
          <w:sz w:val="20"/>
          <w:szCs w:val="20"/>
        </w:rPr>
        <w:t xml:space="preserve"> — name the trigger in the buyer’s own words.</w:t>
      </w:r>
    </w:p>
    <w:p>
      <w:pPr>
        <w:pStyle w:val="ListParagraph"/>
        <w:numPr>
          <w:ilvl w:val="0"/>
          <w:numId w:val="1"/>
        </w:numPr>
        <w:spacing w:after="70" w:line="270"/>
      </w:pPr>
      <w:r>
        <w:rPr>
          <w:rFonts w:ascii="Calibri" w:cs="Calibri" w:eastAsia="Calibri" w:hAnsi="Calibri"/>
          <w:b/>
          <w:bCs/>
          <w:color w:val="14202E"/>
          <w:sz w:val="20"/>
          <w:szCs w:val="20"/>
        </w:rPr>
        <w:t xml:space="preserve">Deployed is not operating</w:t>
      </w:r>
      <w:r>
        <w:rPr>
          <w:rFonts w:ascii="Calibri" w:cs="Calibri" w:eastAsia="Calibri" w:hAnsi="Calibri"/>
          <w:color w:val="3D4A5A"/>
          <w:sz w:val="20"/>
          <w:szCs w:val="20"/>
        </w:rPr>
        <w:t xml:space="preserve"> — the single most useful phrase in the framework.</w:t>
      </w:r>
    </w:p>
    <w:p>
      <w:pPr>
        <w:pStyle w:val="ListParagraph"/>
        <w:numPr>
          <w:ilvl w:val="0"/>
          <w:numId w:val="1"/>
        </w:numPr>
        <w:spacing w:after="70" w:line="270"/>
      </w:pPr>
      <w:r>
        <w:rPr>
          <w:rFonts w:ascii="Calibri" w:cs="Calibri" w:eastAsia="Calibri" w:hAnsi="Calibri"/>
          <w:b/>
          <w:bCs/>
          <w:color w:val="14202E"/>
          <w:sz w:val="20"/>
          <w:szCs w:val="20"/>
        </w:rPr>
        <w:t xml:space="preserve">Continuous / between audits</w:t>
      </w:r>
      <w:r>
        <w:rPr>
          <w:rFonts w:ascii="Calibri" w:cs="Calibri" w:eastAsia="Calibri" w:hAnsi="Calibri"/>
          <w:color w:val="3D4A5A"/>
          <w:sz w:val="20"/>
          <w:szCs w:val="20"/>
        </w:rPr>
        <w:t xml:space="preserve"> — where the product actually lives.</w:t>
      </w:r>
    </w:p>
    <w:p>
      <w:pPr>
        <w:pStyle w:val="Heading3"/>
        <w:keepNext/>
        <w:spacing w:after="80" w:before="240"/>
      </w:pPr>
      <w:r>
        <w:rPr>
          <w:rFonts w:ascii="Calibri" w:cs="Calibri" w:eastAsia="Calibri" w:hAnsi="Calibri"/>
          <w:b/>
          <w:bCs/>
          <w:color w:val="14202E"/>
          <w:sz w:val="22"/>
          <w:szCs w:val="22"/>
        </w:rPr>
        <w:t xml:space="preserve">18.2  Avoid — not because they’re wrong, because they no longer land</w:t>
      </w:r>
    </w:p>
    <w:p>
      <w:pPr>
        <w:pStyle w:val="ListParagraph"/>
        <w:numPr>
          <w:ilvl w:val="0"/>
          <w:numId w:val="1"/>
        </w:numPr>
        <w:spacing w:after="70" w:line="270"/>
      </w:pPr>
      <w:r>
        <w:rPr>
          <w:rFonts w:ascii="Calibri" w:cs="Calibri" w:eastAsia="Calibri" w:hAnsi="Calibri"/>
          <w:b/>
          <w:bCs/>
          <w:color w:val="14202E"/>
          <w:sz w:val="20"/>
          <w:szCs w:val="20"/>
        </w:rPr>
        <w:t xml:space="preserve">“Compliance ≠ security” as a headline</w:t>
      </w:r>
      <w:r>
        <w:rPr>
          <w:rFonts w:ascii="Calibri" w:cs="Calibri" w:eastAsia="Calibri" w:hAnsi="Calibri"/>
          <w:color w:val="3D4A5A"/>
          <w:sz w:val="20"/>
          <w:szCs w:val="20"/>
        </w:rPr>
        <w:t xml:space="preserve"> — now consensus, so it signals nothing. Fine as the setup, never as the point.</w:t>
      </w:r>
    </w:p>
    <w:p>
      <w:pPr>
        <w:pStyle w:val="ListParagraph"/>
        <w:numPr>
          <w:ilvl w:val="0"/>
          <w:numId w:val="1"/>
        </w:numPr>
        <w:spacing w:after="70" w:line="270"/>
      </w:pPr>
      <w:r>
        <w:rPr>
          <w:rFonts w:ascii="Calibri" w:cs="Calibri" w:eastAsia="Calibri" w:hAnsi="Calibri"/>
          <w:b/>
          <w:bCs/>
          <w:color w:val="14202E"/>
          <w:sz w:val="20"/>
          <w:szCs w:val="20"/>
        </w:rPr>
        <w:t xml:space="preserve">Maturity scores and levels</w:t>
      </w:r>
      <w:r>
        <w:rPr>
          <w:rFonts w:ascii="Calibri" w:cs="Calibri" w:eastAsia="Calibri" w:hAnsi="Calibri"/>
          <w:color w:val="3D4A5A"/>
          <w:sz w:val="20"/>
          <w:szCs w:val="20"/>
        </w:rPr>
        <w:t xml:space="preserve"> — “nobody outside security knows what Level 3 maturity means.” Say months, cost and who does the work instead.</w:t>
      </w:r>
    </w:p>
    <w:p>
      <w:pPr>
        <w:pStyle w:val="ListParagraph"/>
        <w:numPr>
          <w:ilvl w:val="0"/>
          <w:numId w:val="1"/>
        </w:numPr>
        <w:spacing w:after="70" w:line="270"/>
      </w:pPr>
      <w:r>
        <w:rPr>
          <w:rFonts w:ascii="Calibri" w:cs="Calibri" w:eastAsia="Calibri" w:hAnsi="Calibri"/>
          <w:b/>
          <w:bCs/>
          <w:color w:val="14202E"/>
          <w:sz w:val="20"/>
          <w:szCs w:val="20"/>
        </w:rPr>
        <w:t xml:space="preserve">ITIL, COBIT, TOGAF outside Hue 03</w:t>
      </w:r>
      <w:r>
        <w:rPr>
          <w:rFonts w:ascii="Calibri" w:cs="Calibri" w:eastAsia="Calibri" w:hAnsi="Calibri"/>
          <w:color w:val="3D4A5A"/>
          <w:sz w:val="20"/>
          <w:szCs w:val="20"/>
        </w:rPr>
        <w:t xml:space="preserve"> — no live conversation on any platform, and the association is “four years of talk.”</w:t>
      </w:r>
    </w:p>
    <w:p>
      <w:pPr>
        <w:pStyle w:val="ListParagraph"/>
        <w:numPr>
          <w:ilvl w:val="0"/>
          <w:numId w:val="1"/>
        </w:numPr>
        <w:spacing w:after="70" w:line="270"/>
      </w:pPr>
      <w:r>
        <w:rPr>
          <w:rFonts w:ascii="Calibri" w:cs="Calibri" w:eastAsia="Calibri" w:hAnsi="Calibri"/>
          <w:b/>
          <w:bCs/>
          <w:color w:val="14202E"/>
          <w:sz w:val="20"/>
          <w:szCs w:val="20"/>
        </w:rPr>
        <w:t xml:space="preserve">“One-click,” “effortless,” “automated compliance”</w:t>
      </w:r>
      <w:r>
        <w:rPr>
          <w:rFonts w:ascii="Calibri" w:cs="Calibri" w:eastAsia="Calibri" w:hAnsi="Calibri"/>
          <w:color w:val="3D4A5A"/>
          <w:sz w:val="20"/>
          <w:szCs w:val="20"/>
        </w:rPr>
        <w:t xml:space="preserve"> — the market watched that promise collapse in March 2026. It now reads as a warning sign.</w:t>
      </w:r>
    </w:p>
    <w:p>
      <w:pPr>
        <w:pStyle w:val="ListParagraph"/>
        <w:numPr>
          <w:ilvl w:val="0"/>
          <w:numId w:val="1"/>
        </w:numPr>
        <w:spacing w:after="70" w:line="270"/>
      </w:pPr>
      <w:r>
        <w:rPr>
          <w:rFonts w:ascii="Calibri" w:cs="Calibri" w:eastAsia="Calibri" w:hAnsi="Calibri"/>
          <w:b/>
          <w:bCs/>
          <w:color w:val="14202E"/>
          <w:sz w:val="20"/>
          <w:szCs w:val="20"/>
        </w:rPr>
        <w:t xml:space="preserve">“Cutting-edge,” “best-in-class,” “trusted partner”</w:t>
      </w:r>
      <w:r>
        <w:rPr>
          <w:rFonts w:ascii="Calibri" w:cs="Calibri" w:eastAsia="Calibri" w:hAnsi="Calibri"/>
          <w:color w:val="3D4A5A"/>
          <w:sz w:val="20"/>
          <w:szCs w:val="20"/>
        </w:rPr>
        <w:t xml:space="preserve"> — filler that any competitor could sign.</w:t>
      </w:r>
    </w:p>
    <w:p>
      <w:pPr>
        <w:pStyle w:val="ListParagraph"/>
        <w:numPr>
          <w:ilvl w:val="0"/>
          <w:numId w:val="1"/>
        </w:numPr>
        <w:spacing w:after="70" w:line="270"/>
      </w:pPr>
      <w:r>
        <w:rPr>
          <w:rFonts w:ascii="Calibri" w:cs="Calibri" w:eastAsia="Calibri" w:hAnsi="Calibri"/>
          <w:b/>
          <w:bCs/>
          <w:color w:val="14202E"/>
          <w:sz w:val="20"/>
          <w:szCs w:val="20"/>
        </w:rPr>
        <w:t xml:space="preserve">Fear-first breach statistics</w:t>
      </w:r>
      <w:r>
        <w:rPr>
          <w:rFonts w:ascii="Calibri" w:cs="Calibri" w:eastAsia="Calibri" w:hAnsi="Calibri"/>
          <w:color w:val="3D4A5A"/>
          <w:sz w:val="20"/>
          <w:szCs w:val="20"/>
        </w:rPr>
        <w:t xml:space="preserve"> — high awareness, low conversion, indistinguishable from every other vendor email.</w:t>
      </w:r>
    </w:p>
    <w:p>
      <w:pPr>
        <w:pStyle w:val="ListParagraph"/>
        <w:numPr>
          <w:ilvl w:val="0"/>
          <w:numId w:val="1"/>
        </w:numPr>
        <w:spacing w:after="70" w:line="270"/>
      </w:pPr>
      <w:r>
        <w:rPr>
          <w:rFonts w:ascii="Calibri" w:cs="Calibri" w:eastAsia="Calibri" w:hAnsi="Calibri"/>
          <w:b/>
          <w:bCs/>
          <w:color w:val="14202E"/>
          <w:sz w:val="20"/>
          <w:szCs w:val="20"/>
        </w:rPr>
        <w:t xml:space="preserve">“Enterprise-grade” for SMB buyers</w:t>
      </w:r>
      <w:r>
        <w:rPr>
          <w:rFonts w:ascii="Calibri" w:cs="Calibri" w:eastAsia="Calibri" w:hAnsi="Calibri"/>
          <w:color w:val="3D4A5A"/>
          <w:sz w:val="20"/>
          <w:szCs w:val="20"/>
        </w:rPr>
        <w:t xml:space="preserve"> — it reads as “priced for someone else.”</w:t>
      </w:r>
    </w:p>
    <w:p>
      <w:pPr>
        <w:pStyle w:val="ListParagraph"/>
        <w:numPr>
          <w:ilvl w:val="0"/>
          <w:numId w:val="1"/>
        </w:numPr>
        <w:spacing w:after="70" w:line="270"/>
      </w:pPr>
      <w:r>
        <w:rPr>
          <w:rFonts w:ascii="Calibri" w:cs="Calibri" w:eastAsia="Calibri" w:hAnsi="Calibri"/>
          <w:b/>
          <w:bCs/>
          <w:color w:val="14202E"/>
          <w:sz w:val="20"/>
          <w:szCs w:val="20"/>
        </w:rPr>
        <w:t xml:space="preserve">Acronyms in a first sentence</w:t>
      </w:r>
      <w:r>
        <w:rPr>
          <w:rFonts w:ascii="Calibri" w:cs="Calibri" w:eastAsia="Calibri" w:hAnsi="Calibri"/>
          <w:color w:val="3D4A5A"/>
          <w:sz w:val="20"/>
          <w:szCs w:val="20"/>
        </w:rPr>
        <w:t xml:space="preserve"> — a founder who lost a deal over SOC 2 may still not know what the letters stand for.</w:t>
      </w:r>
    </w:p>
    <w:tbl>
      <w:tblPr>
        <w:tblW w:type="dxa" w:w="10080"/>
        <w:tblBorders>
          <w:top w:val="none"/>
          <w:left w:val="single" w:color="2F86B3" w:sz="18"/>
          <w:bottom w:val="none"/>
          <w:right w:val="none"/>
          <w:insideH w:val="none"/>
          <w:insideV w:val="none"/>
        </w:tblBorders>
      </w:tblPr>
      <w:tblGrid>
        <w:gridCol w:w="10080"/>
      </w:tblGrid>
      <w:tr>
        <w:trPr>
          <w:cantSplit/>
        </w:trPr>
        <w:tc>
          <w:tcPr>
            <w:tcW w:type="dxa" w:w="10080"/>
            <w:tcBorders>
              <w:top w:val="none"/>
              <w:left w:val="none"/>
              <w:bottom w:val="none"/>
              <w:right w:val="none"/>
            </w:tcBorders>
            <w:shd w:fill="EEF4F9" w:color="auto" w:val="clear"/>
            <w:tcMar>
              <w:top w:type="dxa" w:w="130"/>
              <w:left w:type="dxa" w:w="180"/>
              <w:bottom w:type="dxa" w:w="130"/>
              <w:right w:type="dxa" w:w="160"/>
            </w:tcMar>
          </w:tcPr>
          <w:p>
            <w:pPr>
              <w:keepNext/>
              <w:spacing w:after="60" w:before="0" w:line="260"/>
            </w:pPr>
            <w:r>
              <w:rPr>
                <w:rFonts w:ascii="Calibri" w:cs="Calibri" w:eastAsia="Calibri" w:hAnsi="Calibri"/>
                <w:b/>
                <w:bCs/>
                <w:color w:val="2F86B3"/>
                <w:sz w:val="19"/>
                <w:szCs w:val="19"/>
              </w:rPr>
              <w:t xml:space="preserve">On voice</w:t>
            </w:r>
          </w:p>
          <w:p>
            <w:pPr>
              <w:spacing w:after="40" w:before="0" w:line="265"/>
            </w:pPr>
            <w:r>
              <w:rPr>
                <w:rFonts w:ascii="Calibri" w:cs="Calibri" w:eastAsia="Calibri" w:hAnsi="Calibri"/>
                <w:color w:val="3D4A5A"/>
                <w:sz w:val="19"/>
                <w:szCs w:val="19"/>
              </w:rPr>
              <w:t xml:space="preserve">Andrew’s own writing is the reference: declarative, practitioner-first, willing to name a failure mode, allergic to consultant abstraction. “Governance without informed operational authority is theater.” “Tools do not reduce risk, decisions do.” “AI does not create maturity, it reveals it.” Copy written for 3HUE should sound like it could survive being read aloud by him on a client call. If a sentence would embarrass him in front of a CISO, cut it.</w:t>
            </w:r>
          </w:p>
        </w:tc>
      </w:tr>
    </w:tbl>
    <w:p>
      <w:pPr>
        <w:pStyle w:val="Heading2"/>
        <w:keepNext/>
        <w:spacing w:after="40" w:before="340"/>
      </w:pPr>
      <w:r>
        <w:rPr>
          <w:rFonts w:ascii="Calibri" w:cs="Calibri" w:eastAsia="Calibri" w:hAnsi="Calibri"/>
          <w:b/>
          <w:bCs/>
          <w:color w:val="2F86B3"/>
          <w:sz w:val="28"/>
          <w:szCs w:val="28"/>
        </w:rPr>
        <w:t xml:space="preserve">19. Boilerplate</w:t>
      </w:r>
    </w:p>
    <w:p>
      <w:pPr>
        <w:keepNext/>
        <w:spacing w:after="140" w:before="0" w:line="276"/>
      </w:pPr>
      <w:r>
        <w:rPr>
          <w:rFonts w:ascii="Calibri" w:cs="Calibri" w:eastAsia="Calibri" w:hAnsi="Calibri"/>
          <w:i/>
          <w:iCs/>
          <w:color w:val="6B7A8C"/>
          <w:sz w:val="19"/>
          <w:szCs w:val="19"/>
        </w:rPr>
        <w:t xml:space="preserve">Approved standing descriptions. Use verbatim — the point of boilerplate is that it does not vary.</w:t>
      </w:r>
    </w:p>
    <w:p>
      <w:pPr>
        <w:keepNext/>
        <w:spacing w:after="60" w:before="180"/>
      </w:pPr>
      <w:r>
        <w:rPr>
          <w:rFonts w:ascii="Calibri" w:cs="Calibri" w:eastAsia="Calibri" w:hAnsi="Calibri"/>
          <w:b/>
          <w:bCs/>
          <w:color w:val="3D4A5A"/>
          <w:sz w:val="20"/>
          <w:szCs w:val="20"/>
        </w:rPr>
        <w:t xml:space="preserve">25 words — directory listings, social bios, speaker credits</w:t>
      </w:r>
    </w:p>
    <w:tbl>
      <w:tblPr>
        <w:tblW w:type="dxa" w:w="10080"/>
        <w:tblBorders>
          <w:top w:val="none"/>
          <w:left w:val="single" w:color="2F86B3" w:sz="18"/>
          <w:bottom w:val="none"/>
          <w:right w:val="none"/>
          <w:insideH w:val="none"/>
          <w:insideV w:val="none"/>
        </w:tblBorders>
      </w:tblPr>
      <w:tblGrid>
        <w:gridCol w:w="10080"/>
      </w:tblGrid>
      <w:tr>
        <w:trPr>
          <w:cantSplit/>
        </w:trPr>
        <w:tc>
          <w:tcPr>
            <w:tcW w:type="dxa" w:w="10080"/>
            <w:tcBorders>
              <w:top w:val="none"/>
              <w:left w:val="none"/>
              <w:bottom w:val="none"/>
              <w:right w:val="none"/>
            </w:tcBorders>
            <w:shd w:fill="EEF4F9" w:color="auto" w:val="clear"/>
            <w:tcMar>
              <w:top w:type="dxa" w:w="130"/>
              <w:left w:type="dxa" w:w="180"/>
              <w:bottom w:type="dxa" w:w="130"/>
              <w:right w:type="dxa" w:w="160"/>
            </w:tcMar>
          </w:tcPr>
          <w:p>
            <w:pPr>
              <w:spacing w:after="40" w:before="0" w:line="265"/>
            </w:pPr>
            <w:r>
              <w:rPr>
                <w:rFonts w:ascii="Calibri" w:cs="Calibri" w:eastAsia="Calibri" w:hAnsi="Calibri"/>
                <w:color w:val="3D4A5A"/>
                <w:sz w:val="19"/>
                <w:szCs w:val="19"/>
              </w:rPr>
              <w:t xml:space="preserve">3HUE builds and operates security, compliance and AI governance programs for organizations that have to prove their controls work — and have no one inside to run them.</w:t>
            </w:r>
          </w:p>
        </w:tc>
      </w:tr>
    </w:tbl>
    <w:p>
      <w:pPr>
        <w:keepNext/>
        <w:spacing w:after="60" w:before="180"/>
      </w:pPr>
      <w:r>
        <w:rPr>
          <w:rFonts w:ascii="Calibri" w:cs="Calibri" w:eastAsia="Calibri" w:hAnsi="Calibri"/>
          <w:b/>
          <w:bCs/>
          <w:color w:val="3D4A5A"/>
          <w:sz w:val="20"/>
          <w:szCs w:val="20"/>
        </w:rPr>
        <w:t xml:space="preserve">50 words — press, partner pages, proposal footers</w:t>
      </w:r>
    </w:p>
    <w:tbl>
      <w:tblPr>
        <w:tblW w:type="dxa" w:w="10080"/>
        <w:tblBorders>
          <w:top w:val="none"/>
          <w:left w:val="single" w:color="2F86B3" w:sz="18"/>
          <w:bottom w:val="none"/>
          <w:right w:val="none"/>
          <w:insideH w:val="none"/>
          <w:insideV w:val="none"/>
        </w:tblBorders>
      </w:tblPr>
      <w:tblGrid>
        <w:gridCol w:w="10080"/>
      </w:tblGrid>
      <w:tr>
        <w:trPr>
          <w:cantSplit/>
        </w:trPr>
        <w:tc>
          <w:tcPr>
            <w:tcW w:type="dxa" w:w="10080"/>
            <w:tcBorders>
              <w:top w:val="none"/>
              <w:left w:val="none"/>
              <w:bottom w:val="none"/>
              <w:right w:val="none"/>
            </w:tcBorders>
            <w:shd w:fill="EEF4F9" w:color="auto" w:val="clear"/>
            <w:tcMar>
              <w:top w:type="dxa" w:w="130"/>
              <w:left w:type="dxa" w:w="180"/>
              <w:bottom w:type="dxa" w:w="130"/>
              <w:right w:type="dxa" w:w="160"/>
            </w:tcMar>
          </w:tcPr>
          <w:p>
            <w:pPr>
              <w:spacing w:after="40" w:before="0" w:line="265"/>
            </w:pPr>
            <w:r>
              <w:rPr>
                <w:rFonts w:ascii="Calibri" w:cs="Calibri" w:eastAsia="Calibri" w:hAnsi="Calibri"/>
                <w:color w:val="3D4A5A"/>
                <w:sz w:val="19"/>
                <w:szCs w:val="19"/>
              </w:rPr>
              <w:t xml:space="preserve">3HUE Executive Consulting is a founder-led advisory and managed services firm serving regulated and operationally complex organizations. It designs security, compliance and AI governance programs and then operates them, producing continuous evidence rather than point-in-time reports. Founded in 2015 and based in South Florida, 3HUE also built AiVRIC, the platform its managed programs run on.</w:t>
            </w:r>
          </w:p>
        </w:tc>
      </w:tr>
    </w:tbl>
    <w:p>
      <w:pPr>
        <w:keepNext/>
        <w:spacing w:after="60" w:before="180"/>
      </w:pPr>
      <w:r>
        <w:rPr>
          <w:rFonts w:ascii="Calibri" w:cs="Calibri" w:eastAsia="Calibri" w:hAnsi="Calibri"/>
          <w:b/>
          <w:bCs/>
          <w:color w:val="3D4A5A"/>
          <w:sz w:val="20"/>
          <w:szCs w:val="20"/>
        </w:rPr>
        <w:t xml:space="preserve">100 words — about page, capability statements, RFP responses</w:t>
      </w:r>
    </w:p>
    <w:tbl>
      <w:tblPr>
        <w:tblW w:type="dxa" w:w="10080"/>
        <w:tblBorders>
          <w:top w:val="none"/>
          <w:left w:val="single" w:color="2F86B3" w:sz="18"/>
          <w:bottom w:val="none"/>
          <w:right w:val="none"/>
          <w:insideH w:val="none"/>
          <w:insideV w:val="none"/>
        </w:tblBorders>
      </w:tblPr>
      <w:tblGrid>
        <w:gridCol w:w="10080"/>
      </w:tblGrid>
      <w:tr>
        <w:trPr>
          <w:cantSplit/>
        </w:trPr>
        <w:tc>
          <w:tcPr>
            <w:tcW w:type="dxa" w:w="10080"/>
            <w:tcBorders>
              <w:top w:val="none"/>
              <w:left w:val="none"/>
              <w:bottom w:val="none"/>
              <w:right w:val="none"/>
            </w:tcBorders>
            <w:shd w:fill="EEF4F9" w:color="auto" w:val="clear"/>
            <w:tcMar>
              <w:top w:type="dxa" w:w="130"/>
              <w:left w:type="dxa" w:w="180"/>
              <w:bottom w:type="dxa" w:w="130"/>
              <w:right w:type="dxa" w:w="160"/>
            </w:tcMar>
          </w:tcPr>
          <w:p>
            <w:pPr>
              <w:spacing w:after="40" w:before="0" w:line="265"/>
            </w:pPr>
            <w:r>
              <w:rPr>
                <w:rFonts w:ascii="Calibri" w:cs="Calibri" w:eastAsia="Calibri" w:hAnsi="Calibri"/>
                <w:color w:val="3D4A5A"/>
                <w:sz w:val="19"/>
                <w:szCs w:val="19"/>
              </w:rPr>
              <w:t xml:space="preserve">3HUE Executive Consulting is a founder-led advisory and managed services firm for organizations that have been told to prove their security by a customer, insurer, investor or regulator. Rather than delivering an assessment and leaving, 3HUE builds the governance program and then runs it — audit-ready security programs, managed security operations, and technology governance — with evidence produced continuously instead of assembled before each audit. Engagements are scoped and delivered by the same practitioner, whose background includes closing FDA 483 observations and remediating bank Matters Requiring Attention under sustained examination. Founded in 2015. Its managed programs run on AiVRIC, the platform 3HUE built.</w:t>
            </w:r>
          </w:p>
        </w:tc>
      </w:tr>
    </w:tbl>
    <w:tbl>
      <w:tblPr>
        <w:tblW w:type="dxa" w:w="10080"/>
        <w:tblBorders>
          <w:top w:val="none"/>
          <w:left w:val="single" w:color="A8781F" w:sz="18"/>
          <w:bottom w:val="none"/>
          <w:right w:val="none"/>
          <w:insideH w:val="none"/>
          <w:insideV w:val="none"/>
        </w:tblBorders>
      </w:tblPr>
      <w:tblGrid>
        <w:gridCol w:w="10080"/>
      </w:tblGrid>
      <w:tr>
        <w:trPr>
          <w:cantSplit/>
        </w:trPr>
        <w:tc>
          <w:tcPr>
            <w:tcW w:type="dxa" w:w="10080"/>
            <w:tcBorders>
              <w:top w:val="none"/>
              <w:left w:val="none"/>
              <w:bottom w:val="none"/>
              <w:right w:val="none"/>
            </w:tcBorders>
            <w:shd w:fill="FBF4E6" w:color="auto" w:val="clear"/>
            <w:tcMar>
              <w:top w:type="dxa" w:w="130"/>
              <w:left w:type="dxa" w:w="180"/>
              <w:bottom w:type="dxa" w:w="130"/>
              <w:right w:type="dxa" w:w="160"/>
            </w:tcMar>
          </w:tcPr>
          <w:p>
            <w:pPr>
              <w:keepNext/>
              <w:spacing w:after="60" w:before="0" w:line="260"/>
            </w:pPr>
            <w:r>
              <w:rPr>
                <w:rFonts w:ascii="Calibri" w:cs="Calibri" w:eastAsia="Calibri" w:hAnsi="Calibri"/>
                <w:b/>
                <w:bCs/>
                <w:color w:val="A8781F"/>
                <w:sz w:val="19"/>
                <w:szCs w:val="19"/>
              </w:rPr>
              <w:t xml:space="preserve">Open naming question</w:t>
            </w:r>
          </w:p>
          <w:p>
            <w:pPr>
              <w:spacing w:after="40" w:before="0" w:line="265"/>
            </w:pPr>
            <w:r>
              <w:rPr>
                <w:rFonts w:ascii="Calibri" w:cs="Calibri" w:eastAsia="Calibri" w:hAnsi="Calibri"/>
                <w:color w:val="3D4A5A"/>
                <w:sz w:val="19"/>
                <w:szCs w:val="19"/>
              </w:rPr>
              <w:t xml:space="preserve">How 3HUE and AiVRIC appear together is not settled. The options are endorsement (“AiVRIC, from 3HUE”), a powered-by relationship (“3HUE managed programs, running on AiVRIC”), or full separation. The drafts above use powered-by because it is the most defensible today, but this is a decision for Andrew, and once made it belongs in the brand standard as a rule.</w:t>
            </w:r>
          </w:p>
        </w:tc>
      </w:tr>
    </w:tbl>
    <w:p>
      <w:r>
        <w:br w:type="page"/>
      </w:r>
    </w:p>
    <w:p>
      <w:pPr>
        <w:spacing w:after="40" w:before="200"/>
      </w:pPr>
      <w:r>
        <w:rPr>
          <w:rFonts w:ascii="Calibri" w:cs="Calibri" w:eastAsia="Calibri" w:hAnsi="Calibri"/>
          <w:b/>
          <w:bCs/>
          <w:color w:val="44A8D9"/>
          <w:sz w:val="18"/>
          <w:szCs w:val="18"/>
        </w:rPr>
        <w:t xml:space="preserve">PART IV</w:t>
      </w:r>
    </w:p>
    <w:p>
      <w:pPr>
        <w:pStyle w:val="Heading1"/>
        <w:spacing w:after="120" w:before="0"/>
      </w:pPr>
      <w:r>
        <w:rPr>
          <w:rFonts w:ascii="Calibri" w:cs="Calibri" w:eastAsia="Calibri" w:hAnsi="Calibri"/>
          <w:b/>
          <w:bCs/>
          <w:color w:val="14202E"/>
          <w:sz w:val="40"/>
          <w:szCs w:val="40"/>
        </w:rPr>
        <w:t xml:space="preserve">The Brand</w:t>
      </w:r>
    </w:p>
    <w:p>
      <w:pPr>
        <w:spacing w:after="200" w:before="0" w:line="276"/>
      </w:pPr>
      <w:r>
        <w:rPr>
          <w:rFonts w:ascii="Calibri" w:cs="Calibri" w:eastAsia="Calibri" w:hAnsi="Calibri"/>
          <w:color w:val="3D4A5A"/>
          <w:sz w:val="21"/>
          <w:szCs w:val="21"/>
        </w:rPr>
        <w:t xml:space="preserve">The visual identity is read directly from the live sites — CSS custom properties, computed font stacks and the actual image assets. The usage rules, verbal identity and asset inventory are proposed standards, written because none existed.</w:t>
      </w:r>
    </w:p>
    <w:p>
      <w:pPr>
        <w:pBdr>
          <w:bottom w:val="single" w:color="D3DCE6" w:sz="6" w:space="1"/>
        </w:pBdr>
        <w:spacing w:after="160" w:before="0"/>
      </w:pPr>
      <w:r>
        <w:rPr>
          <w:rFonts w:ascii="Calibri" w:cs="Calibri" w:eastAsia="Calibri" w:hAnsi="Calibri"/>
          <w:color w:val="3D4A5A"/>
          <w:sz w:val="2"/>
          <w:szCs w:val="2"/>
        </w:rPr>
        <w:t xml:space="preserve"/>
      </w:r>
    </w:p>
    <w:p>
      <w:pPr>
        <w:pStyle w:val="Heading2"/>
        <w:keepNext/>
        <w:spacing w:after="40" w:before="340"/>
      </w:pPr>
      <w:r>
        <w:rPr>
          <w:rFonts w:ascii="Calibri" w:cs="Calibri" w:eastAsia="Calibri" w:hAnsi="Calibri"/>
          <w:b/>
          <w:bCs/>
          <w:color w:val="2F86B3"/>
          <w:sz w:val="28"/>
          <w:szCs w:val="28"/>
        </w:rPr>
        <w:t xml:space="preserve">20. The logo system</w:t>
      </w:r>
    </w:p>
    <w:p>
      <w:pPr>
        <w:keepNext/>
        <w:spacing w:after="140" w:before="0" w:line="276"/>
      </w:pPr>
      <w:r>
        <w:rPr>
          <w:rFonts w:ascii="Calibri" w:cs="Calibri" w:eastAsia="Calibri" w:hAnsi="Calibri"/>
          <w:i/>
          <w:iCs/>
          <w:color w:val="6B7A8C"/>
          <w:sz w:val="19"/>
          <w:szCs w:val="19"/>
        </w:rPr>
        <w:t xml:space="preserve">One master lockup plus three service marks.</w:t>
      </w:r>
    </w:p>
    <w:p>
      <w:pPr>
        <w:spacing w:after="120" w:before="0" w:line="276"/>
      </w:pPr>
      <w:r>
        <w:rPr>
          <w:rFonts w:ascii="Calibri" w:cs="Calibri" w:eastAsia="Calibri" w:hAnsi="Calibri"/>
          <w:color w:val="3D4A5A"/>
          <w:sz w:val="20"/>
          <w:szCs w:val="20"/>
        </w:rPr>
        <w:t xml:space="preserve">The marks are not decorative — each is attached to a named managed-services offering on the homepage, which means the “three” in 3HUE has a concrete referent: security governance, operations, and technology governance.</w:t>
      </w:r>
    </w:p>
    <w:tbl>
      <w:tblPr>
        <w:tblW w:type="dxa" w:w="10080"/>
        <w:tblBorders>
          <w:top w:val="single" w:color="D3DCE6" w:sz="2"/>
          <w:left w:val="none"/>
          <w:bottom w:val="single" w:color="D3DCE6" w:sz="2"/>
          <w:right w:val="none"/>
          <w:insideH w:val="single" w:color="D3DCE6" w:sz="2"/>
          <w:insideV w:val="none"/>
        </w:tblBorders>
      </w:tblPr>
      <w:tblGrid>
        <w:gridCol w:w="1613"/>
        <w:gridCol w:w="5242"/>
        <w:gridCol w:w="3226"/>
      </w:tblGrid>
      <w:tr>
        <w:trPr>
          <w:cantSplit/>
          <w:tblHeader/>
        </w:trPr>
        <w:tc>
          <w:tcPr>
            <w:tcW w:type="dxa" w:w="1613"/>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Mark</w:t>
            </w:r>
          </w:p>
        </w:tc>
        <w:tc>
          <w:tcPr>
            <w:tcW w:type="dxa" w:w="5242"/>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What it is</w:t>
            </w:r>
          </w:p>
        </w:tc>
        <w:tc>
          <w:tcPr>
            <w:tcW w:type="dxa" w:w="3226"/>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Asset</w:t>
            </w:r>
          </w:p>
        </w:tc>
      </w:tr>
      <w:tr>
        <w:trPr>
          <w:cantSplit/>
        </w:trPr>
        <w:tc>
          <w:tcPr>
            <w:tcW w:type="dxa" w:w="1613"/>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Master lockup</w:t>
            </w:r>
          </w:p>
        </w:tc>
        <w:tc>
          <w:tcPr>
            <w:tcW w:type="dxa" w:w="5242"/>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Numeral “3” in brand blue with grey motion arcs, “HUE” in blue, “EXECUTIVE CONSULTING” in grey beneath. The arcs trail the 3 like a shutter trail — the only piece of visual metaphor in the identity.</w:t>
            </w:r>
          </w:p>
        </w:tc>
        <w:tc>
          <w:tcPr>
            <w:tcW w:type="dxa" w:w="322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Logo-FULL-v1.avif · 2077 × 843 · transparent AVIF · 14 KB</w:t>
            </w:r>
          </w:p>
        </w:tc>
      </w:tr>
      <w:tr>
        <w:trPr>
          <w:cantSplit/>
        </w:trPr>
        <w:tc>
          <w:tcPr>
            <w:tcW w:type="dxa" w:w="1613"/>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ISG</w:t>
            </w:r>
          </w:p>
        </w:tc>
        <w:tc>
          <w:tcPr>
            <w:tcW w:type="dxa" w:w="5242"/>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Audit-Ready Security Program. ISMS, ERM and incident-response foundations. Shield outline on a rounded navy tile.</w:t>
            </w:r>
          </w:p>
        </w:tc>
        <w:tc>
          <w:tcPr>
            <w:tcW w:type="dxa" w:w="3226"/>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isg-web-brand-logo-flat.png · 812 × 846</w:t>
            </w:r>
          </w:p>
        </w:tc>
      </w:tr>
      <w:tr>
        <w:trPr>
          <w:cantSplit/>
        </w:trPr>
        <w:tc>
          <w:tcPr>
            <w:tcW w:type="dxa" w:w="1613"/>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OPS</w:t>
            </w:r>
          </w:p>
        </w:tc>
        <w:tc>
          <w:tcPr>
            <w:tcW w:type="dxa" w:w="5242"/>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Managed Security Operations. Intelligence-driven identification and mitigation. Gear and circuit traces over a banded cylinder.</w:t>
            </w:r>
          </w:p>
        </w:tc>
        <w:tc>
          <w:tcPr>
            <w:tcW w:type="dxa" w:w="322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ops-web-brand-logo-flat.png · 720 × 720</w:t>
            </w:r>
          </w:p>
        </w:tc>
      </w:tr>
      <w:tr>
        <w:trPr>
          <w:cantSplit/>
        </w:trPr>
        <w:tc>
          <w:tcPr>
            <w:tcW w:type="dxa" w:w="1613"/>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ITG</w:t>
            </w:r>
          </w:p>
        </w:tc>
        <w:tc>
          <w:tcPr>
            <w:tcW w:type="dxa" w:w="5242"/>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Technology Governance for Scale. Architecture alignment and portfolio governance. Hexagon with connected nodes at the vertices.</w:t>
            </w:r>
          </w:p>
        </w:tc>
        <w:tc>
          <w:tcPr>
            <w:tcW w:type="dxa" w:w="3226"/>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itg-web-brand-logo-flat.png · 720 × 720</w:t>
            </w:r>
          </w:p>
        </w:tc>
      </w:tr>
    </w:tbl>
    <w:p>
      <w:pPr>
        <w:spacing w:after="180" w:before="0" w:line="276"/>
      </w:pPr>
      <w:r>
        <w:rPr>
          <w:rFonts w:ascii="Calibri" w:cs="Calibri" w:eastAsia="Calibri" w:hAnsi="Calibri"/>
          <w:color w:val="3D4A5A"/>
          <w:sz w:val="8"/>
          <w:szCs w:val="8"/>
        </w:rPr>
        <w:t xml:space="preserve"/>
      </w:r>
    </w:p>
    <w:p>
      <w:pPr>
        <w:spacing w:after="160" w:before="0" w:line="276"/>
      </w:pPr>
      <w:r>
        <w:rPr>
          <w:rFonts w:ascii="Calibri" w:cs="Calibri" w:eastAsia="Calibri" w:hAnsi="Calibri"/>
          <w:i/>
          <w:iCs/>
          <w:color w:val="6B7A8C"/>
          <w:sz w:val="16"/>
          <w:szCs w:val="16"/>
        </w:rPr>
        <w:t xml:space="preserve">No SVG or vector master surfaced at the expected paths, and no white, mono or stacked variants were found. The three service marks are flat PNGs with the navy tile and glow baked in, so they carry their own background and cannot be recoloured or placed on a light surface without the tile coming along.</w:t>
      </w:r>
    </w:p>
    <w:p>
      <w:pPr>
        <w:pStyle w:val="Heading2"/>
        <w:keepNext/>
        <w:spacing w:after="40" w:before="340"/>
      </w:pPr>
      <w:r>
        <w:rPr>
          <w:rFonts w:ascii="Calibri" w:cs="Calibri" w:eastAsia="Calibri" w:hAnsi="Calibri"/>
          <w:b/>
          <w:bCs/>
          <w:color w:val="2F86B3"/>
          <w:sz w:val="28"/>
          <w:szCs w:val="28"/>
        </w:rPr>
        <w:t xml:space="preserve">21. Colour</w:t>
      </w:r>
    </w:p>
    <w:p>
      <w:pPr>
        <w:keepNext/>
        <w:spacing w:after="140" w:before="0" w:line="276"/>
      </w:pPr>
      <w:r>
        <w:rPr>
          <w:rFonts w:ascii="Calibri" w:cs="Calibri" w:eastAsia="Calibri" w:hAnsi="Calibri"/>
          <w:i/>
          <w:iCs/>
          <w:color w:val="6B7A8C"/>
          <w:sz w:val="19"/>
          <w:szCs w:val="19"/>
        </w:rPr>
        <w:t xml:space="preserve">Read from the :root custom properties on 3hue.net. The system is deliberately narrow: one brand hue with a dark and light step, two greys, and a four-step surface and ink ramp that inverts between themes.</w:t>
      </w:r>
    </w:p>
    <w:tbl>
      <w:tblPr>
        <w:tblW w:type="dxa" w:w="10080"/>
        <w:tblBorders>
          <w:top w:val="single" w:color="D3DCE6" w:sz="2"/>
          <w:left w:val="none"/>
          <w:bottom w:val="single" w:color="D3DCE6" w:sz="2"/>
          <w:right w:val="none"/>
          <w:insideH w:val="single" w:color="D3DCE6" w:sz="2"/>
          <w:insideV w:val="none"/>
        </w:tblBorders>
      </w:tblPr>
      <w:tblGrid>
        <w:gridCol w:w="2419"/>
        <w:gridCol w:w="1814"/>
        <w:gridCol w:w="5846"/>
      </w:tblGrid>
      <w:tr>
        <w:trPr>
          <w:cantSplit/>
          <w:tblHeader/>
        </w:trPr>
        <w:tc>
          <w:tcPr>
            <w:tcW w:type="dxa" w:w="2419"/>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Token</w:t>
            </w:r>
          </w:p>
        </w:tc>
        <w:tc>
          <w:tcPr>
            <w:tcW w:type="dxa" w:w="1814"/>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Hex</w:t>
            </w:r>
          </w:p>
        </w:tc>
        <w:tc>
          <w:tcPr>
            <w:tcW w:type="dxa" w:w="5846"/>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Role</w:t>
            </w:r>
          </w:p>
        </w:tc>
      </w:tr>
      <w:tr>
        <w:trPr>
          <w:cantSplit/>
        </w:trPr>
        <w:tc>
          <w:tcPr>
            <w:tcW w:type="dxa" w:w="241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Brand primary</w:t>
            </w:r>
          </w:p>
        </w:tc>
        <w:tc>
          <w:tcPr>
            <w:tcW w:type="dxa" w:w="1814"/>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#44a8d9</w:t>
            </w:r>
          </w:p>
        </w:tc>
        <w:tc>
          <w:tcPr>
            <w:tcW w:type="dxa" w:w="584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Buttons, logo, focus ring, card borders</w:t>
            </w:r>
          </w:p>
        </w:tc>
      </w:tr>
      <w:tr>
        <w:trPr>
          <w:cantSplit/>
        </w:trPr>
        <w:tc>
          <w:tcPr>
            <w:tcW w:type="dxa" w:w="2419"/>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Brand 700</w:t>
            </w:r>
          </w:p>
        </w:tc>
        <w:tc>
          <w:tcPr>
            <w:tcW w:type="dxa" w:w="1814"/>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#2f86b3</w:t>
            </w:r>
          </w:p>
        </w:tc>
        <w:tc>
          <w:tcPr>
            <w:tcW w:type="dxa" w:w="5846"/>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Links on light surfaces</w:t>
            </w:r>
          </w:p>
        </w:tc>
      </w:tr>
      <w:tr>
        <w:trPr>
          <w:cantSplit/>
        </w:trPr>
        <w:tc>
          <w:tcPr>
            <w:tcW w:type="dxa" w:w="241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Brand 100</w:t>
            </w:r>
          </w:p>
        </w:tc>
        <w:tc>
          <w:tcPr>
            <w:tcW w:type="dxa" w:w="1814"/>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#d9eff8</w:t>
            </w:r>
          </w:p>
        </w:tc>
        <w:tc>
          <w:tcPr>
            <w:tcW w:type="dxa" w:w="584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Tints, badge fills</w:t>
            </w:r>
          </w:p>
        </w:tc>
      </w:tr>
      <w:tr>
        <w:trPr>
          <w:cantSplit/>
        </w:trPr>
        <w:tc>
          <w:tcPr>
            <w:tcW w:type="dxa" w:w="2419"/>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Secondary</w:t>
            </w:r>
          </w:p>
        </w:tc>
        <w:tc>
          <w:tcPr>
            <w:tcW w:type="dxa" w:w="1814"/>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#666666</w:t>
            </w:r>
          </w:p>
        </w:tc>
        <w:tc>
          <w:tcPr>
            <w:tcW w:type="dxa" w:w="5846"/>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“Executive Consulting” wordmark, logo arcs</w:t>
            </w:r>
          </w:p>
        </w:tc>
      </w:tr>
      <w:tr>
        <w:trPr>
          <w:cantSplit/>
        </w:trPr>
        <w:tc>
          <w:tcPr>
            <w:tcW w:type="dxa" w:w="241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Accent</w:t>
            </w:r>
          </w:p>
        </w:tc>
        <w:tc>
          <w:tcPr>
            <w:tcW w:type="dxa" w:w="1814"/>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#999999</w:t>
            </w:r>
          </w:p>
        </w:tc>
        <w:tc>
          <w:tcPr>
            <w:tcW w:type="dxa" w:w="584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Tertiary grey</w:t>
            </w:r>
          </w:p>
        </w:tc>
      </w:tr>
    </w:tbl>
    <w:p>
      <w:pPr>
        <w:spacing w:after="180" w:before="0" w:line="276"/>
      </w:pPr>
      <w:r>
        <w:rPr>
          <w:rFonts w:ascii="Calibri" w:cs="Calibri" w:eastAsia="Calibri" w:hAnsi="Calibri"/>
          <w:color w:val="3D4A5A"/>
          <w:sz w:val="8"/>
          <w:szCs w:val="8"/>
        </w:rPr>
        <w:t xml:space="preserve"/>
      </w:r>
    </w:p>
    <w:p>
      <w:pPr>
        <w:keepNext/>
        <w:spacing w:after="60" w:before="180"/>
      </w:pPr>
      <w:r>
        <w:rPr>
          <w:rFonts w:ascii="Calibri" w:cs="Calibri" w:eastAsia="Calibri" w:hAnsi="Calibri"/>
          <w:b/>
          <w:bCs/>
          <w:color w:val="3D4A5A"/>
          <w:sz w:val="20"/>
          <w:szCs w:val="20"/>
        </w:rPr>
        <w:t xml:space="preserve">Dark surfaces and ink — the default appearance</w:t>
      </w:r>
    </w:p>
    <w:tbl>
      <w:tblPr>
        <w:tblW w:type="dxa" w:w="10080"/>
        <w:tblBorders>
          <w:top w:val="single" w:color="D3DCE6" w:sz="2"/>
          <w:left w:val="none"/>
          <w:bottom w:val="single" w:color="D3DCE6" w:sz="2"/>
          <w:right w:val="none"/>
          <w:insideH w:val="single" w:color="D3DCE6" w:sz="2"/>
          <w:insideV w:val="none"/>
        </w:tblBorders>
      </w:tblPr>
      <w:tblGrid>
        <w:gridCol w:w="1260"/>
        <w:gridCol w:w="1260"/>
        <w:gridCol w:w="1260"/>
        <w:gridCol w:w="1260"/>
        <w:gridCol w:w="1260"/>
        <w:gridCol w:w="1260"/>
        <w:gridCol w:w="1260"/>
        <w:gridCol w:w="1260"/>
      </w:tblGrid>
      <w:tr>
        <w:trPr>
          <w:cantSplit/>
          <w:tblHeader/>
        </w:trPr>
        <w:tc>
          <w:tcPr>
            <w:tcW w:type="dxa" w:w="1260"/>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jc w:val="center"/>
            </w:pPr>
            <w:r>
              <w:rPr>
                <w:rFonts w:ascii="Calibri" w:cs="Calibri" w:eastAsia="Calibri" w:hAnsi="Calibri"/>
                <w:b/>
                <w:bCs/>
                <w:color w:val="6B7A8C"/>
                <w:sz w:val="16"/>
                <w:szCs w:val="16"/>
              </w:rPr>
              <w:t xml:space="preserve">Surface 0</w:t>
            </w:r>
          </w:p>
        </w:tc>
        <w:tc>
          <w:tcPr>
            <w:tcW w:type="dxa" w:w="1260"/>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jc w:val="center"/>
            </w:pPr>
            <w:r>
              <w:rPr>
                <w:rFonts w:ascii="Calibri" w:cs="Calibri" w:eastAsia="Calibri" w:hAnsi="Calibri"/>
                <w:b/>
                <w:bCs/>
                <w:color w:val="6B7A8C"/>
                <w:sz w:val="16"/>
                <w:szCs w:val="16"/>
              </w:rPr>
              <w:t xml:space="preserve">Surface 1</w:t>
            </w:r>
          </w:p>
        </w:tc>
        <w:tc>
          <w:tcPr>
            <w:tcW w:type="dxa" w:w="1260"/>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jc w:val="center"/>
            </w:pPr>
            <w:r>
              <w:rPr>
                <w:rFonts w:ascii="Calibri" w:cs="Calibri" w:eastAsia="Calibri" w:hAnsi="Calibri"/>
                <w:b/>
                <w:bCs/>
                <w:color w:val="6B7A8C"/>
                <w:sz w:val="16"/>
                <w:szCs w:val="16"/>
              </w:rPr>
              <w:t xml:space="preserve">Surface 2</w:t>
            </w:r>
          </w:p>
        </w:tc>
        <w:tc>
          <w:tcPr>
            <w:tcW w:type="dxa" w:w="1260"/>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jc w:val="center"/>
            </w:pPr>
            <w:r>
              <w:rPr>
                <w:rFonts w:ascii="Calibri" w:cs="Calibri" w:eastAsia="Calibri" w:hAnsi="Calibri"/>
                <w:b/>
                <w:bCs/>
                <w:color w:val="6B7A8C"/>
                <w:sz w:val="16"/>
                <w:szCs w:val="16"/>
              </w:rPr>
              <w:t xml:space="preserve">Surface 3</w:t>
            </w:r>
          </w:p>
        </w:tc>
        <w:tc>
          <w:tcPr>
            <w:tcW w:type="dxa" w:w="1260"/>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jc w:val="center"/>
            </w:pPr>
            <w:r>
              <w:rPr>
                <w:rFonts w:ascii="Calibri" w:cs="Calibri" w:eastAsia="Calibri" w:hAnsi="Calibri"/>
                <w:b/>
                <w:bCs/>
                <w:color w:val="6B7A8C"/>
                <w:sz w:val="16"/>
                <w:szCs w:val="16"/>
              </w:rPr>
              <w:t xml:space="preserve">Ink strong</w:t>
            </w:r>
          </w:p>
        </w:tc>
        <w:tc>
          <w:tcPr>
            <w:tcW w:type="dxa" w:w="1260"/>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jc w:val="center"/>
            </w:pPr>
            <w:r>
              <w:rPr>
                <w:rFonts w:ascii="Calibri" w:cs="Calibri" w:eastAsia="Calibri" w:hAnsi="Calibri"/>
                <w:b/>
                <w:bCs/>
                <w:color w:val="6B7A8C"/>
                <w:sz w:val="16"/>
                <w:szCs w:val="16"/>
              </w:rPr>
              <w:t xml:space="preserve">Ink default</w:t>
            </w:r>
          </w:p>
        </w:tc>
        <w:tc>
          <w:tcPr>
            <w:tcW w:type="dxa" w:w="1260"/>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jc w:val="center"/>
            </w:pPr>
            <w:r>
              <w:rPr>
                <w:rFonts w:ascii="Calibri" w:cs="Calibri" w:eastAsia="Calibri" w:hAnsi="Calibri"/>
                <w:b/>
                <w:bCs/>
                <w:color w:val="6B7A8C"/>
                <w:sz w:val="16"/>
                <w:szCs w:val="16"/>
              </w:rPr>
              <w:t xml:space="preserve">Ink muted</w:t>
            </w:r>
          </w:p>
        </w:tc>
        <w:tc>
          <w:tcPr>
            <w:tcW w:type="dxa" w:w="1260"/>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jc w:val="center"/>
            </w:pPr>
            <w:r>
              <w:rPr>
                <w:rFonts w:ascii="Calibri" w:cs="Calibri" w:eastAsia="Calibri" w:hAnsi="Calibri"/>
                <w:b/>
                <w:bCs/>
                <w:color w:val="6B7A8C"/>
                <w:sz w:val="16"/>
                <w:szCs w:val="16"/>
              </w:rPr>
              <w:t xml:space="preserve">Ink subtle</w:t>
            </w:r>
          </w:p>
        </w:tc>
      </w:tr>
      <w:tr>
        <w:trPr>
          <w:cantSplit/>
        </w:trPr>
        <w:tc>
          <w:tcPr>
            <w:tcW w:type="dxa" w:w="126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center"/>
            </w:pPr>
            <w:r>
              <w:rPr>
                <w:rFonts w:ascii="Calibri" w:cs="Calibri" w:eastAsia="Calibri" w:hAnsi="Calibri"/>
                <w:color w:val="3D4A5A"/>
                <w:sz w:val="18"/>
                <w:szCs w:val="18"/>
              </w:rPr>
              <w:t xml:space="preserve">#0b1118</w:t>
            </w:r>
          </w:p>
        </w:tc>
        <w:tc>
          <w:tcPr>
            <w:tcW w:type="dxa" w:w="126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center"/>
            </w:pPr>
            <w:r>
              <w:rPr>
                <w:rFonts w:ascii="Calibri" w:cs="Calibri" w:eastAsia="Calibri" w:hAnsi="Calibri"/>
                <w:color w:val="3D4A5A"/>
                <w:sz w:val="18"/>
                <w:szCs w:val="18"/>
              </w:rPr>
              <w:t xml:space="preserve">#0f172a</w:t>
            </w:r>
          </w:p>
        </w:tc>
        <w:tc>
          <w:tcPr>
            <w:tcW w:type="dxa" w:w="126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center"/>
            </w:pPr>
            <w:r>
              <w:rPr>
                <w:rFonts w:ascii="Calibri" w:cs="Calibri" w:eastAsia="Calibri" w:hAnsi="Calibri"/>
                <w:color w:val="3D4A5A"/>
                <w:sz w:val="18"/>
                <w:szCs w:val="18"/>
              </w:rPr>
              <w:t xml:space="preserve">#111827</w:t>
            </w:r>
          </w:p>
        </w:tc>
        <w:tc>
          <w:tcPr>
            <w:tcW w:type="dxa" w:w="126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center"/>
            </w:pPr>
            <w:r>
              <w:rPr>
                <w:rFonts w:ascii="Calibri" w:cs="Calibri" w:eastAsia="Calibri" w:hAnsi="Calibri"/>
                <w:color w:val="3D4A5A"/>
                <w:sz w:val="18"/>
                <w:szCs w:val="18"/>
              </w:rPr>
              <w:t xml:space="preserve">#1f2937</w:t>
            </w:r>
          </w:p>
        </w:tc>
        <w:tc>
          <w:tcPr>
            <w:tcW w:type="dxa" w:w="126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center"/>
            </w:pPr>
            <w:r>
              <w:rPr>
                <w:rFonts w:ascii="Calibri" w:cs="Calibri" w:eastAsia="Calibri" w:hAnsi="Calibri"/>
                <w:color w:val="3D4A5A"/>
                <w:sz w:val="18"/>
                <w:szCs w:val="18"/>
              </w:rPr>
              <w:t xml:space="preserve">#f8fafc</w:t>
            </w:r>
          </w:p>
        </w:tc>
        <w:tc>
          <w:tcPr>
            <w:tcW w:type="dxa" w:w="126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center"/>
            </w:pPr>
            <w:r>
              <w:rPr>
                <w:rFonts w:ascii="Calibri" w:cs="Calibri" w:eastAsia="Calibri" w:hAnsi="Calibri"/>
                <w:color w:val="3D4A5A"/>
                <w:sz w:val="18"/>
                <w:szCs w:val="18"/>
              </w:rPr>
              <w:t xml:space="preserve">#e2e8f0</w:t>
            </w:r>
          </w:p>
        </w:tc>
        <w:tc>
          <w:tcPr>
            <w:tcW w:type="dxa" w:w="126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center"/>
            </w:pPr>
            <w:r>
              <w:rPr>
                <w:rFonts w:ascii="Calibri" w:cs="Calibri" w:eastAsia="Calibri" w:hAnsi="Calibri"/>
                <w:color w:val="3D4A5A"/>
                <w:sz w:val="18"/>
                <w:szCs w:val="18"/>
              </w:rPr>
              <w:t xml:space="preserve">#cbd5f5</w:t>
            </w:r>
          </w:p>
        </w:tc>
        <w:tc>
          <w:tcPr>
            <w:tcW w:type="dxa" w:w="126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center"/>
            </w:pPr>
            <w:r>
              <w:rPr>
                <w:rFonts w:ascii="Calibri" w:cs="Calibri" w:eastAsia="Calibri" w:hAnsi="Calibri"/>
                <w:color w:val="3D4A5A"/>
                <w:sz w:val="18"/>
                <w:szCs w:val="18"/>
              </w:rPr>
              <w:t xml:space="preserve">#94a3b8</w:t>
            </w:r>
          </w:p>
        </w:tc>
      </w:tr>
    </w:tbl>
    <w:p>
      <w:pPr>
        <w:spacing w:after="180" w:before="0" w:line="276"/>
      </w:pPr>
      <w:r>
        <w:rPr>
          <w:rFonts w:ascii="Calibri" w:cs="Calibri" w:eastAsia="Calibri" w:hAnsi="Calibri"/>
          <w:color w:val="3D4A5A"/>
          <w:sz w:val="8"/>
          <w:szCs w:val="8"/>
        </w:rPr>
        <w:t xml:space="preserve"/>
      </w:r>
    </w:p>
    <w:p>
      <w:pPr>
        <w:keepNext/>
        <w:spacing w:after="60" w:before="180"/>
      </w:pPr>
      <w:r>
        <w:rPr>
          <w:rFonts w:ascii="Calibri" w:cs="Calibri" w:eastAsia="Calibri" w:hAnsi="Calibri"/>
          <w:b/>
          <w:bCs/>
          <w:color w:val="3D4A5A"/>
          <w:sz w:val="20"/>
          <w:szCs w:val="20"/>
        </w:rPr>
        <w:t xml:space="preserve">Light surfaces and ink — behind the toggle</w:t>
      </w:r>
    </w:p>
    <w:tbl>
      <w:tblPr>
        <w:tblW w:type="dxa" w:w="10080"/>
        <w:tblBorders>
          <w:top w:val="single" w:color="D3DCE6" w:sz="2"/>
          <w:left w:val="none"/>
          <w:bottom w:val="single" w:color="D3DCE6" w:sz="2"/>
          <w:right w:val="none"/>
          <w:insideH w:val="single" w:color="D3DCE6" w:sz="2"/>
          <w:insideV w:val="none"/>
        </w:tblBorders>
      </w:tblPr>
      <w:tblGrid>
        <w:gridCol w:w="1260"/>
        <w:gridCol w:w="1260"/>
        <w:gridCol w:w="1260"/>
        <w:gridCol w:w="1260"/>
        <w:gridCol w:w="1260"/>
        <w:gridCol w:w="1260"/>
        <w:gridCol w:w="1260"/>
        <w:gridCol w:w="1260"/>
      </w:tblGrid>
      <w:tr>
        <w:trPr>
          <w:cantSplit/>
          <w:tblHeader/>
        </w:trPr>
        <w:tc>
          <w:tcPr>
            <w:tcW w:type="dxa" w:w="1260"/>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jc w:val="center"/>
            </w:pPr>
            <w:r>
              <w:rPr>
                <w:rFonts w:ascii="Calibri" w:cs="Calibri" w:eastAsia="Calibri" w:hAnsi="Calibri"/>
                <w:b/>
                <w:bCs/>
                <w:color w:val="6B7A8C"/>
                <w:sz w:val="16"/>
                <w:szCs w:val="16"/>
              </w:rPr>
              <w:t xml:space="preserve">Surface 0</w:t>
            </w:r>
          </w:p>
        </w:tc>
        <w:tc>
          <w:tcPr>
            <w:tcW w:type="dxa" w:w="1260"/>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jc w:val="center"/>
            </w:pPr>
            <w:r>
              <w:rPr>
                <w:rFonts w:ascii="Calibri" w:cs="Calibri" w:eastAsia="Calibri" w:hAnsi="Calibri"/>
                <w:b/>
                <w:bCs/>
                <w:color w:val="6B7A8C"/>
                <w:sz w:val="16"/>
                <w:szCs w:val="16"/>
              </w:rPr>
              <w:t xml:space="preserve">Surface 1</w:t>
            </w:r>
          </w:p>
        </w:tc>
        <w:tc>
          <w:tcPr>
            <w:tcW w:type="dxa" w:w="1260"/>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jc w:val="center"/>
            </w:pPr>
            <w:r>
              <w:rPr>
                <w:rFonts w:ascii="Calibri" w:cs="Calibri" w:eastAsia="Calibri" w:hAnsi="Calibri"/>
                <w:b/>
                <w:bCs/>
                <w:color w:val="6B7A8C"/>
                <w:sz w:val="16"/>
                <w:szCs w:val="16"/>
              </w:rPr>
              <w:t xml:space="preserve">Surface 2</w:t>
            </w:r>
          </w:p>
        </w:tc>
        <w:tc>
          <w:tcPr>
            <w:tcW w:type="dxa" w:w="1260"/>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jc w:val="center"/>
            </w:pPr>
            <w:r>
              <w:rPr>
                <w:rFonts w:ascii="Calibri" w:cs="Calibri" w:eastAsia="Calibri" w:hAnsi="Calibri"/>
                <w:b/>
                <w:bCs/>
                <w:color w:val="6B7A8C"/>
                <w:sz w:val="16"/>
                <w:szCs w:val="16"/>
              </w:rPr>
              <w:t xml:space="preserve">Surface 3</w:t>
            </w:r>
          </w:p>
        </w:tc>
        <w:tc>
          <w:tcPr>
            <w:tcW w:type="dxa" w:w="1260"/>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jc w:val="center"/>
            </w:pPr>
            <w:r>
              <w:rPr>
                <w:rFonts w:ascii="Calibri" w:cs="Calibri" w:eastAsia="Calibri" w:hAnsi="Calibri"/>
                <w:b/>
                <w:bCs/>
                <w:color w:val="6B7A8C"/>
                <w:sz w:val="16"/>
                <w:szCs w:val="16"/>
              </w:rPr>
              <w:t xml:space="preserve">Ink strong</w:t>
            </w:r>
          </w:p>
        </w:tc>
        <w:tc>
          <w:tcPr>
            <w:tcW w:type="dxa" w:w="1260"/>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jc w:val="center"/>
            </w:pPr>
            <w:r>
              <w:rPr>
                <w:rFonts w:ascii="Calibri" w:cs="Calibri" w:eastAsia="Calibri" w:hAnsi="Calibri"/>
                <w:b/>
                <w:bCs/>
                <w:color w:val="6B7A8C"/>
                <w:sz w:val="16"/>
                <w:szCs w:val="16"/>
              </w:rPr>
              <w:t xml:space="preserve">Ink default</w:t>
            </w:r>
          </w:p>
        </w:tc>
        <w:tc>
          <w:tcPr>
            <w:tcW w:type="dxa" w:w="1260"/>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jc w:val="center"/>
            </w:pPr>
            <w:r>
              <w:rPr>
                <w:rFonts w:ascii="Calibri" w:cs="Calibri" w:eastAsia="Calibri" w:hAnsi="Calibri"/>
                <w:b/>
                <w:bCs/>
                <w:color w:val="6B7A8C"/>
                <w:sz w:val="16"/>
                <w:szCs w:val="16"/>
              </w:rPr>
              <w:t xml:space="preserve">Ink muted</w:t>
            </w:r>
          </w:p>
        </w:tc>
        <w:tc>
          <w:tcPr>
            <w:tcW w:type="dxa" w:w="1260"/>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jc w:val="center"/>
            </w:pPr>
            <w:r>
              <w:rPr>
                <w:rFonts w:ascii="Calibri" w:cs="Calibri" w:eastAsia="Calibri" w:hAnsi="Calibri"/>
                <w:b/>
                <w:bCs/>
                <w:color w:val="6B7A8C"/>
                <w:sz w:val="16"/>
                <w:szCs w:val="16"/>
              </w:rPr>
              <w:t xml:space="preserve">Ink subtle</w:t>
            </w:r>
          </w:p>
        </w:tc>
      </w:tr>
      <w:tr>
        <w:trPr>
          <w:cantSplit/>
        </w:trPr>
        <w:tc>
          <w:tcPr>
            <w:tcW w:type="dxa" w:w="126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center"/>
            </w:pPr>
            <w:r>
              <w:rPr>
                <w:rFonts w:ascii="Calibri" w:cs="Calibri" w:eastAsia="Calibri" w:hAnsi="Calibri"/>
                <w:color w:val="3D4A5A"/>
                <w:sz w:val="18"/>
                <w:szCs w:val="18"/>
              </w:rPr>
              <w:t xml:space="preserve">#f6f7f9</w:t>
            </w:r>
          </w:p>
        </w:tc>
        <w:tc>
          <w:tcPr>
            <w:tcW w:type="dxa" w:w="126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center"/>
            </w:pPr>
            <w:r>
              <w:rPr>
                <w:rFonts w:ascii="Calibri" w:cs="Calibri" w:eastAsia="Calibri" w:hAnsi="Calibri"/>
                <w:color w:val="3D4A5A"/>
                <w:sz w:val="18"/>
                <w:szCs w:val="18"/>
              </w:rPr>
              <w:t xml:space="preserve">#ffffff</w:t>
            </w:r>
          </w:p>
        </w:tc>
        <w:tc>
          <w:tcPr>
            <w:tcW w:type="dxa" w:w="126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center"/>
            </w:pPr>
            <w:r>
              <w:rPr>
                <w:rFonts w:ascii="Calibri" w:cs="Calibri" w:eastAsia="Calibri" w:hAnsi="Calibri"/>
                <w:color w:val="3D4A5A"/>
                <w:sz w:val="18"/>
                <w:szCs w:val="18"/>
              </w:rPr>
              <w:t xml:space="preserve">#f0f2f6</w:t>
            </w:r>
          </w:p>
        </w:tc>
        <w:tc>
          <w:tcPr>
            <w:tcW w:type="dxa" w:w="126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center"/>
            </w:pPr>
            <w:r>
              <w:rPr>
                <w:rFonts w:ascii="Calibri" w:cs="Calibri" w:eastAsia="Calibri" w:hAnsi="Calibri"/>
                <w:color w:val="3D4A5A"/>
                <w:sz w:val="18"/>
                <w:szCs w:val="18"/>
              </w:rPr>
              <w:t xml:space="preserve">#e8ecf2</w:t>
            </w:r>
          </w:p>
        </w:tc>
        <w:tc>
          <w:tcPr>
            <w:tcW w:type="dxa" w:w="126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center"/>
            </w:pPr>
            <w:r>
              <w:rPr>
                <w:rFonts w:ascii="Calibri" w:cs="Calibri" w:eastAsia="Calibri" w:hAnsi="Calibri"/>
                <w:color w:val="3D4A5A"/>
                <w:sz w:val="18"/>
                <w:szCs w:val="18"/>
              </w:rPr>
              <w:t xml:space="preserve">#0f172a</w:t>
            </w:r>
          </w:p>
        </w:tc>
        <w:tc>
          <w:tcPr>
            <w:tcW w:type="dxa" w:w="126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center"/>
            </w:pPr>
            <w:r>
              <w:rPr>
                <w:rFonts w:ascii="Calibri" w:cs="Calibri" w:eastAsia="Calibri" w:hAnsi="Calibri"/>
                <w:color w:val="3D4A5A"/>
                <w:sz w:val="18"/>
                <w:szCs w:val="18"/>
              </w:rPr>
              <w:t xml:space="preserve">#1f2937</w:t>
            </w:r>
          </w:p>
        </w:tc>
        <w:tc>
          <w:tcPr>
            <w:tcW w:type="dxa" w:w="126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center"/>
            </w:pPr>
            <w:r>
              <w:rPr>
                <w:rFonts w:ascii="Calibri" w:cs="Calibri" w:eastAsia="Calibri" w:hAnsi="Calibri"/>
                <w:color w:val="3D4A5A"/>
                <w:sz w:val="18"/>
                <w:szCs w:val="18"/>
              </w:rPr>
              <w:t xml:space="preserve">#4b5563</w:t>
            </w:r>
          </w:p>
        </w:tc>
        <w:tc>
          <w:tcPr>
            <w:tcW w:type="dxa" w:w="126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center"/>
            </w:pPr>
            <w:r>
              <w:rPr>
                <w:rFonts w:ascii="Calibri" w:cs="Calibri" w:eastAsia="Calibri" w:hAnsi="Calibri"/>
                <w:color w:val="3D4A5A"/>
                <w:sz w:val="18"/>
                <w:szCs w:val="18"/>
              </w:rPr>
              <w:t xml:space="preserve">#6b7280</w:t>
            </w:r>
          </w:p>
        </w:tc>
      </w:tr>
    </w:tbl>
    <w:p>
      <w:pPr>
        <w:spacing w:after="180" w:before="0" w:line="276"/>
      </w:pPr>
      <w:r>
        <w:rPr>
          <w:rFonts w:ascii="Calibri" w:cs="Calibri" w:eastAsia="Calibri" w:hAnsi="Calibri"/>
          <w:color w:val="3D4A5A"/>
          <w:sz w:val="8"/>
          <w:szCs w:val="8"/>
        </w:rPr>
        <w:t xml:space="preserve"/>
      </w:r>
    </w:p>
    <w:p>
      <w:pPr>
        <w:pStyle w:val="Heading3"/>
        <w:keepNext/>
        <w:spacing w:after="80" w:before="240"/>
      </w:pPr>
      <w:r>
        <w:rPr>
          <w:rFonts w:ascii="Calibri" w:cs="Calibri" w:eastAsia="Calibri" w:hAnsi="Calibri"/>
          <w:b/>
          <w:bCs/>
          <w:color w:val="14202E"/>
          <w:sz w:val="22"/>
          <w:szCs w:val="22"/>
        </w:rPr>
        <w:t xml:space="preserve">21.1  Contrast — where the palette works and where it does not</w:t>
      </w:r>
    </w:p>
    <w:tbl>
      <w:tblPr>
        <w:tblW w:type="dxa" w:w="10080"/>
        <w:tblBorders>
          <w:top w:val="single" w:color="D3DCE6" w:sz="2"/>
          <w:left w:val="none"/>
          <w:bottom w:val="single" w:color="D3DCE6" w:sz="2"/>
          <w:right w:val="none"/>
          <w:insideH w:val="single" w:color="D3DCE6" w:sz="2"/>
          <w:insideV w:val="none"/>
        </w:tblBorders>
      </w:tblPr>
      <w:tblGrid>
        <w:gridCol w:w="1814"/>
        <w:gridCol w:w="1613"/>
        <w:gridCol w:w="1210"/>
        <w:gridCol w:w="2419"/>
        <w:gridCol w:w="3024"/>
      </w:tblGrid>
      <w:tr>
        <w:trPr>
          <w:cantSplit/>
          <w:tblHeader/>
        </w:trPr>
        <w:tc>
          <w:tcPr>
            <w:tcW w:type="dxa" w:w="1814"/>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Foreground</w:t>
            </w:r>
          </w:p>
        </w:tc>
        <w:tc>
          <w:tcPr>
            <w:tcW w:type="dxa" w:w="1613"/>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On</w:t>
            </w:r>
          </w:p>
        </w:tc>
        <w:tc>
          <w:tcPr>
            <w:tcW w:type="dxa" w:w="1210"/>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Ratio</w:t>
            </w:r>
          </w:p>
        </w:tc>
        <w:tc>
          <w:tcPr>
            <w:tcW w:type="dxa" w:w="2419"/>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WCAG AA</w:t>
            </w:r>
          </w:p>
        </w:tc>
        <w:tc>
          <w:tcPr>
            <w:tcW w:type="dxa" w:w="3024"/>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Verdict</w:t>
            </w:r>
          </w:p>
        </w:tc>
      </w:tr>
      <w:tr>
        <w:trPr>
          <w:cantSplit/>
        </w:trPr>
        <w:tc>
          <w:tcPr>
            <w:tcW w:type="dxa" w:w="1814"/>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#44a8d9 brand</w:t>
            </w:r>
          </w:p>
        </w:tc>
        <w:tc>
          <w:tcPr>
            <w:tcW w:type="dxa" w:w="1613"/>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#0b1118 dark</w:t>
            </w:r>
          </w:p>
        </w:tc>
        <w:tc>
          <w:tcPr>
            <w:tcW w:type="dxa" w:w="121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7.09:1</w:t>
            </w:r>
          </w:p>
        </w:tc>
        <w:tc>
          <w:tcPr>
            <w:tcW w:type="dxa" w:w="241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2F8562"/>
                <w:sz w:val="18"/>
                <w:szCs w:val="18"/>
              </w:rPr>
              <w:t xml:space="preserve">Passes AA and AAA</w:t>
            </w:r>
          </w:p>
        </w:tc>
        <w:tc>
          <w:tcPr>
            <w:tcW w:type="dxa" w:w="3024"/>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The brand hue is built for the dark theme.</w:t>
            </w:r>
          </w:p>
        </w:tc>
      </w:tr>
      <w:tr>
        <w:trPr>
          <w:cantSplit/>
        </w:trPr>
        <w:tc>
          <w:tcPr>
            <w:tcW w:type="dxa" w:w="1814"/>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#0b1118 ink</w:t>
            </w:r>
          </w:p>
        </w:tc>
        <w:tc>
          <w:tcPr>
            <w:tcW w:type="dxa" w:w="1613"/>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#44a8d9 button</w:t>
            </w:r>
          </w:p>
        </w:tc>
        <w:tc>
          <w:tcPr>
            <w:tcW w:type="dxa" w:w="1210"/>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7.09:1</w:t>
            </w:r>
          </w:p>
        </w:tc>
        <w:tc>
          <w:tcPr>
            <w:tcW w:type="dxa" w:w="2419"/>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2F8562"/>
                <w:sz w:val="18"/>
                <w:szCs w:val="18"/>
              </w:rPr>
              <w:t xml:space="preserve">Passes AA and AAA</w:t>
            </w:r>
          </w:p>
        </w:tc>
        <w:tc>
          <w:tcPr>
            <w:tcW w:type="dxa" w:w="3024"/>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Primary button is solid.</w:t>
            </w:r>
          </w:p>
        </w:tc>
      </w:tr>
      <w:tr>
        <w:trPr>
          <w:cantSplit/>
        </w:trPr>
        <w:tc>
          <w:tcPr>
            <w:tcW w:type="dxa" w:w="1814"/>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#e2e8f0 body</w:t>
            </w:r>
          </w:p>
        </w:tc>
        <w:tc>
          <w:tcPr>
            <w:tcW w:type="dxa" w:w="1613"/>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#0b1118 dark</w:t>
            </w:r>
          </w:p>
        </w:tc>
        <w:tc>
          <w:tcPr>
            <w:tcW w:type="dxa" w:w="121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15.38:1</w:t>
            </w:r>
          </w:p>
        </w:tc>
        <w:tc>
          <w:tcPr>
            <w:tcW w:type="dxa" w:w="241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2F8562"/>
                <w:sz w:val="18"/>
                <w:szCs w:val="18"/>
              </w:rPr>
              <w:t xml:space="preserve">Passes AAA</w:t>
            </w:r>
          </w:p>
        </w:tc>
        <w:tc>
          <w:tcPr>
            <w:tcW w:type="dxa" w:w="3024"/>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Dark-theme body copy is excellent.</w:t>
            </w:r>
          </w:p>
        </w:tc>
      </w:tr>
      <w:tr>
        <w:trPr>
          <w:cantSplit/>
        </w:trPr>
        <w:tc>
          <w:tcPr>
            <w:tcW w:type="dxa" w:w="1814"/>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#94a3b8 subtle</w:t>
            </w:r>
          </w:p>
        </w:tc>
        <w:tc>
          <w:tcPr>
            <w:tcW w:type="dxa" w:w="1613"/>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#0b1118 dark</w:t>
            </w:r>
          </w:p>
        </w:tc>
        <w:tc>
          <w:tcPr>
            <w:tcW w:type="dxa" w:w="1210"/>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7.39:1</w:t>
            </w:r>
          </w:p>
        </w:tc>
        <w:tc>
          <w:tcPr>
            <w:tcW w:type="dxa" w:w="2419"/>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2F8562"/>
                <w:sz w:val="18"/>
                <w:szCs w:val="18"/>
              </w:rPr>
              <w:t xml:space="preserve">Passes AA and AAA</w:t>
            </w:r>
          </w:p>
        </w:tc>
        <w:tc>
          <w:tcPr>
            <w:tcW w:type="dxa" w:w="3024"/>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Captions hold up.</w:t>
            </w:r>
          </w:p>
        </w:tc>
      </w:tr>
      <w:tr>
        <w:trPr>
          <w:cantSplit/>
        </w:trPr>
        <w:tc>
          <w:tcPr>
            <w:tcW w:type="dxa" w:w="1814"/>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#44a8d9 brand</w:t>
            </w:r>
          </w:p>
        </w:tc>
        <w:tc>
          <w:tcPr>
            <w:tcW w:type="dxa" w:w="1613"/>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#ffffff light</w:t>
            </w:r>
          </w:p>
        </w:tc>
        <w:tc>
          <w:tcPr>
            <w:tcW w:type="dxa" w:w="121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2.68:1</w:t>
            </w:r>
          </w:p>
        </w:tc>
        <w:tc>
          <w:tcPr>
            <w:tcW w:type="dxa" w:w="241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A4462F"/>
                <w:sz w:val="18"/>
                <w:szCs w:val="18"/>
              </w:rPr>
              <w:t xml:space="preserve">FAILS, all text sizes</w:t>
            </w:r>
          </w:p>
        </w:tc>
        <w:tc>
          <w:tcPr>
            <w:tcW w:type="dxa" w:w="3024"/>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Never set brand blue as text on white. Fill only.</w:t>
            </w:r>
          </w:p>
        </w:tc>
      </w:tr>
      <w:tr>
        <w:trPr>
          <w:cantSplit/>
        </w:trPr>
        <w:tc>
          <w:tcPr>
            <w:tcW w:type="dxa" w:w="1814"/>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#2f86b3 link</w:t>
            </w:r>
          </w:p>
        </w:tc>
        <w:tc>
          <w:tcPr>
            <w:tcW w:type="dxa" w:w="1613"/>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#ffffff light</w:t>
            </w:r>
          </w:p>
        </w:tc>
        <w:tc>
          <w:tcPr>
            <w:tcW w:type="dxa" w:w="1210"/>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4.05:1</w:t>
            </w:r>
          </w:p>
        </w:tc>
        <w:tc>
          <w:tcPr>
            <w:tcW w:type="dxa" w:w="2419"/>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A4462F"/>
                <w:sz w:val="18"/>
                <w:szCs w:val="18"/>
              </w:rPr>
              <w:t xml:space="preserve">Fails body, passes large</w:t>
            </w:r>
          </w:p>
        </w:tc>
        <w:tc>
          <w:tcPr>
            <w:tcW w:type="dxa" w:w="3024"/>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Just under the 4.5:1 bar. Darkening to about #2A7AA3 clears it.</w:t>
            </w:r>
          </w:p>
        </w:tc>
      </w:tr>
      <w:tr>
        <w:trPr>
          <w:cantSplit/>
        </w:trPr>
        <w:tc>
          <w:tcPr>
            <w:tcW w:type="dxa" w:w="1814"/>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#999999 accent</w:t>
            </w:r>
          </w:p>
        </w:tc>
        <w:tc>
          <w:tcPr>
            <w:tcW w:type="dxa" w:w="1613"/>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#ffffff light</w:t>
            </w:r>
          </w:p>
        </w:tc>
        <w:tc>
          <w:tcPr>
            <w:tcW w:type="dxa" w:w="121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2.85:1</w:t>
            </w:r>
          </w:p>
        </w:tc>
        <w:tc>
          <w:tcPr>
            <w:tcW w:type="dxa" w:w="241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A4462F"/>
                <w:sz w:val="18"/>
                <w:szCs w:val="18"/>
              </w:rPr>
              <w:t xml:space="preserve">FAILS, all text sizes</w:t>
            </w:r>
          </w:p>
        </w:tc>
        <w:tc>
          <w:tcPr>
            <w:tcW w:type="dxa" w:w="3024"/>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Decorative only.</w:t>
            </w:r>
          </w:p>
        </w:tc>
      </w:tr>
      <w:tr>
        <w:trPr>
          <w:cantSplit/>
        </w:trPr>
        <w:tc>
          <w:tcPr>
            <w:tcW w:type="dxa" w:w="1814"/>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#666666 secondary</w:t>
            </w:r>
          </w:p>
        </w:tc>
        <w:tc>
          <w:tcPr>
            <w:tcW w:type="dxa" w:w="1613"/>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#ffffff light</w:t>
            </w:r>
          </w:p>
        </w:tc>
        <w:tc>
          <w:tcPr>
            <w:tcW w:type="dxa" w:w="1210"/>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5.74:1</w:t>
            </w:r>
          </w:p>
        </w:tc>
        <w:tc>
          <w:tcPr>
            <w:tcW w:type="dxa" w:w="2419"/>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2F8562"/>
                <w:sz w:val="18"/>
                <w:szCs w:val="18"/>
              </w:rPr>
              <w:t xml:space="preserve">Passes AA</w:t>
            </w:r>
          </w:p>
        </w:tc>
        <w:tc>
          <w:tcPr>
            <w:tcW w:type="dxa" w:w="3024"/>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Safe for the wordmark and small print.</w:t>
            </w:r>
          </w:p>
        </w:tc>
      </w:tr>
    </w:tbl>
    <w:p>
      <w:pPr>
        <w:spacing w:after="180" w:before="0" w:line="276"/>
      </w:pPr>
      <w:r>
        <w:rPr>
          <w:rFonts w:ascii="Calibri" w:cs="Calibri" w:eastAsia="Calibri" w:hAnsi="Calibri"/>
          <w:color w:val="3D4A5A"/>
          <w:sz w:val="8"/>
          <w:szCs w:val="8"/>
        </w:rPr>
        <w:t xml:space="preserve"/>
      </w:r>
    </w:p>
    <w:p>
      <w:pPr>
        <w:spacing w:after="160" w:before="0" w:line="276"/>
      </w:pPr>
      <w:r>
        <w:rPr>
          <w:rFonts w:ascii="Calibri" w:cs="Calibri" w:eastAsia="Calibri" w:hAnsi="Calibri"/>
          <w:i/>
          <w:iCs/>
          <w:color w:val="6B7A8C"/>
          <w:sz w:val="16"/>
          <w:szCs w:val="16"/>
        </w:rPr>
        <w:t xml:space="preserve">Ratios calculated to WCAG 2.1 relative luminance. AA requires 4.5:1 for body text and 3:1 for large text (18.66px bold or 24px regular).</w:t>
      </w:r>
    </w:p>
    <w:p>
      <w:pPr>
        <w:pStyle w:val="Heading2"/>
        <w:keepNext/>
        <w:spacing w:after="120" w:before="340"/>
      </w:pPr>
      <w:r>
        <w:rPr>
          <w:rFonts w:ascii="Calibri" w:cs="Calibri" w:eastAsia="Calibri" w:hAnsi="Calibri"/>
          <w:b/>
          <w:bCs/>
          <w:color w:val="2F86B3"/>
          <w:sz w:val="28"/>
          <w:szCs w:val="28"/>
        </w:rPr>
        <w:t xml:space="preserve">22. Typography and interface tokens</w:t>
      </w:r>
    </w:p>
    <w:p>
      <w:pPr>
        <w:spacing w:after="120" w:before="0" w:line="276"/>
      </w:pPr>
      <w:r>
        <w:rPr>
          <w:rFonts w:ascii="Calibri" w:cs="Calibri" w:eastAsia="Calibri" w:hAnsi="Calibri"/>
          <w:b/>
          <w:bCs/>
          <w:color w:val="14202E"/>
          <w:sz w:val="20"/>
          <w:szCs w:val="20"/>
        </w:rPr>
        <w:t xml:space="preserve">Sora</w:t>
      </w:r>
      <w:r>
        <w:rPr>
          <w:rFonts w:ascii="Calibri" w:cs="Calibri" w:eastAsia="Calibri" w:hAnsi="Calibri"/>
          <w:color w:val="3D4A5A"/>
          <w:sz w:val="20"/>
          <w:szCs w:val="20"/>
        </w:rPr>
        <w:t xml:space="preserve"> does every heading; </w:t>
      </w:r>
      <w:r>
        <w:rPr>
          <w:rFonts w:ascii="Calibri" w:cs="Calibri" w:eastAsia="Calibri" w:hAnsi="Calibri"/>
          <w:b/>
          <w:bCs/>
          <w:color w:val="14202E"/>
          <w:sz w:val="20"/>
          <w:szCs w:val="20"/>
        </w:rPr>
        <w:t xml:space="preserve">IBM Plex Sans</w:t>
      </w:r>
      <w:r>
        <w:rPr>
          <w:rFonts w:ascii="Calibri" w:cs="Calibri" w:eastAsia="Calibri" w:hAnsi="Calibri"/>
          <w:color w:val="3D4A5A"/>
          <w:sz w:val="20"/>
          <w:szCs w:val="20"/>
        </w:rPr>
        <w:t xml:space="preserve"> does everything else. Both are open-source Google Fonts, so there is no licensing friction in decks, documents or client deliverables.</w:t>
      </w:r>
    </w:p>
    <w:tbl>
      <w:tblPr>
        <w:tblW w:type="dxa" w:w="10080"/>
        <w:tblBorders>
          <w:top w:val="single" w:color="D3DCE6" w:sz="2"/>
          <w:left w:val="none"/>
          <w:bottom w:val="single" w:color="D3DCE6" w:sz="2"/>
          <w:right w:val="none"/>
          <w:insideH w:val="single" w:color="D3DCE6" w:sz="2"/>
          <w:insideV w:val="none"/>
        </w:tblBorders>
      </w:tblPr>
      <w:tblGrid>
        <w:gridCol w:w="1814"/>
        <w:gridCol w:w="2016"/>
        <w:gridCol w:w="6250"/>
      </w:tblGrid>
      <w:tr>
        <w:trPr>
          <w:cantSplit/>
          <w:tblHeader/>
        </w:trPr>
        <w:tc>
          <w:tcPr>
            <w:tcW w:type="dxa" w:w="1814"/>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Family</w:t>
            </w:r>
          </w:p>
        </w:tc>
        <w:tc>
          <w:tcPr>
            <w:tcW w:type="dxa" w:w="2016"/>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Role</w:t>
            </w:r>
          </w:p>
        </w:tc>
        <w:tc>
          <w:tcPr>
            <w:tcW w:type="dxa" w:w="6250"/>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Live values</w:t>
            </w:r>
          </w:p>
        </w:tc>
      </w:tr>
      <w:tr>
        <w:trPr>
          <w:cantSplit/>
        </w:trPr>
        <w:tc>
          <w:tcPr>
            <w:tcW w:type="dxa" w:w="1814"/>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Sora</w:t>
            </w:r>
          </w:p>
        </w:tc>
        <w:tc>
          <w:tcPr>
            <w:tcW w:type="dxa" w:w="201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Display and headings</w:t>
            </w:r>
          </w:p>
        </w:tc>
        <w:tc>
          <w:tcPr>
            <w:tcW w:type="dxa" w:w="625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font-family: Sora, "IBM Plex Sans", sans-serif · weight 700. Homepage h1 34.9px, h2 40px, h3 22px, letter-spacing normal. A geometric grotesque with slightly squared bowls — technical without going stencil or mono.</w:t>
            </w:r>
          </w:p>
        </w:tc>
      </w:tr>
      <w:tr>
        <w:trPr>
          <w:cantSplit/>
        </w:trPr>
        <w:tc>
          <w:tcPr>
            <w:tcW w:type="dxa" w:w="1814"/>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IBM Plex Sans</w:t>
            </w:r>
          </w:p>
        </w:tc>
        <w:tc>
          <w:tcPr>
            <w:tcW w:type="dxa" w:w="2016"/>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Body, UI, navigation</w:t>
            </w:r>
          </w:p>
        </w:tc>
        <w:tc>
          <w:tcPr>
            <w:tcW w:type="dxa" w:w="6250"/>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font-family: "IBM Plex Sans", "Helvetica Neue", sans-serif. Base size 16px. Body paragraphs on the homepage compute to 13px at weight 600 — small and heavy for running text, worth revisiting.</w:t>
            </w:r>
          </w:p>
        </w:tc>
      </w:tr>
    </w:tbl>
    <w:p>
      <w:pPr>
        <w:spacing w:after="180" w:before="0" w:line="276"/>
      </w:pPr>
      <w:r>
        <w:rPr>
          <w:rFonts w:ascii="Calibri" w:cs="Calibri" w:eastAsia="Calibri" w:hAnsi="Calibri"/>
          <w:color w:val="3D4A5A"/>
          <w:sz w:val="8"/>
          <w:szCs w:val="8"/>
        </w:rPr>
        <w:t xml:space="preserve"/>
      </w:r>
    </w:p>
    <w:p>
      <w:pPr>
        <w:keepNext/>
        <w:spacing w:after="60" w:before="180"/>
      </w:pPr>
      <w:r>
        <w:rPr>
          <w:rFonts w:ascii="Calibri" w:cs="Calibri" w:eastAsia="Calibri" w:hAnsi="Calibri"/>
          <w:b/>
          <w:bCs/>
          <w:color w:val="3D4A5A"/>
          <w:sz w:val="20"/>
          <w:szCs w:val="20"/>
        </w:rPr>
        <w:t xml:space="preserve">Interface tokens</w:t>
      </w:r>
    </w:p>
    <w:tbl>
      <w:tblPr>
        <w:tblW w:type="dxa" w:w="10080"/>
        <w:tblBorders>
          <w:top w:val="single" w:color="D3DCE6" w:sz="2"/>
          <w:left w:val="none"/>
          <w:bottom w:val="single" w:color="D3DCE6" w:sz="2"/>
          <w:right w:val="none"/>
          <w:insideH w:val="single" w:color="D3DCE6" w:sz="2"/>
          <w:insideV w:val="none"/>
        </w:tblBorders>
      </w:tblPr>
      <w:tblGrid>
        <w:gridCol w:w="2016"/>
        <w:gridCol w:w="8064"/>
      </w:tblGrid>
      <w:tr>
        <w:trPr>
          <w:cantSplit/>
          <w:tblHeader/>
        </w:trPr>
        <w:tc>
          <w:tcPr>
            <w:tcW w:type="dxa" w:w="2016"/>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Element</w:t>
            </w:r>
          </w:p>
        </w:tc>
        <w:tc>
          <w:tcPr>
            <w:tcW w:type="dxa" w:w="8064"/>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Specification</w:t>
            </w:r>
          </w:p>
        </w:tc>
      </w:tr>
      <w:tr>
        <w:trPr>
          <w:cantSplit/>
        </w:trPr>
        <w:tc>
          <w:tcPr>
            <w:tcW w:type="dxa" w:w="201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Primary button</w:t>
            </w:r>
          </w:p>
        </w:tc>
        <w:tc>
          <w:tcPr>
            <w:tcW w:type="dxa" w:w="8064"/>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background #44a8d9 · color #0b1118 · radius 12px · weight 700 · 14px · shadow 0 12px 26px rgba(68,168,217,.25)</w:t>
            </w:r>
          </w:p>
        </w:tc>
      </w:tr>
      <w:tr>
        <w:trPr>
          <w:cantSplit/>
        </w:trPr>
        <w:tc>
          <w:tcPr>
            <w:tcW w:type="dxa" w:w="2016"/>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Secondary button</w:t>
            </w:r>
          </w:p>
        </w:tc>
        <w:tc>
          <w:tcPr>
            <w:tcW w:type="dxa" w:w="8064"/>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transparent · color #cfe8f6 on dark · border 1px rgba(68,168,217,.5) · radius 12px</w:t>
            </w:r>
          </w:p>
        </w:tc>
      </w:tr>
      <w:tr>
        <w:trPr>
          <w:cantSplit/>
        </w:trPr>
        <w:tc>
          <w:tcPr>
            <w:tcW w:type="dxa" w:w="201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Card</w:t>
            </w:r>
          </w:p>
        </w:tc>
        <w:tc>
          <w:tcPr>
            <w:tcW w:type="dxa" w:w="8064"/>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radius 14px · border rgba(68,168,217,.38) · shadow 0 26px 48px rgba(15,23,42,.12)</w:t>
            </w:r>
          </w:p>
        </w:tc>
      </w:tr>
      <w:tr>
        <w:trPr>
          <w:cantSplit/>
        </w:trPr>
        <w:tc>
          <w:tcPr>
            <w:tcW w:type="dxa" w:w="2016"/>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Focus and borders</w:t>
            </w:r>
          </w:p>
        </w:tc>
        <w:tc>
          <w:tcPr>
            <w:tcW w:type="dxa" w:w="8064"/>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focus 0 0 0 3px rgba(68,168,217,.5) · border subtle rgba(148,163,184,.25) · border strong rgba(148,163,184,.4)</w:t>
            </w:r>
          </w:p>
        </w:tc>
      </w:tr>
    </w:tbl>
    <w:p>
      <w:pPr>
        <w:spacing w:after="180" w:before="0" w:line="276"/>
      </w:pPr>
      <w:r>
        <w:rPr>
          <w:rFonts w:ascii="Calibri" w:cs="Calibri" w:eastAsia="Calibri" w:hAnsi="Calibri"/>
          <w:color w:val="3D4A5A"/>
          <w:sz w:val="8"/>
          <w:szCs w:val="8"/>
        </w:rPr>
        <w:t xml:space="preserve"/>
      </w:r>
    </w:p>
    <w:p>
      <w:pPr>
        <w:pStyle w:val="Heading2"/>
        <w:keepNext/>
        <w:spacing w:after="40" w:before="340"/>
      </w:pPr>
      <w:r>
        <w:rPr>
          <w:rFonts w:ascii="Calibri" w:cs="Calibri" w:eastAsia="Calibri" w:hAnsi="Calibri"/>
          <w:b/>
          <w:bCs/>
          <w:color w:val="2F86B3"/>
          <w:sz w:val="28"/>
          <w:szCs w:val="28"/>
        </w:rPr>
        <w:t xml:space="preserve">23. Usage rules</w:t>
      </w:r>
    </w:p>
    <w:p>
      <w:pPr>
        <w:keepNext/>
        <w:spacing w:after="140" w:before="0" w:line="276"/>
      </w:pPr>
      <w:r>
        <w:rPr>
          <w:rFonts w:ascii="Calibri" w:cs="Calibri" w:eastAsia="Calibri" w:hAnsi="Calibri"/>
          <w:i/>
          <w:iCs/>
          <w:color w:val="6B7A8C"/>
          <w:sz w:val="19"/>
          <w:szCs w:val="19"/>
        </w:rPr>
        <w:t xml:space="preserve">No usage standard existed before this work, so these are proposed rather than recorded. They derive from how the assets actually behave.</w:t>
      </w:r>
    </w:p>
    <w:tbl>
      <w:tblPr>
        <w:tblW w:type="dxa" w:w="10080"/>
        <w:tblBorders>
          <w:top w:val="single" w:color="D3DCE6" w:sz="2"/>
          <w:left w:val="none"/>
          <w:bottom w:val="single" w:color="D3DCE6" w:sz="2"/>
          <w:right w:val="none"/>
          <w:insideH w:val="single" w:color="D3DCE6" w:sz="2"/>
          <w:insideV w:val="none"/>
        </w:tblBorders>
      </w:tblPr>
      <w:tblGrid>
        <w:gridCol w:w="1814"/>
        <w:gridCol w:w="8266"/>
      </w:tblGrid>
      <w:tr>
        <w:trPr>
          <w:cantSplit/>
          <w:tblHeader/>
        </w:trPr>
        <w:tc>
          <w:tcPr>
            <w:tcW w:type="dxa" w:w="1814"/>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Rule</w:t>
            </w:r>
          </w:p>
        </w:tc>
        <w:tc>
          <w:tcPr>
            <w:tcW w:type="dxa" w:w="8266"/>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Standard</w:t>
            </w:r>
          </w:p>
        </w:tc>
      </w:tr>
      <w:tr>
        <w:trPr>
          <w:cantSplit/>
        </w:trPr>
        <w:tc>
          <w:tcPr>
            <w:tcW w:type="dxa" w:w="1814"/>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Clear space</w:t>
            </w:r>
          </w:p>
        </w:tc>
        <w:tc>
          <w:tcPr>
            <w:tcW w:type="dxa" w:w="826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Keep free space on all four sides equal to the cap-height of the numeral 3. Nothing — no rule, image edge, or other logo — enters that zone.</w:t>
            </w:r>
          </w:p>
        </w:tc>
      </w:tr>
      <w:tr>
        <w:trPr>
          <w:cantSplit/>
        </w:trPr>
        <w:tc>
          <w:tcPr>
            <w:tcW w:type="dxa" w:w="1814"/>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Minimum size</w:t>
            </w:r>
          </w:p>
        </w:tc>
        <w:tc>
          <w:tcPr>
            <w:tcW w:type="dxa" w:w="8266"/>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Full lockup: 160px wide on screen, 1.25in in print. Below roughly 120px the grey arcs fill in and “EXECUTIVE CONSULTING” stops resolving — which is what happens in the site header today at about 90px.</w:t>
            </w:r>
          </w:p>
        </w:tc>
      </w:tr>
      <w:tr>
        <w:trPr>
          <w:cantSplit/>
        </w:trPr>
        <w:tc>
          <w:tcPr>
            <w:tcW w:type="dxa" w:w="1814"/>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Backgrounds</w:t>
            </w:r>
          </w:p>
        </w:tc>
        <w:tc>
          <w:tcPr>
            <w:tcW w:type="dxa" w:w="826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Dark is the primary environment; brand blue clears AAA on #0b1118. On light surfaces the logo is fine as artwork, but brand blue as text on white is not. Avoid photography without a scrim.</w:t>
            </w:r>
          </w:p>
        </w:tc>
      </w:tr>
      <w:tr>
        <w:trPr>
          <w:cantSplit/>
        </w:trPr>
        <w:tc>
          <w:tcPr>
            <w:tcW w:type="dxa" w:w="1814"/>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Co-branding</w:t>
            </w:r>
          </w:p>
        </w:tc>
        <w:tc>
          <w:tcPr>
            <w:tcW w:type="dxa" w:w="8266"/>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3HUE leads, AiVRIC follows, separated by a hairline rule at 1× the clear-space unit, optically centred. Never overlap, never lock them into a single composite mark.</w:t>
            </w:r>
          </w:p>
        </w:tc>
      </w:tr>
    </w:tbl>
    <w:p>
      <w:pPr>
        <w:spacing w:after="180" w:before="0" w:line="276"/>
      </w:pPr>
      <w:r>
        <w:rPr>
          <w:rFonts w:ascii="Calibri" w:cs="Calibri" w:eastAsia="Calibri" w:hAnsi="Calibri"/>
          <w:color w:val="3D4A5A"/>
          <w:sz w:val="8"/>
          <w:szCs w:val="8"/>
        </w:rPr>
        <w:t xml:space="preserve"/>
      </w:r>
    </w:p>
    <w:p>
      <w:pPr>
        <w:keepNext/>
        <w:spacing w:after="60" w:before="180"/>
      </w:pPr>
      <w:r>
        <w:rPr>
          <w:rFonts w:ascii="Calibri" w:cs="Calibri" w:eastAsia="Calibri" w:hAnsi="Calibri"/>
          <w:b/>
          <w:bCs/>
          <w:color w:val="3D4A5A"/>
          <w:sz w:val="20"/>
          <w:szCs w:val="20"/>
        </w:rPr>
        <w:t xml:space="preserve">Do not</w:t>
      </w:r>
    </w:p>
    <w:tbl>
      <w:tblPr>
        <w:tblW w:type="dxa" w:w="10080"/>
        <w:tblBorders>
          <w:top w:val="single" w:color="D3DCE6" w:sz="2"/>
          <w:left w:val="none"/>
          <w:bottom w:val="single" w:color="D3DCE6" w:sz="2"/>
          <w:right w:val="none"/>
          <w:insideH w:val="single" w:color="D3DCE6" w:sz="2"/>
          <w:insideV w:val="none"/>
        </w:tblBorders>
      </w:tblPr>
      <w:tblGrid>
        <w:gridCol w:w="3427"/>
        <w:gridCol w:w="6653"/>
      </w:tblGrid>
      <w:tr>
        <w:trPr>
          <w:cantSplit/>
          <w:tblHeader/>
        </w:trPr>
        <w:tc>
          <w:tcPr>
            <w:tcW w:type="dxa" w:w="3427"/>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Don’t</w:t>
            </w:r>
          </w:p>
        </w:tc>
        <w:tc>
          <w:tcPr>
            <w:tcW w:type="dxa" w:w="6653"/>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Why it matters</w:t>
            </w:r>
          </w:p>
        </w:tc>
      </w:tr>
      <w:tr>
        <w:trPr>
          <w:cantSplit/>
        </w:trPr>
        <w:tc>
          <w:tcPr>
            <w:tcW w:type="dxa" w:w="3427"/>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Recolour the logo</w:t>
            </w:r>
          </w:p>
        </w:tc>
        <w:tc>
          <w:tcPr>
            <w:tcW w:type="dxa" w:w="6653"/>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There is no approved alternate colourway. Until a white or single-colour knockout exists, any recolour is somebody improvising in a deck.</w:t>
            </w:r>
          </w:p>
        </w:tc>
      </w:tr>
      <w:tr>
        <w:trPr>
          <w:cantSplit/>
        </w:trPr>
        <w:tc>
          <w:tcPr>
            <w:tcW w:type="dxa" w:w="3427"/>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Stretch, rotate or skew</w:t>
            </w:r>
          </w:p>
        </w:tc>
        <w:tc>
          <w:tcPr>
            <w:tcW w:type="dxa" w:w="6653"/>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The arcs behind the 3 are the only piece of visual metaphor in the identity and they distort first.</w:t>
            </w:r>
          </w:p>
        </w:tc>
      </w:tr>
      <w:tr>
        <w:trPr>
          <w:cantSplit/>
        </w:trPr>
        <w:tc>
          <w:tcPr>
            <w:tcW w:type="dxa" w:w="3427"/>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Add shadows, glows or outlines</w:t>
            </w:r>
          </w:p>
        </w:tc>
        <w:tc>
          <w:tcPr>
            <w:tcW w:type="dxa" w:w="6653"/>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The system already carries one brand shadow, reserved for interface elements. The logo does not take effects.</w:t>
            </w:r>
          </w:p>
        </w:tc>
      </w:tr>
      <w:tr>
        <w:trPr>
          <w:cantSplit/>
        </w:trPr>
        <w:tc>
          <w:tcPr>
            <w:tcW w:type="dxa" w:w="3427"/>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Redraw or reconstruct the arcs</w:t>
            </w:r>
          </w:p>
        </w:tc>
        <w:tc>
          <w:tcPr>
            <w:tcW w:type="dxa" w:w="6653"/>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No vector master exists, so anyone needing a large version will be tempted to trace it. Commission a proper redraw instead.</w:t>
            </w:r>
          </w:p>
        </w:tc>
      </w:tr>
      <w:tr>
        <w:trPr>
          <w:cantSplit/>
        </w:trPr>
        <w:tc>
          <w:tcPr>
            <w:tcW w:type="dxa" w:w="3427"/>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Use ISG, OPS or ITG as the company logo</w:t>
            </w:r>
          </w:p>
        </w:tc>
        <w:tc>
          <w:tcPr>
            <w:tcW w:type="dxa" w:w="6653"/>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They identify practices, not the firm. They never appear without 3HUE present somewhere on the surface.</w:t>
            </w:r>
          </w:p>
        </w:tc>
      </w:tr>
      <w:tr>
        <w:trPr>
          <w:cantSplit/>
        </w:trPr>
        <w:tc>
          <w:tcPr>
            <w:tcW w:type="dxa" w:w="3427"/>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Place the service marks on light backgrounds</w:t>
            </w:r>
          </w:p>
        </w:tc>
        <w:tc>
          <w:tcPr>
            <w:tcW w:type="dxa" w:w="6653"/>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They are flat PNGs with the navy tile baked in — the tile comes along and looks like a mistake.</w:t>
            </w:r>
          </w:p>
        </w:tc>
      </w:tr>
      <w:tr>
        <w:trPr>
          <w:cantSplit/>
        </w:trPr>
        <w:tc>
          <w:tcPr>
            <w:tcW w:type="dxa" w:w="3427"/>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Set body text in brand blue on white</w:t>
            </w:r>
          </w:p>
        </w:tc>
        <w:tc>
          <w:tcPr>
            <w:tcW w:type="dxa" w:w="6653"/>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2.68:1. Fails WCAG at every size. Fill only.</w:t>
            </w:r>
          </w:p>
        </w:tc>
      </w:tr>
    </w:tbl>
    <w:p>
      <w:pPr>
        <w:spacing w:after="180" w:before="0" w:line="276"/>
      </w:pPr>
      <w:r>
        <w:rPr>
          <w:rFonts w:ascii="Calibri" w:cs="Calibri" w:eastAsia="Calibri" w:hAnsi="Calibri"/>
          <w:color w:val="3D4A5A"/>
          <w:sz w:val="8"/>
          <w:szCs w:val="8"/>
        </w:rPr>
        <w:t xml:space="preserve"/>
      </w:r>
    </w:p>
    <w:p>
      <w:pPr>
        <w:pStyle w:val="Heading2"/>
        <w:keepNext/>
        <w:spacing w:after="40" w:before="340"/>
      </w:pPr>
      <w:r>
        <w:rPr>
          <w:rFonts w:ascii="Calibri" w:cs="Calibri" w:eastAsia="Calibri" w:hAnsi="Calibri"/>
          <w:b/>
          <w:bCs/>
          <w:color w:val="2F86B3"/>
          <w:sz w:val="28"/>
          <w:szCs w:val="28"/>
        </w:rPr>
        <w:t xml:space="preserve">24. Verbal identity</w:t>
      </w:r>
    </w:p>
    <w:p>
      <w:pPr>
        <w:keepNext/>
        <w:spacing w:after="140" w:before="0" w:line="276"/>
      </w:pPr>
      <w:r>
        <w:rPr>
          <w:rFonts w:ascii="Calibri" w:cs="Calibri" w:eastAsia="Calibri" w:hAnsi="Calibri"/>
          <w:i/>
          <w:iCs/>
          <w:color w:val="6B7A8C"/>
          <w:sz w:val="19"/>
          <w:szCs w:val="19"/>
        </w:rPr>
        <w:t xml:space="preserve">Most people encounter 3HUE as words long before they see the logo.</w:t>
      </w:r>
    </w:p>
    <w:p>
      <w:pPr>
        <w:keepNext/>
        <w:spacing w:after="60" w:before="180"/>
      </w:pPr>
      <w:r>
        <w:rPr>
          <w:rFonts w:ascii="Calibri" w:cs="Calibri" w:eastAsia="Calibri" w:hAnsi="Calibri"/>
          <w:b/>
          <w:bCs/>
          <w:color w:val="3D4A5A"/>
          <w:sz w:val="20"/>
          <w:szCs w:val="20"/>
        </w:rPr>
        <w:t xml:space="preserve">Voice — three attributes</w:t>
      </w:r>
    </w:p>
    <w:tbl>
      <w:tblPr>
        <w:tblW w:type="dxa" w:w="10080"/>
        <w:tblBorders>
          <w:top w:val="single" w:color="D3DCE6" w:sz="2"/>
          <w:left w:val="none"/>
          <w:bottom w:val="single" w:color="D3DCE6" w:sz="2"/>
          <w:right w:val="none"/>
          <w:insideH w:val="single" w:color="D3DCE6" w:sz="2"/>
          <w:insideV w:val="none"/>
        </w:tblBorders>
      </w:tblPr>
      <w:tblGrid>
        <w:gridCol w:w="2218"/>
        <w:gridCol w:w="4838"/>
        <w:gridCol w:w="3024"/>
      </w:tblGrid>
      <w:tr>
        <w:trPr>
          <w:cantSplit/>
          <w:tblHeader/>
        </w:trPr>
        <w:tc>
          <w:tcPr>
            <w:tcW w:type="dxa" w:w="2218"/>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Attribute</w:t>
            </w:r>
          </w:p>
        </w:tc>
        <w:tc>
          <w:tcPr>
            <w:tcW w:type="dxa" w:w="4838"/>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What it means</w:t>
            </w:r>
          </w:p>
        </w:tc>
        <w:tc>
          <w:tcPr>
            <w:tcW w:type="dxa" w:w="3024"/>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Reference line</w:t>
            </w:r>
          </w:p>
        </w:tc>
      </w:tr>
      <w:tr>
        <w:trPr>
          <w:cantSplit/>
        </w:trPr>
        <w:tc>
          <w:tcPr>
            <w:tcW w:type="dxa" w:w="221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Practitioner, not vendor</w:t>
            </w:r>
          </w:p>
        </w:tc>
        <w:tc>
          <w:tcPr>
            <w:tcW w:type="dxa" w:w="483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Writes from having done the work, names specific failure modes, and is willing to say when something is not worth doing. Never sells from theory.</w:t>
            </w:r>
          </w:p>
        </w:tc>
        <w:tc>
          <w:tcPr>
            <w:tcW w:type="dxa" w:w="3024"/>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“This is the system I wish had existed when failure was not an option.”</w:t>
            </w:r>
          </w:p>
        </w:tc>
      </w:tr>
      <w:tr>
        <w:trPr>
          <w:cantSplit/>
        </w:trPr>
        <w:tc>
          <w:tcPr>
            <w:tcW w:type="dxa" w:w="2218"/>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Direct, not hedged</w:t>
            </w:r>
          </w:p>
        </w:tc>
        <w:tc>
          <w:tcPr>
            <w:tcW w:type="dxa" w:w="4838"/>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Short declaratives. Takes a position and defends it. No “it depends,” no sentence that could have been written by any firm in the category.</w:t>
            </w:r>
          </w:p>
        </w:tc>
        <w:tc>
          <w:tcPr>
            <w:tcW w:type="dxa" w:w="3024"/>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“Tools do not reduce risk, decisions do.”</w:t>
            </w:r>
          </w:p>
        </w:tc>
      </w:tr>
      <w:tr>
        <w:trPr>
          <w:cantSplit/>
        </w:trPr>
        <w:tc>
          <w:tcPr>
            <w:tcW w:type="dxa" w:w="221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Specific, not abstract</w:t>
            </w:r>
          </w:p>
        </w:tc>
        <w:tc>
          <w:tcPr>
            <w:tcW w:type="dxa" w:w="483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Reaches for the concrete artifact — an FDA 483, an MRA, a control that passed in December. Abstraction is where consultants hide.</w:t>
            </w:r>
          </w:p>
        </w:tc>
        <w:tc>
          <w:tcPr>
            <w:tcW w:type="dxa" w:w="3024"/>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“Governance without informed operational authority is theater.”</w:t>
            </w:r>
          </w:p>
        </w:tc>
      </w:tr>
    </w:tbl>
    <w:p>
      <w:pPr>
        <w:spacing w:after="180" w:before="0" w:line="276"/>
      </w:pPr>
      <w:r>
        <w:rPr>
          <w:rFonts w:ascii="Calibri" w:cs="Calibri" w:eastAsia="Calibri" w:hAnsi="Calibri"/>
          <w:color w:val="3D4A5A"/>
          <w:sz w:val="8"/>
          <w:szCs w:val="8"/>
        </w:rPr>
        <w:t xml:space="preserve"/>
      </w:r>
    </w:p>
    <w:p>
      <w:pPr>
        <w:keepNext/>
        <w:spacing w:after="60" w:before="180"/>
      </w:pPr>
      <w:r>
        <w:rPr>
          <w:rFonts w:ascii="Calibri" w:cs="Calibri" w:eastAsia="Calibri" w:hAnsi="Calibri"/>
          <w:b/>
          <w:bCs/>
          <w:color w:val="3D4A5A"/>
          <w:sz w:val="20"/>
          <w:szCs w:val="20"/>
        </w:rPr>
        <w:t xml:space="preserve">Tone by context</w:t>
      </w:r>
    </w:p>
    <w:tbl>
      <w:tblPr>
        <w:tblW w:type="dxa" w:w="10080"/>
        <w:tblBorders>
          <w:top w:val="single" w:color="D3DCE6" w:sz="2"/>
          <w:left w:val="none"/>
          <w:bottom w:val="single" w:color="D3DCE6" w:sz="2"/>
          <w:right w:val="none"/>
          <w:insideH w:val="single" w:color="D3DCE6" w:sz="2"/>
          <w:insideV w:val="none"/>
        </w:tblBorders>
      </w:tblPr>
      <w:tblGrid>
        <w:gridCol w:w="2218"/>
        <w:gridCol w:w="4032"/>
        <w:gridCol w:w="3830"/>
      </w:tblGrid>
      <w:tr>
        <w:trPr>
          <w:cantSplit/>
          <w:tblHeader/>
        </w:trPr>
        <w:tc>
          <w:tcPr>
            <w:tcW w:type="dxa" w:w="2218"/>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Context</w:t>
            </w:r>
          </w:p>
        </w:tc>
        <w:tc>
          <w:tcPr>
            <w:tcW w:type="dxa" w:w="4032"/>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Tone</w:t>
            </w:r>
          </w:p>
        </w:tc>
        <w:tc>
          <w:tcPr>
            <w:tcW w:type="dxa" w:w="3830"/>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Watch for</w:t>
            </w:r>
          </w:p>
        </w:tc>
      </w:tr>
      <w:tr>
        <w:trPr>
          <w:cantSplit/>
        </w:trPr>
        <w:tc>
          <w:tcPr>
            <w:tcW w:type="dxa" w:w="221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Website</w:t>
            </w:r>
          </w:p>
        </w:tc>
        <w:tc>
          <w:tcPr>
            <w:tcW w:type="dxa" w:w="4032"/>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Confident and plain. Short sentences, concrete commitments, a date or a number wherever one exists.</w:t>
            </w:r>
          </w:p>
        </w:tc>
        <w:tc>
          <w:tcPr>
            <w:tcW w:type="dxa" w:w="383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Drifting into abstraction. If a paragraph could sit on any competitor’s site, it is not finished.</w:t>
            </w:r>
          </w:p>
        </w:tc>
      </w:tr>
      <w:tr>
        <w:trPr>
          <w:cantSplit/>
        </w:trPr>
        <w:tc>
          <w:tcPr>
            <w:tcW w:type="dxa" w:w="2218"/>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Founder posts on LinkedIn</w:t>
            </w:r>
          </w:p>
        </w:tc>
        <w:tc>
          <w:tcPr>
            <w:tcW w:type="dxa" w:w="4032"/>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First person, opinionated, one argument per post. A heretical opening line, then the reasoning.</w:t>
            </w:r>
          </w:p>
        </w:tc>
        <w:tc>
          <w:tcPr>
            <w:tcW w:type="dxa" w:w="3830"/>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Corporate voice creeping in. The company page can be neutral; his profile should not be.</w:t>
            </w:r>
          </w:p>
        </w:tc>
      </w:tr>
      <w:tr>
        <w:trPr>
          <w:cantSplit/>
        </w:trPr>
        <w:tc>
          <w:tcPr>
            <w:tcW w:type="dxa" w:w="221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Proposals and SOWs</w:t>
            </w:r>
          </w:p>
        </w:tc>
        <w:tc>
          <w:tcPr>
            <w:tcW w:type="dxa" w:w="4032"/>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Precise and unambiguous. Scope, dates, deliverables, what is explicitly out of scope.</w:t>
            </w:r>
          </w:p>
        </w:tc>
        <w:tc>
          <w:tcPr>
            <w:tcW w:type="dxa" w:w="383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Overpromising. Never imply a guaranteed audit outcome.</w:t>
            </w:r>
          </w:p>
        </w:tc>
      </w:tr>
      <w:tr>
        <w:trPr>
          <w:cantSplit/>
        </w:trPr>
        <w:tc>
          <w:tcPr>
            <w:tcW w:type="dxa" w:w="2218"/>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Regulated and examiner-facing</w:t>
            </w:r>
          </w:p>
        </w:tc>
        <w:tc>
          <w:tcPr>
            <w:tcW w:type="dxa" w:w="4032"/>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Formal, framework-named, traceable. The one context where the acronyms belong up front.</w:t>
            </w:r>
          </w:p>
        </w:tc>
        <w:tc>
          <w:tcPr>
            <w:tcW w:type="dxa" w:w="3830"/>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Informality. The register that works with a SaaS founder reads as unserious to a CRO.</w:t>
            </w:r>
          </w:p>
        </w:tc>
      </w:tr>
      <w:tr>
        <w:trPr>
          <w:cantSplit/>
        </w:trPr>
        <w:tc>
          <w:tcPr>
            <w:tcW w:type="dxa" w:w="221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Incident or bad news</w:t>
            </w:r>
          </w:p>
        </w:tc>
        <w:tc>
          <w:tcPr>
            <w:tcW w:type="dxa" w:w="4032"/>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Immediate, factual, no hedging. What happened, what is known, what happens next, when the next update comes.</w:t>
            </w:r>
          </w:p>
        </w:tc>
        <w:tc>
          <w:tcPr>
            <w:tcW w:type="dxa" w:w="383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Anything that sounds like it went through legal three times. This is a firm that sells accountability.</w:t>
            </w:r>
          </w:p>
        </w:tc>
      </w:tr>
    </w:tbl>
    <w:p>
      <w:pPr>
        <w:spacing w:after="180" w:before="0" w:line="276"/>
      </w:pPr>
      <w:r>
        <w:rPr>
          <w:rFonts w:ascii="Calibri" w:cs="Calibri" w:eastAsia="Calibri" w:hAnsi="Calibri"/>
          <w:color w:val="3D4A5A"/>
          <w:sz w:val="8"/>
          <w:szCs w:val="8"/>
        </w:rPr>
        <w:t xml:space="preserve"/>
      </w:r>
    </w:p>
    <w:p>
      <w:pPr>
        <w:keepNext/>
        <w:spacing w:after="60" w:before="180"/>
      </w:pPr>
      <w:r>
        <w:rPr>
          <w:rFonts w:ascii="Calibri" w:cs="Calibri" w:eastAsia="Calibri" w:hAnsi="Calibri"/>
          <w:b/>
          <w:bCs/>
          <w:color w:val="3D4A5A"/>
          <w:sz w:val="20"/>
          <w:szCs w:val="20"/>
        </w:rPr>
        <w:t xml:space="preserve">Naming conventions</w:t>
      </w:r>
    </w:p>
    <w:tbl>
      <w:tblPr>
        <w:tblW w:type="dxa" w:w="10080"/>
        <w:tblBorders>
          <w:top w:val="single" w:color="D3DCE6" w:sz="2"/>
          <w:left w:val="none"/>
          <w:bottom w:val="single" w:color="D3DCE6" w:sz="2"/>
          <w:right w:val="none"/>
          <w:insideH w:val="single" w:color="D3DCE6" w:sz="2"/>
          <w:insideV w:val="none"/>
        </w:tblBorders>
      </w:tblPr>
      <w:tblGrid>
        <w:gridCol w:w="1613"/>
        <w:gridCol w:w="2621"/>
        <w:gridCol w:w="2016"/>
        <w:gridCol w:w="3830"/>
      </w:tblGrid>
      <w:tr>
        <w:trPr>
          <w:cantSplit/>
          <w:tblHeader/>
        </w:trPr>
        <w:tc>
          <w:tcPr>
            <w:tcW w:type="dxa" w:w="1613"/>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Name</w:t>
            </w:r>
          </w:p>
        </w:tc>
        <w:tc>
          <w:tcPr>
            <w:tcW w:type="dxa" w:w="2621"/>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Correct form</w:t>
            </w:r>
          </w:p>
        </w:tc>
        <w:tc>
          <w:tcPr>
            <w:tcW w:type="dxa" w:w="2016"/>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Never</w:t>
            </w:r>
          </w:p>
        </w:tc>
        <w:tc>
          <w:tcPr>
            <w:tcW w:type="dxa" w:w="3830"/>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Notes</w:t>
            </w:r>
          </w:p>
        </w:tc>
      </w:tr>
      <w:tr>
        <w:trPr>
          <w:cantSplit/>
        </w:trPr>
        <w:tc>
          <w:tcPr>
            <w:tcW w:type="dxa" w:w="1613"/>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Company, short</w:t>
            </w:r>
          </w:p>
        </w:tc>
        <w:tc>
          <w:tcPr>
            <w:tcW w:type="dxa" w:w="262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3HUE</w:t>
            </w:r>
          </w:p>
        </w:tc>
        <w:tc>
          <w:tcPr>
            <w:tcW w:type="dxa" w:w="201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3Hue · 3hue · 3-HUE</w:t>
            </w:r>
          </w:p>
        </w:tc>
        <w:tc>
          <w:tcPr>
            <w:tcW w:type="dxa" w:w="383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All caps, no space, no hyphen. Matches the logo and the site.</w:t>
            </w:r>
          </w:p>
        </w:tc>
      </w:tr>
      <w:tr>
        <w:trPr>
          <w:cantSplit/>
        </w:trPr>
        <w:tc>
          <w:tcPr>
            <w:tcW w:type="dxa" w:w="1613"/>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Company, legal</w:t>
            </w:r>
          </w:p>
        </w:tc>
        <w:tc>
          <w:tcPr>
            <w:tcW w:type="dxa" w:w="262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3HUE Executive Consulting LLC</w:t>
            </w:r>
          </w:p>
        </w:tc>
        <w:tc>
          <w:tcPr>
            <w:tcW w:type="dxa" w:w="2016"/>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w:t>
            </w:r>
          </w:p>
        </w:tc>
        <w:tc>
          <w:tcPr>
            <w:tcW w:type="dxa" w:w="3830"/>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Contracts, invoices, legal notices only.</w:t>
            </w:r>
          </w:p>
        </w:tc>
      </w:tr>
      <w:tr>
        <w:trPr>
          <w:cantSplit/>
        </w:trPr>
        <w:tc>
          <w:tcPr>
            <w:tcW w:type="dxa" w:w="1613"/>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Platform, short</w:t>
            </w:r>
          </w:p>
        </w:tc>
        <w:tc>
          <w:tcPr>
            <w:tcW w:type="dxa" w:w="262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AiVRIC</w:t>
            </w:r>
          </w:p>
        </w:tc>
        <w:tc>
          <w:tcPr>
            <w:tcW w:type="dxa" w:w="201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AIVRIC · Aivric · aiVRIC</w:t>
            </w:r>
          </w:p>
        </w:tc>
        <w:tc>
          <w:tcPr>
            <w:tcW w:type="dxa" w:w="383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Capital A, lowercase i, then all caps. The most commonly broken rule in the family.</w:t>
            </w:r>
          </w:p>
        </w:tc>
      </w:tr>
      <w:tr>
        <w:trPr>
          <w:cantSplit/>
        </w:trPr>
        <w:tc>
          <w:tcPr>
            <w:tcW w:type="dxa" w:w="1613"/>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Platform, legal</w:t>
            </w:r>
          </w:p>
        </w:tc>
        <w:tc>
          <w:tcPr>
            <w:tcW w:type="dxa" w:w="262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AiVRIC Technologies, Inc.</w:t>
            </w:r>
          </w:p>
        </w:tc>
        <w:tc>
          <w:tcPr>
            <w:tcW w:type="dxa" w:w="2016"/>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w:t>
            </w:r>
          </w:p>
        </w:tc>
        <w:tc>
          <w:tcPr>
            <w:tcW w:type="dxa" w:w="3830"/>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Delaware entity.</w:t>
            </w:r>
          </w:p>
        </w:tc>
      </w:tr>
      <w:tr>
        <w:trPr>
          <w:cantSplit/>
        </w:trPr>
        <w:tc>
          <w:tcPr>
            <w:tcW w:type="dxa" w:w="1613"/>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Practices</w:t>
            </w:r>
          </w:p>
        </w:tc>
        <w:tc>
          <w:tcPr>
            <w:tcW w:type="dxa" w:w="262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ISG · OPS · ITG</w:t>
            </w:r>
          </w:p>
        </w:tc>
        <w:tc>
          <w:tcPr>
            <w:tcW w:type="dxa" w:w="201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Standalone brands</w:t>
            </w:r>
          </w:p>
        </w:tc>
        <w:tc>
          <w:tcPr>
            <w:tcW w:type="dxa" w:w="383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Always expand on first use: ISG (Audit-Ready Security Program), OPS (Managed Security Operations), ITG (Technology Governance for Scale).</w:t>
            </w:r>
          </w:p>
        </w:tc>
      </w:tr>
      <w:tr>
        <w:trPr>
          <w:cantSplit/>
        </w:trPr>
        <w:tc>
          <w:tcPr>
            <w:tcW w:type="dxa" w:w="1613"/>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Products</w:t>
            </w:r>
          </w:p>
        </w:tc>
        <w:tc>
          <w:tcPr>
            <w:tcW w:type="dxa" w:w="262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CloudSignals+RiskOps</w:t>
            </w:r>
          </w:p>
        </w:tc>
        <w:tc>
          <w:tcPr>
            <w:tcW w:type="dxa" w:w="2016"/>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Dropping the module name</w:t>
            </w:r>
          </w:p>
        </w:tc>
        <w:tc>
          <w:tcPr>
            <w:tcW w:type="dxa" w:w="3830"/>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Only CloudSignals is generally available. Everything else is qualified as in development, in writing, every time.</w:t>
            </w:r>
          </w:p>
        </w:tc>
      </w:tr>
    </w:tbl>
    <w:p>
      <w:pPr>
        <w:spacing w:after="180" w:before="0" w:line="276"/>
      </w:pPr>
      <w:r>
        <w:rPr>
          <w:rFonts w:ascii="Calibri" w:cs="Calibri" w:eastAsia="Calibri" w:hAnsi="Calibri"/>
          <w:color w:val="3D4A5A"/>
          <w:sz w:val="8"/>
          <w:szCs w:val="8"/>
        </w:rPr>
        <w:t xml:space="preserve"/>
      </w:r>
    </w:p>
    <w:p>
      <w:pPr>
        <w:pStyle w:val="Heading2"/>
        <w:keepNext/>
        <w:spacing w:after="40" w:before="340"/>
      </w:pPr>
      <w:r>
        <w:rPr>
          <w:rFonts w:ascii="Calibri" w:cs="Calibri" w:eastAsia="Calibri" w:hAnsi="Calibri"/>
          <w:b/>
          <w:bCs/>
          <w:color w:val="2F86B3"/>
          <w:sz w:val="28"/>
          <w:szCs w:val="28"/>
        </w:rPr>
        <w:t xml:space="preserve">25. Asset inventory</w:t>
      </w:r>
    </w:p>
    <w:p>
      <w:pPr>
        <w:keepNext/>
        <w:spacing w:after="140" w:before="0" w:line="276"/>
      </w:pPr>
      <w:r>
        <w:rPr>
          <w:rFonts w:ascii="Calibri" w:cs="Calibri" w:eastAsia="Calibri" w:hAnsi="Calibri"/>
          <w:i/>
          <w:iCs/>
          <w:color w:val="6B7A8C"/>
          <w:sz w:val="19"/>
          <w:szCs w:val="19"/>
        </w:rPr>
        <w:t xml:space="preserve">What exists, what does not, and what to commission first.</w:t>
      </w:r>
    </w:p>
    <w:tbl>
      <w:tblPr>
        <w:tblW w:type="dxa" w:w="10080"/>
        <w:tblBorders>
          <w:top w:val="single" w:color="D3DCE6" w:sz="2"/>
          <w:left w:val="none"/>
          <w:bottom w:val="single" w:color="D3DCE6" w:sz="2"/>
          <w:right w:val="none"/>
          <w:insideH w:val="single" w:color="D3DCE6" w:sz="2"/>
          <w:insideV w:val="none"/>
        </w:tblBorders>
      </w:tblPr>
      <w:tblGrid>
        <w:gridCol w:w="2621"/>
        <w:gridCol w:w="1512"/>
        <w:gridCol w:w="4738"/>
        <w:gridCol w:w="1210"/>
      </w:tblGrid>
      <w:tr>
        <w:trPr>
          <w:cantSplit/>
          <w:tblHeader/>
        </w:trPr>
        <w:tc>
          <w:tcPr>
            <w:tcW w:type="dxa" w:w="2621"/>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Asset</w:t>
            </w:r>
          </w:p>
        </w:tc>
        <w:tc>
          <w:tcPr>
            <w:tcW w:type="dxa" w:w="1512"/>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Status</w:t>
            </w:r>
          </w:p>
        </w:tc>
        <w:tc>
          <w:tcPr>
            <w:tcW w:type="dxa" w:w="4738"/>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Where / what is needed</w:t>
            </w:r>
          </w:p>
        </w:tc>
        <w:tc>
          <w:tcPr>
            <w:tcW w:type="dxa" w:w="1210"/>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jc w:val="center"/>
            </w:pPr>
            <w:r>
              <w:rPr>
                <w:rFonts w:ascii="Calibri" w:cs="Calibri" w:eastAsia="Calibri" w:hAnsi="Calibri"/>
                <w:b/>
                <w:bCs/>
                <w:color w:val="6B7A8C"/>
                <w:sz w:val="16"/>
                <w:szCs w:val="16"/>
              </w:rPr>
              <w:t xml:space="preserve">Priority</w:t>
            </w:r>
          </w:p>
        </w:tc>
      </w:tr>
      <w:tr>
        <w:trPr>
          <w:cantSplit/>
        </w:trPr>
        <w:tc>
          <w:tcPr>
            <w:tcW w:type="dxa" w:w="262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Master logo, raster</w:t>
            </w:r>
          </w:p>
        </w:tc>
        <w:tc>
          <w:tcPr>
            <w:tcW w:type="dxa" w:w="1512"/>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2F8562"/>
                <w:sz w:val="18"/>
                <w:szCs w:val="18"/>
              </w:rPr>
              <w:t xml:space="preserve">Exists</w:t>
            </w:r>
          </w:p>
        </w:tc>
        <w:tc>
          <w:tcPr>
            <w:tcW w:type="dxa" w:w="473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Logo-FULL-v1.avif — 2077×843, transparent</w:t>
            </w:r>
          </w:p>
        </w:tc>
        <w:tc>
          <w:tcPr>
            <w:tcW w:type="dxa" w:w="121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center"/>
            </w:pPr>
            <w:r>
              <w:rPr>
                <w:rFonts w:ascii="Calibri" w:cs="Calibri" w:eastAsia="Calibri" w:hAnsi="Calibri"/>
                <w:color w:val="3D4A5A"/>
                <w:sz w:val="18"/>
                <w:szCs w:val="18"/>
              </w:rPr>
              <w:t xml:space="preserve">—</w:t>
            </w:r>
          </w:p>
        </w:tc>
      </w:tr>
      <w:tr>
        <w:trPr>
          <w:cantSplit/>
        </w:trPr>
        <w:tc>
          <w:tcPr>
            <w:tcW w:type="dxa" w:w="262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Master logo, vector</w:t>
            </w:r>
          </w:p>
        </w:tc>
        <w:tc>
          <w:tcPr>
            <w:tcW w:type="dxa" w:w="1512"/>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A4462F"/>
                <w:sz w:val="18"/>
                <w:szCs w:val="18"/>
              </w:rPr>
              <w:t xml:space="preserve">Missing</w:t>
            </w:r>
          </w:p>
        </w:tc>
        <w:tc>
          <w:tcPr>
            <w:tcW w:type="dxa" w:w="4738"/>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No SVG, EPS or PDF found. Caps print, signage and large format; forces a quality decision at every resize.</w:t>
            </w:r>
          </w:p>
        </w:tc>
        <w:tc>
          <w:tcPr>
            <w:tcW w:type="dxa" w:w="1210"/>
            <w:tcBorders>
              <w:top w:val="single" w:color="D3DCE6" w:sz="2"/>
              <w:left w:val="none"/>
              <w:bottom w:val="single" w:color="D3DCE6" w:sz="2"/>
              <w:right w:val="none"/>
            </w:tcBorders>
            <w:tcMar>
              <w:top w:type="dxa" w:w="70"/>
              <w:left w:type="dxa" w:w="100"/>
              <w:bottom w:type="dxa" w:w="70"/>
              <w:right w:type="dxa" w:w="100"/>
            </w:tcMar>
          </w:tcPr>
          <w:p>
            <w:pPr>
              <w:spacing w:after="0" w:before="0" w:line="250"/>
              <w:jc w:val="center"/>
            </w:pPr>
            <w:r>
              <w:rPr>
                <w:rFonts w:ascii="Calibri" w:cs="Calibri" w:eastAsia="Calibri" w:hAnsi="Calibri"/>
                <w:b/>
                <w:bCs/>
                <w:color w:val="3D4A5A"/>
                <w:sz w:val="18"/>
                <w:szCs w:val="18"/>
              </w:rPr>
              <w:t xml:space="preserve">High</w:t>
            </w:r>
          </w:p>
        </w:tc>
      </w:tr>
      <w:tr>
        <w:trPr>
          <w:cantSplit/>
        </w:trPr>
        <w:tc>
          <w:tcPr>
            <w:tcW w:type="dxa" w:w="262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Compact / mark-only lockup</w:t>
            </w:r>
          </w:p>
        </w:tc>
        <w:tc>
          <w:tcPr>
            <w:tcW w:type="dxa" w:w="1512"/>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A4462F"/>
                <w:sz w:val="18"/>
                <w:szCs w:val="18"/>
              </w:rPr>
              <w:t xml:space="preserve">Missing</w:t>
            </w:r>
          </w:p>
        </w:tc>
        <w:tc>
          <w:tcPr>
            <w:tcW w:type="dxa" w:w="473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Needed for favicons, avatars, app icons and the site header, where the full lockup currently renders below its legible size.</w:t>
            </w:r>
          </w:p>
        </w:tc>
        <w:tc>
          <w:tcPr>
            <w:tcW w:type="dxa" w:w="121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center"/>
            </w:pPr>
            <w:r>
              <w:rPr>
                <w:rFonts w:ascii="Calibri" w:cs="Calibri" w:eastAsia="Calibri" w:hAnsi="Calibri"/>
                <w:b/>
                <w:bCs/>
                <w:color w:val="3D4A5A"/>
                <w:sz w:val="18"/>
                <w:szCs w:val="18"/>
              </w:rPr>
              <w:t xml:space="preserve">High</w:t>
            </w:r>
          </w:p>
        </w:tc>
      </w:tr>
      <w:tr>
        <w:trPr>
          <w:cantSplit/>
        </w:trPr>
        <w:tc>
          <w:tcPr>
            <w:tcW w:type="dxa" w:w="262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Knockout (white / single-colour)</w:t>
            </w:r>
          </w:p>
        </w:tc>
        <w:tc>
          <w:tcPr>
            <w:tcW w:type="dxa" w:w="1512"/>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A4462F"/>
                <w:sz w:val="18"/>
                <w:szCs w:val="18"/>
              </w:rPr>
              <w:t xml:space="preserve">Missing</w:t>
            </w:r>
          </w:p>
        </w:tc>
        <w:tc>
          <w:tcPr>
            <w:tcW w:type="dxa" w:w="4738"/>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Required for dark photography, merchandise, one-colour print and partner co-branding.</w:t>
            </w:r>
          </w:p>
        </w:tc>
        <w:tc>
          <w:tcPr>
            <w:tcW w:type="dxa" w:w="1210"/>
            <w:tcBorders>
              <w:top w:val="single" w:color="D3DCE6" w:sz="2"/>
              <w:left w:val="none"/>
              <w:bottom w:val="single" w:color="D3DCE6" w:sz="2"/>
              <w:right w:val="none"/>
            </w:tcBorders>
            <w:tcMar>
              <w:top w:type="dxa" w:w="70"/>
              <w:left w:type="dxa" w:w="100"/>
              <w:bottom w:type="dxa" w:w="70"/>
              <w:right w:type="dxa" w:w="100"/>
            </w:tcMar>
          </w:tcPr>
          <w:p>
            <w:pPr>
              <w:spacing w:after="0" w:before="0" w:line="250"/>
              <w:jc w:val="center"/>
            </w:pPr>
            <w:r>
              <w:rPr>
                <w:rFonts w:ascii="Calibri" w:cs="Calibri" w:eastAsia="Calibri" w:hAnsi="Calibri"/>
                <w:color w:val="3D4A5A"/>
                <w:sz w:val="18"/>
                <w:szCs w:val="18"/>
              </w:rPr>
              <w:t xml:space="preserve">Medium</w:t>
            </w:r>
          </w:p>
        </w:tc>
      </w:tr>
      <w:tr>
        <w:trPr>
          <w:cantSplit/>
        </w:trPr>
        <w:tc>
          <w:tcPr>
            <w:tcW w:type="dxa" w:w="262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Stacked lockup</w:t>
            </w:r>
          </w:p>
        </w:tc>
        <w:tc>
          <w:tcPr>
            <w:tcW w:type="dxa" w:w="1512"/>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A4462F"/>
                <w:sz w:val="18"/>
                <w:szCs w:val="18"/>
              </w:rPr>
              <w:t xml:space="preserve">Missing</w:t>
            </w:r>
          </w:p>
        </w:tc>
        <w:tc>
          <w:tcPr>
            <w:tcW w:type="dxa" w:w="473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For square and vertical placements — social profiles, event banners, badges.</w:t>
            </w:r>
          </w:p>
        </w:tc>
        <w:tc>
          <w:tcPr>
            <w:tcW w:type="dxa" w:w="121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center"/>
            </w:pPr>
            <w:r>
              <w:rPr>
                <w:rFonts w:ascii="Calibri" w:cs="Calibri" w:eastAsia="Calibri" w:hAnsi="Calibri"/>
                <w:color w:val="3D4A5A"/>
                <w:sz w:val="18"/>
                <w:szCs w:val="18"/>
              </w:rPr>
              <w:t xml:space="preserve">Medium</w:t>
            </w:r>
          </w:p>
        </w:tc>
      </w:tr>
      <w:tr>
        <w:trPr>
          <w:cantSplit/>
        </w:trPr>
        <w:tc>
          <w:tcPr>
            <w:tcW w:type="dxa" w:w="262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Service marks (ISG/OPS/ITG)</w:t>
            </w:r>
          </w:p>
        </w:tc>
        <w:tc>
          <w:tcPr>
            <w:tcW w:type="dxa" w:w="1512"/>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A8781F"/>
                <w:sz w:val="18"/>
                <w:szCs w:val="18"/>
              </w:rPr>
              <w:t xml:space="preserve">Exists, limited</w:t>
            </w:r>
          </w:p>
        </w:tc>
        <w:tc>
          <w:tcPr>
            <w:tcW w:type="dxa" w:w="4738"/>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Flat PNGs with the tile baked in. Transparent SVG versions would make them usable in decks and documents.</w:t>
            </w:r>
          </w:p>
        </w:tc>
        <w:tc>
          <w:tcPr>
            <w:tcW w:type="dxa" w:w="1210"/>
            <w:tcBorders>
              <w:top w:val="single" w:color="D3DCE6" w:sz="2"/>
              <w:left w:val="none"/>
              <w:bottom w:val="single" w:color="D3DCE6" w:sz="2"/>
              <w:right w:val="none"/>
            </w:tcBorders>
            <w:tcMar>
              <w:top w:type="dxa" w:w="70"/>
              <w:left w:type="dxa" w:w="100"/>
              <w:bottom w:type="dxa" w:w="70"/>
              <w:right w:type="dxa" w:w="100"/>
            </w:tcMar>
          </w:tcPr>
          <w:p>
            <w:pPr>
              <w:spacing w:after="0" w:before="0" w:line="250"/>
              <w:jc w:val="center"/>
            </w:pPr>
            <w:r>
              <w:rPr>
                <w:rFonts w:ascii="Calibri" w:cs="Calibri" w:eastAsia="Calibri" w:hAnsi="Calibri"/>
                <w:color w:val="3D4A5A"/>
                <w:sz w:val="18"/>
                <w:szCs w:val="18"/>
              </w:rPr>
              <w:t xml:space="preserve">Medium</w:t>
            </w:r>
          </w:p>
        </w:tc>
      </w:tr>
      <w:tr>
        <w:trPr>
          <w:cantSplit/>
        </w:trPr>
        <w:tc>
          <w:tcPr>
            <w:tcW w:type="dxa" w:w="262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AiVRIC logo</w:t>
            </w:r>
          </w:p>
        </w:tc>
        <w:tc>
          <w:tcPr>
            <w:tcW w:type="dxa" w:w="1512"/>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2F8562"/>
                <w:sz w:val="18"/>
                <w:szCs w:val="18"/>
              </w:rPr>
              <w:t xml:space="preserve">Exists</w:t>
            </w:r>
          </w:p>
        </w:tc>
        <w:tc>
          <w:tcPr>
            <w:tcW w:type="dxa" w:w="473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aivric.svg — a true vector master</w:t>
            </w:r>
          </w:p>
        </w:tc>
        <w:tc>
          <w:tcPr>
            <w:tcW w:type="dxa" w:w="121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center"/>
            </w:pPr>
            <w:r>
              <w:rPr>
                <w:rFonts w:ascii="Calibri" w:cs="Calibri" w:eastAsia="Calibri" w:hAnsi="Calibri"/>
                <w:color w:val="3D4A5A"/>
                <w:sz w:val="18"/>
                <w:szCs w:val="18"/>
              </w:rPr>
              <w:t xml:space="preserve">—</w:t>
            </w:r>
          </w:p>
        </w:tc>
      </w:tr>
      <w:tr>
        <w:trPr>
          <w:cantSplit/>
        </w:trPr>
        <w:tc>
          <w:tcPr>
            <w:tcW w:type="dxa" w:w="262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Slide template</w:t>
            </w:r>
          </w:p>
        </w:tc>
        <w:tc>
          <w:tcPr>
            <w:tcW w:type="dxa" w:w="1512"/>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A8781F"/>
                <w:sz w:val="18"/>
                <w:szCs w:val="18"/>
              </w:rPr>
              <w:t xml:space="preserve">Unknown</w:t>
            </w:r>
          </w:p>
        </w:tc>
        <w:tc>
          <w:tcPr>
            <w:tcW w:type="dxa" w:w="4738"/>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Not publicly discoverable. The highest-frequency branded surface in a consulting firm and the most common place identity breaks down.</w:t>
            </w:r>
          </w:p>
        </w:tc>
        <w:tc>
          <w:tcPr>
            <w:tcW w:type="dxa" w:w="1210"/>
            <w:tcBorders>
              <w:top w:val="single" w:color="D3DCE6" w:sz="2"/>
              <w:left w:val="none"/>
              <w:bottom w:val="single" w:color="D3DCE6" w:sz="2"/>
              <w:right w:val="none"/>
            </w:tcBorders>
            <w:tcMar>
              <w:top w:type="dxa" w:w="70"/>
              <w:left w:type="dxa" w:w="100"/>
              <w:bottom w:type="dxa" w:w="70"/>
              <w:right w:type="dxa" w:w="100"/>
            </w:tcMar>
          </w:tcPr>
          <w:p>
            <w:pPr>
              <w:spacing w:after="0" w:before="0" w:line="250"/>
              <w:jc w:val="center"/>
            </w:pPr>
            <w:r>
              <w:rPr>
                <w:rFonts w:ascii="Calibri" w:cs="Calibri" w:eastAsia="Calibri" w:hAnsi="Calibri"/>
                <w:b/>
                <w:bCs/>
                <w:color w:val="3D4A5A"/>
                <w:sz w:val="18"/>
                <w:szCs w:val="18"/>
              </w:rPr>
              <w:t xml:space="preserve">High</w:t>
            </w:r>
          </w:p>
        </w:tc>
      </w:tr>
      <w:tr>
        <w:trPr>
          <w:cantSplit/>
        </w:trPr>
        <w:tc>
          <w:tcPr>
            <w:tcW w:type="dxa" w:w="262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Proposal / SOW template</w:t>
            </w:r>
          </w:p>
        </w:tc>
        <w:tc>
          <w:tcPr>
            <w:tcW w:type="dxa" w:w="1512"/>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A8781F"/>
                <w:sz w:val="18"/>
                <w:szCs w:val="18"/>
              </w:rPr>
              <w:t xml:space="preserve">Unknown</w:t>
            </w:r>
          </w:p>
        </w:tc>
        <w:tc>
          <w:tcPr>
            <w:tcW w:type="dxa" w:w="473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Should carry the brand, the boilerplate and the standing scope language.</w:t>
            </w:r>
          </w:p>
        </w:tc>
        <w:tc>
          <w:tcPr>
            <w:tcW w:type="dxa" w:w="121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center"/>
            </w:pPr>
            <w:r>
              <w:rPr>
                <w:rFonts w:ascii="Calibri" w:cs="Calibri" w:eastAsia="Calibri" w:hAnsi="Calibri"/>
                <w:b/>
                <w:bCs/>
                <w:color w:val="3D4A5A"/>
                <w:sz w:val="18"/>
                <w:szCs w:val="18"/>
              </w:rPr>
              <w:t xml:space="preserve">High</w:t>
            </w:r>
          </w:p>
        </w:tc>
      </w:tr>
      <w:tr>
        <w:trPr>
          <w:cantSplit/>
        </w:trPr>
        <w:tc>
          <w:tcPr>
            <w:tcW w:type="dxa" w:w="262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One-pagers per offer</w:t>
            </w:r>
          </w:p>
        </w:tc>
        <w:tc>
          <w:tcPr>
            <w:tcW w:type="dxa" w:w="1512"/>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A4462F"/>
                <w:sz w:val="18"/>
                <w:szCs w:val="18"/>
              </w:rPr>
              <w:t xml:space="preserve">Missing</w:t>
            </w:r>
          </w:p>
        </w:tc>
        <w:tc>
          <w:tcPr>
            <w:tcW w:type="dxa" w:w="4738"/>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Snapshot, SOC 2 readiness, managed program, portfolio assurance.</w:t>
            </w:r>
          </w:p>
        </w:tc>
        <w:tc>
          <w:tcPr>
            <w:tcW w:type="dxa" w:w="1210"/>
            <w:tcBorders>
              <w:top w:val="single" w:color="D3DCE6" w:sz="2"/>
              <w:left w:val="none"/>
              <w:bottom w:val="single" w:color="D3DCE6" w:sz="2"/>
              <w:right w:val="none"/>
            </w:tcBorders>
            <w:tcMar>
              <w:top w:type="dxa" w:w="70"/>
              <w:left w:type="dxa" w:w="100"/>
              <w:bottom w:type="dxa" w:w="70"/>
              <w:right w:type="dxa" w:w="100"/>
            </w:tcMar>
          </w:tcPr>
          <w:p>
            <w:pPr>
              <w:spacing w:after="0" w:before="0" w:line="250"/>
              <w:jc w:val="center"/>
            </w:pPr>
            <w:r>
              <w:rPr>
                <w:rFonts w:ascii="Calibri" w:cs="Calibri" w:eastAsia="Calibri" w:hAnsi="Calibri"/>
                <w:b/>
                <w:bCs/>
                <w:color w:val="3D4A5A"/>
                <w:sz w:val="18"/>
                <w:szCs w:val="18"/>
              </w:rPr>
              <w:t xml:space="preserve">High</w:t>
            </w:r>
          </w:p>
        </w:tc>
      </w:tr>
      <w:tr>
        <w:trPr>
          <w:cantSplit/>
        </w:trPr>
        <w:tc>
          <w:tcPr>
            <w:tcW w:type="dxa" w:w="262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Case studies with metrics</w:t>
            </w:r>
          </w:p>
        </w:tc>
        <w:tc>
          <w:tcPr>
            <w:tcW w:type="dxa" w:w="1512"/>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A8781F"/>
                <w:sz w:val="18"/>
                <w:szCs w:val="18"/>
              </w:rPr>
              <w:t xml:space="preserve">Partial</w:t>
            </w:r>
          </w:p>
        </w:tc>
        <w:tc>
          <w:tcPr>
            <w:tcW w:type="dxa" w:w="473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Three stories published with strong outcomes but no client quotes, timeframes or named references.</w:t>
            </w:r>
          </w:p>
        </w:tc>
        <w:tc>
          <w:tcPr>
            <w:tcW w:type="dxa" w:w="121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center"/>
            </w:pPr>
            <w:r>
              <w:rPr>
                <w:rFonts w:ascii="Calibri" w:cs="Calibri" w:eastAsia="Calibri" w:hAnsi="Calibri"/>
                <w:b/>
                <w:bCs/>
                <w:color w:val="3D4A5A"/>
                <w:sz w:val="18"/>
                <w:szCs w:val="18"/>
              </w:rPr>
              <w:t xml:space="preserve">High</w:t>
            </w:r>
          </w:p>
        </w:tc>
      </w:tr>
      <w:tr>
        <w:trPr>
          <w:cantSplit/>
        </w:trPr>
        <w:tc>
          <w:tcPr>
            <w:tcW w:type="dxa" w:w="262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Social templates</w:t>
            </w:r>
          </w:p>
        </w:tc>
        <w:tc>
          <w:tcPr>
            <w:tcW w:type="dxa" w:w="1512"/>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A4462F"/>
                <w:sz w:val="18"/>
                <w:szCs w:val="18"/>
              </w:rPr>
              <w:t xml:space="preserve">Missing</w:t>
            </w:r>
          </w:p>
        </w:tc>
        <w:tc>
          <w:tcPr>
            <w:tcW w:type="dxa" w:w="4738"/>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LinkedIn single-image and carousel frames in brand, so founder posts stop looking unbranded.</w:t>
            </w:r>
          </w:p>
        </w:tc>
        <w:tc>
          <w:tcPr>
            <w:tcW w:type="dxa" w:w="1210"/>
            <w:tcBorders>
              <w:top w:val="single" w:color="D3DCE6" w:sz="2"/>
              <w:left w:val="none"/>
              <w:bottom w:val="single" w:color="D3DCE6" w:sz="2"/>
              <w:right w:val="none"/>
            </w:tcBorders>
            <w:tcMar>
              <w:top w:type="dxa" w:w="70"/>
              <w:left w:type="dxa" w:w="100"/>
              <w:bottom w:type="dxa" w:w="70"/>
              <w:right w:type="dxa" w:w="100"/>
            </w:tcMar>
          </w:tcPr>
          <w:p>
            <w:pPr>
              <w:spacing w:after="0" w:before="0" w:line="250"/>
              <w:jc w:val="center"/>
            </w:pPr>
            <w:r>
              <w:rPr>
                <w:rFonts w:ascii="Calibri" w:cs="Calibri" w:eastAsia="Calibri" w:hAnsi="Calibri"/>
                <w:color w:val="3D4A5A"/>
                <w:sz w:val="18"/>
                <w:szCs w:val="18"/>
              </w:rPr>
              <w:t xml:space="preserve">Medium</w:t>
            </w:r>
          </w:p>
        </w:tc>
      </w:tr>
      <w:tr>
        <w:trPr>
          <w:cantSplit/>
        </w:trPr>
        <w:tc>
          <w:tcPr>
            <w:tcW w:type="dxa" w:w="262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Email signature</w:t>
            </w:r>
          </w:p>
        </w:tc>
        <w:tc>
          <w:tcPr>
            <w:tcW w:type="dxa" w:w="1512"/>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A8781F"/>
                <w:sz w:val="18"/>
                <w:szCs w:val="18"/>
              </w:rPr>
              <w:t xml:space="preserve">Unknown</w:t>
            </w:r>
          </w:p>
        </w:tc>
        <w:tc>
          <w:tcPr>
            <w:tcW w:type="dxa" w:w="473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Cheap, high-frequency, and usually the first place a wrong logo file appears.</w:t>
            </w:r>
          </w:p>
        </w:tc>
        <w:tc>
          <w:tcPr>
            <w:tcW w:type="dxa" w:w="121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center"/>
            </w:pPr>
            <w:r>
              <w:rPr>
                <w:rFonts w:ascii="Calibri" w:cs="Calibri" w:eastAsia="Calibri" w:hAnsi="Calibri"/>
                <w:color w:val="3D4A5A"/>
                <w:sz w:val="18"/>
                <w:szCs w:val="18"/>
              </w:rPr>
              <w:t xml:space="preserve">Low</w:t>
            </w:r>
          </w:p>
        </w:tc>
      </w:tr>
      <w:tr>
        <w:trPr>
          <w:cantSplit/>
        </w:trPr>
        <w:tc>
          <w:tcPr>
            <w:tcW w:type="dxa" w:w="262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Trust page / security page</w:t>
            </w:r>
          </w:p>
        </w:tc>
        <w:tc>
          <w:tcPr>
            <w:tcW w:type="dxa" w:w="1512"/>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A4462F"/>
                <w:sz w:val="18"/>
                <w:szCs w:val="18"/>
              </w:rPr>
              <w:t xml:space="preserve">Missing</w:t>
            </w:r>
          </w:p>
        </w:tc>
        <w:tc>
          <w:tcPr>
            <w:tcW w:type="dxa" w:w="4738"/>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A firm selling provability that cannot demonstrate its own posture publicly. Also the single most requested artifact by the Hue 01 buyer.</w:t>
            </w:r>
          </w:p>
        </w:tc>
        <w:tc>
          <w:tcPr>
            <w:tcW w:type="dxa" w:w="1210"/>
            <w:tcBorders>
              <w:top w:val="single" w:color="D3DCE6" w:sz="2"/>
              <w:left w:val="none"/>
              <w:bottom w:val="single" w:color="D3DCE6" w:sz="2"/>
              <w:right w:val="none"/>
            </w:tcBorders>
            <w:tcMar>
              <w:top w:type="dxa" w:w="70"/>
              <w:left w:type="dxa" w:w="100"/>
              <w:bottom w:type="dxa" w:w="70"/>
              <w:right w:type="dxa" w:w="100"/>
            </w:tcMar>
          </w:tcPr>
          <w:p>
            <w:pPr>
              <w:spacing w:after="0" w:before="0" w:line="250"/>
              <w:jc w:val="center"/>
            </w:pPr>
            <w:r>
              <w:rPr>
                <w:rFonts w:ascii="Calibri" w:cs="Calibri" w:eastAsia="Calibri" w:hAnsi="Calibri"/>
                <w:b/>
                <w:bCs/>
                <w:color w:val="3D4A5A"/>
                <w:sz w:val="18"/>
                <w:szCs w:val="18"/>
              </w:rPr>
              <w:t xml:space="preserve">High</w:t>
            </w:r>
          </w:p>
        </w:tc>
      </w:tr>
    </w:tbl>
    <w:p>
      <w:pPr>
        <w:spacing w:after="180" w:before="0" w:line="276"/>
      </w:pPr>
      <w:r>
        <w:rPr>
          <w:rFonts w:ascii="Calibri" w:cs="Calibri" w:eastAsia="Calibri" w:hAnsi="Calibri"/>
          <w:color w:val="3D4A5A"/>
          <w:sz w:val="8"/>
          <w:szCs w:val="8"/>
        </w:rPr>
        <w:t xml:space="preserve"/>
      </w:r>
    </w:p>
    <w:tbl>
      <w:tblPr>
        <w:tblW w:type="dxa" w:w="10080"/>
        <w:tblBorders>
          <w:top w:val="none"/>
          <w:left w:val="single" w:color="2F8562" w:sz="18"/>
          <w:bottom w:val="none"/>
          <w:right w:val="none"/>
          <w:insideH w:val="none"/>
          <w:insideV w:val="none"/>
        </w:tblBorders>
      </w:tblPr>
      <w:tblGrid>
        <w:gridCol w:w="10080"/>
      </w:tblGrid>
      <w:tr>
        <w:trPr>
          <w:cantSplit/>
        </w:trPr>
        <w:tc>
          <w:tcPr>
            <w:tcW w:type="dxa" w:w="10080"/>
            <w:tcBorders>
              <w:top w:val="none"/>
              <w:left w:val="none"/>
              <w:bottom w:val="none"/>
              <w:right w:val="none"/>
            </w:tcBorders>
            <w:shd w:fill="EAF4EF" w:color="auto" w:val="clear"/>
            <w:tcMar>
              <w:top w:type="dxa" w:w="130"/>
              <w:left w:type="dxa" w:w="180"/>
              <w:bottom w:type="dxa" w:w="130"/>
              <w:right w:type="dxa" w:w="160"/>
            </w:tcMar>
          </w:tcPr>
          <w:p>
            <w:pPr>
              <w:keepNext/>
              <w:spacing w:after="60" w:before="0" w:line="260"/>
            </w:pPr>
            <w:r>
              <w:rPr>
                <w:rFonts w:ascii="Calibri" w:cs="Calibri" w:eastAsia="Calibri" w:hAnsi="Calibri"/>
                <w:b/>
                <w:bCs/>
                <w:color w:val="2F8562"/>
                <w:sz w:val="19"/>
                <w:szCs w:val="19"/>
              </w:rPr>
              <w:t xml:space="preserve">If only three get commissioned</w:t>
            </w:r>
          </w:p>
          <w:p>
            <w:pPr>
              <w:spacing w:after="40" w:before="0" w:line="265"/>
            </w:pPr>
            <w:r>
              <w:rPr>
                <w:rFonts w:ascii="Calibri" w:cs="Calibri" w:eastAsia="Calibri" w:hAnsi="Calibri"/>
                <w:color w:val="3D4A5A"/>
                <w:sz w:val="19"/>
                <w:szCs w:val="19"/>
              </w:rPr>
              <w:t xml:space="preserve">The vector master (it unblocks every other asset), the slide template (the highest-frequency surface), and the trust page (both a marketing asset and a proof point that 3HUE practices what it sells).</w:t>
            </w:r>
          </w:p>
        </w:tc>
      </w:tr>
    </w:tbl>
    <w:p>
      <w:pPr>
        <w:pStyle w:val="Heading2"/>
        <w:keepNext/>
        <w:spacing w:after="40" w:before="340"/>
      </w:pPr>
      <w:r>
        <w:rPr>
          <w:rFonts w:ascii="Calibri" w:cs="Calibri" w:eastAsia="Calibri" w:hAnsi="Calibri"/>
          <w:b/>
          <w:bCs/>
          <w:color w:val="2F86B3"/>
          <w:sz w:val="28"/>
          <w:szCs w:val="28"/>
        </w:rPr>
        <w:t xml:space="preserve">26. Brand observations</w:t>
      </w:r>
    </w:p>
    <w:p>
      <w:pPr>
        <w:keepNext/>
        <w:spacing w:after="140" w:before="0" w:line="276"/>
      </w:pPr>
      <w:r>
        <w:rPr>
          <w:rFonts w:ascii="Calibri" w:cs="Calibri" w:eastAsia="Calibri" w:hAnsi="Calibri"/>
          <w:i/>
          <w:iCs/>
          <w:color w:val="6B7A8C"/>
          <w:sz w:val="19"/>
          <w:szCs w:val="19"/>
        </w:rPr>
        <w:t xml:space="preserve">Seven things worth a decision. None are broken; several are the ordinary drift of a brand that grew a product alongside a consultancy.</w:t>
      </w:r>
    </w:p>
    <w:p>
      <w:pPr>
        <w:pStyle w:val="ListParagraph"/>
        <w:numPr>
          <w:ilvl w:val="0"/>
          <w:numId w:val="1"/>
        </w:numPr>
        <w:spacing w:after="70" w:line="270"/>
      </w:pPr>
      <w:r>
        <w:rPr>
          <w:rFonts w:ascii="Calibri" w:cs="Calibri" w:eastAsia="Calibri" w:hAnsi="Calibri"/>
          <w:b/>
          <w:bCs/>
          <w:color w:val="14202E"/>
          <w:sz w:val="20"/>
          <w:szCs w:val="20"/>
        </w:rPr>
        <w:t xml:space="preserve">The name promises three hues; the palette has one. </w:t>
      </w:r>
      <w:r>
        <w:rPr>
          <w:rFonts w:ascii="Calibri" w:cs="Calibri" w:eastAsia="Calibri" w:hAnsi="Calibri"/>
          <w:color w:val="3D4A5A"/>
          <w:sz w:val="20"/>
          <w:szCs w:val="20"/>
        </w:rPr>
        <w:t xml:space="preserve">The identity is monochromatic — a single blue plus greys. The “three” lives in the ISG, OPS and ITG marks, but all three are rendered in the same blue on the same navy tile, so the trio reads as one thing repeated rather than three distinct practices. Assigning each service a distinguishable hue would make the name do work it currently doesn’t.</w:t>
      </w:r>
    </w:p>
    <w:p>
      <w:pPr>
        <w:pStyle w:val="ListParagraph"/>
        <w:numPr>
          <w:ilvl w:val="0"/>
          <w:numId w:val="1"/>
        </w:numPr>
        <w:spacing w:after="70" w:line="270"/>
      </w:pPr>
      <w:r>
        <w:rPr>
          <w:rFonts w:ascii="Calibri" w:cs="Calibri" w:eastAsia="Calibri" w:hAnsi="Calibri"/>
          <w:b/>
          <w:bCs/>
          <w:color w:val="14202E"/>
          <w:sz w:val="20"/>
          <w:szCs w:val="20"/>
        </w:rPr>
        <w:t xml:space="preserve">Two different blues across the family. </w:t>
      </w:r>
      <w:r>
        <w:rPr>
          <w:rFonts w:ascii="Calibri" w:cs="Calibri" w:eastAsia="Calibri" w:hAnsi="Calibri"/>
          <w:color w:val="3D4A5A"/>
          <w:sz w:val="20"/>
          <w:szCs w:val="20"/>
        </w:rPr>
        <w:t xml:space="preserve">3HUE’s brand blue is #44a8d9, a soft mid-cyan. AiVRIC’s interface runs on #00d1ff, an electric cyan roughly twice as saturated. The AiVRIC logo uses a blue close to 3HUE’s — so the logo and its own product interface disagree.</w:t>
      </w:r>
    </w:p>
    <w:p>
      <w:pPr>
        <w:pStyle w:val="ListParagraph"/>
        <w:numPr>
          <w:ilvl w:val="0"/>
          <w:numId w:val="1"/>
        </w:numPr>
        <w:spacing w:after="70" w:line="270"/>
      </w:pPr>
      <w:r>
        <w:rPr>
          <w:rFonts w:ascii="Calibri" w:cs="Calibri" w:eastAsia="Calibri" w:hAnsi="Calibri"/>
          <w:b/>
          <w:bCs/>
          <w:color w:val="14202E"/>
          <w:sz w:val="20"/>
          <w:szCs w:val="20"/>
        </w:rPr>
        <w:t xml:space="preserve">No vector master for 3HUE. </w:t>
      </w:r>
      <w:r>
        <w:rPr>
          <w:rFonts w:ascii="Calibri" w:cs="Calibri" w:eastAsia="Calibri" w:hAnsi="Calibri"/>
          <w:color w:val="3D4A5A"/>
          <w:sz w:val="20"/>
          <w:szCs w:val="20"/>
        </w:rPr>
        <w:t xml:space="preserve">AiVRIC ships a real SVG. 3HUE’s master is a raster AVIF. That caps print, signage, embroidery and large-format use.</w:t>
      </w:r>
    </w:p>
    <w:p>
      <w:pPr>
        <w:pStyle w:val="ListParagraph"/>
        <w:numPr>
          <w:ilvl w:val="0"/>
          <w:numId w:val="1"/>
        </w:numPr>
        <w:spacing w:after="70" w:line="270"/>
      </w:pPr>
      <w:r>
        <w:rPr>
          <w:rFonts w:ascii="Calibri" w:cs="Calibri" w:eastAsia="Calibri" w:hAnsi="Calibri"/>
          <w:b/>
          <w:bCs/>
          <w:color w:val="14202E"/>
          <w:sz w:val="20"/>
          <w:szCs w:val="20"/>
        </w:rPr>
        <w:t xml:space="preserve">Missing logo variants. </w:t>
      </w:r>
      <w:r>
        <w:rPr>
          <w:rFonts w:ascii="Calibri" w:cs="Calibri" w:eastAsia="Calibri" w:hAnsi="Calibri"/>
          <w:color w:val="3D4A5A"/>
          <w:sz w:val="20"/>
          <w:szCs w:val="20"/>
        </w:rPr>
        <w:t xml:space="preserve">No white or single-colour knockout, no stacked lockup, no mark-only version. At the 90px the header uses, the arcs close up and the consulting line stops resolving.</w:t>
      </w:r>
    </w:p>
    <w:p>
      <w:pPr>
        <w:pStyle w:val="ListParagraph"/>
        <w:numPr>
          <w:ilvl w:val="0"/>
          <w:numId w:val="1"/>
        </w:numPr>
        <w:spacing w:after="70" w:line="270"/>
      </w:pPr>
      <w:r>
        <w:rPr>
          <w:rFonts w:ascii="Calibri" w:cs="Calibri" w:eastAsia="Calibri" w:hAnsi="Calibri"/>
          <w:b/>
          <w:bCs/>
          <w:color w:val="14202E"/>
          <w:sz w:val="20"/>
          <w:szCs w:val="20"/>
        </w:rPr>
        <w:t xml:space="preserve">The service marks carry their own background. </w:t>
      </w:r>
      <w:r>
        <w:rPr>
          <w:rFonts w:ascii="Calibri" w:cs="Calibri" w:eastAsia="Calibri" w:hAnsi="Calibri"/>
          <w:color w:val="3D4A5A"/>
          <w:sz w:val="20"/>
          <w:szCs w:val="20"/>
        </w:rPr>
        <w:t xml:space="preserve">ISG, OPS and ITG are flat PNGs with the navy tile, gradient and glow baked in. They cannot be placed on a light surface, recoloured, or used at small sizes.</w:t>
      </w:r>
    </w:p>
    <w:p>
      <w:pPr>
        <w:pStyle w:val="ListParagraph"/>
        <w:numPr>
          <w:ilvl w:val="0"/>
          <w:numId w:val="1"/>
        </w:numPr>
        <w:spacing w:after="70" w:line="270"/>
      </w:pPr>
      <w:r>
        <w:rPr>
          <w:rFonts w:ascii="Calibri" w:cs="Calibri" w:eastAsia="Calibri" w:hAnsi="Calibri"/>
          <w:b/>
          <w:bCs/>
          <w:color w:val="14202E"/>
          <w:sz w:val="20"/>
          <w:szCs w:val="20"/>
        </w:rPr>
        <w:t xml:space="preserve">Two contrast failures in the light theme. </w:t>
      </w:r>
      <w:r>
        <w:rPr>
          <w:rFonts w:ascii="Calibri" w:cs="Calibri" w:eastAsia="Calibri" w:hAnsi="Calibri"/>
          <w:color w:val="3D4A5A"/>
          <w:sz w:val="20"/>
          <w:szCs w:val="20"/>
        </w:rPr>
        <w:t xml:space="preserve">Brand blue on white is 2.68:1 and fails at every text size; the link colour #2f86b3 is 4.05:1, just under the body-text bar. Since the site defaults to dark this is largely latent, but it will surface in any light-background PDF, email or print piece.</w:t>
      </w:r>
    </w:p>
    <w:p>
      <w:pPr>
        <w:pStyle w:val="ListParagraph"/>
        <w:numPr>
          <w:ilvl w:val="0"/>
          <w:numId w:val="1"/>
        </w:numPr>
        <w:spacing w:after="70" w:line="270"/>
      </w:pPr>
      <w:r>
        <w:rPr>
          <w:rFonts w:ascii="Calibri" w:cs="Calibri" w:eastAsia="Calibri" w:hAnsi="Calibri"/>
          <w:b/>
          <w:bCs/>
          <w:color w:val="14202E"/>
          <w:sz w:val="20"/>
          <w:szCs w:val="20"/>
        </w:rPr>
        <w:t xml:space="preserve">A token named for the wrong colour. </w:t>
      </w:r>
      <w:r>
        <w:rPr>
          <w:rFonts w:ascii="Calibri" w:cs="Calibri" w:eastAsia="Calibri" w:hAnsi="Calibri"/>
          <w:color w:val="3D4A5A"/>
          <w:sz w:val="20"/>
          <w:szCs w:val="20"/>
        </w:rPr>
        <w:t xml:space="preserve">AiVRIC’s stylesheet overrides Bootstrap’s --bs-red to #09D3FB, a cyan. Anything Bootstrap renders through its danger channel will come out cyan — a genuine usability risk on a product whose job is signalling severity.</w:t>
      </w:r>
    </w:p>
    <w:p>
      <w:r>
        <w:br w:type="page"/>
      </w:r>
    </w:p>
    <w:p>
      <w:pPr>
        <w:spacing w:after="40" w:before="200"/>
      </w:pPr>
      <w:r>
        <w:rPr>
          <w:rFonts w:ascii="Calibri" w:cs="Calibri" w:eastAsia="Calibri" w:hAnsi="Calibri"/>
          <w:b/>
          <w:bCs/>
          <w:color w:val="44A8D9"/>
          <w:sz w:val="18"/>
          <w:szCs w:val="18"/>
        </w:rPr>
        <w:t xml:space="preserve">PART V</w:t>
      </w:r>
    </w:p>
    <w:p>
      <w:pPr>
        <w:pStyle w:val="Heading1"/>
        <w:spacing w:after="120" w:before="0"/>
      </w:pPr>
      <w:r>
        <w:rPr>
          <w:rFonts w:ascii="Calibri" w:cs="Calibri" w:eastAsia="Calibri" w:hAnsi="Calibri"/>
          <w:b/>
          <w:bCs/>
          <w:color w:val="14202E"/>
          <w:sz w:val="40"/>
          <w:szCs w:val="40"/>
        </w:rPr>
        <w:t xml:space="preserve">Demand and Search</w:t>
      </w:r>
    </w:p>
    <w:p>
      <w:pPr>
        <w:spacing w:after="200" w:before="0" w:line="276"/>
      </w:pPr>
      <w:r>
        <w:rPr>
          <w:rFonts w:ascii="Calibri" w:cs="Calibri" w:eastAsia="Calibri" w:hAnsi="Calibri"/>
          <w:color w:val="3D4A5A"/>
          <w:sz w:val="21"/>
          <w:szCs w:val="21"/>
        </w:rPr>
        <w:t xml:space="preserve">Where the buyers actually are, what they type, and why 3HUE currently cannot be found — including the technical faults that make every content investment worthless until they are fixed.</w:t>
      </w:r>
    </w:p>
    <w:p>
      <w:pPr>
        <w:pBdr>
          <w:bottom w:val="single" w:color="D3DCE6" w:sz="6" w:space="1"/>
        </w:pBdr>
        <w:spacing w:after="160" w:before="0"/>
      </w:pPr>
      <w:r>
        <w:rPr>
          <w:rFonts w:ascii="Calibri" w:cs="Calibri" w:eastAsia="Calibri" w:hAnsi="Calibri"/>
          <w:color w:val="3D4A5A"/>
          <w:sz w:val="2"/>
          <w:szCs w:val="2"/>
        </w:rPr>
        <w:t xml:space="preserve"/>
      </w:r>
    </w:p>
    <w:p>
      <w:pPr>
        <w:pStyle w:val="Heading2"/>
        <w:keepNext/>
        <w:spacing w:after="40" w:before="340"/>
      </w:pPr>
      <w:r>
        <w:rPr>
          <w:rFonts w:ascii="Calibri" w:cs="Calibri" w:eastAsia="Calibri" w:hAnsi="Calibri"/>
          <w:b/>
          <w:bCs/>
          <w:color w:val="2F86B3"/>
          <w:sz w:val="28"/>
          <w:szCs w:val="28"/>
        </w:rPr>
        <w:t xml:space="preserve">27. The website: four faults that block everything</w:t>
      </w:r>
    </w:p>
    <w:p>
      <w:pPr>
        <w:keepNext/>
        <w:spacing w:after="140" w:before="0" w:line="276"/>
      </w:pPr>
      <w:r>
        <w:rPr>
          <w:rFonts w:ascii="Calibri" w:cs="Calibri" w:eastAsia="Calibri" w:hAnsi="Calibri"/>
          <w:i/>
          <w:iCs/>
          <w:color w:val="6B7A8C"/>
          <w:sz w:val="19"/>
          <w:szCs w:val="19"/>
        </w:rPr>
        <w:t xml:space="preserve">Each verified directly rather than inferred. Together they explain why a site with real content and eleven years of history does not surface for its own company name.</w:t>
      </w:r>
    </w:p>
    <w:p>
      <w:pPr>
        <w:pStyle w:val="Heading3"/>
        <w:keepNext/>
        <w:spacing w:after="80" w:before="240"/>
      </w:pPr>
      <w:r>
        <w:rPr>
          <w:rFonts w:ascii="Calibri" w:cs="Calibri" w:eastAsia="Calibri" w:hAnsi="Calibri"/>
          <w:b/>
          <w:bCs/>
          <w:color w:val="14202E"/>
          <w:sz w:val="22"/>
          <w:szCs w:val="22"/>
        </w:rPr>
        <w:t xml:space="preserve">27.1  Two different websites are running on the same domain</w:t>
      </w:r>
    </w:p>
    <w:p>
      <w:pPr>
        <w:spacing w:after="120" w:before="0" w:line="276"/>
      </w:pPr>
      <w:r>
        <w:rPr>
          <w:rFonts w:ascii="Calibri" w:cs="Calibri" w:eastAsia="Calibri" w:hAnsi="Calibri"/>
          <w:b/>
          <w:bCs/>
          <w:color w:val="14202E"/>
          <w:sz w:val="20"/>
          <w:szCs w:val="20"/>
        </w:rPr>
        <w:t xml:space="preserve">Verified 4 September 2026 by fetching both hostnames. </w:t>
      </w:r>
      <w:r>
        <w:rPr>
          <w:rFonts w:ascii="Calibri" w:cs="Calibri" w:eastAsia="Calibri" w:hAnsi="Calibri"/>
          <w:color w:val="3D4A5A"/>
          <w:sz w:val="20"/>
          <w:szCs w:val="20"/>
        </w:rPr>
        <w:t xml:space="preserve">3hue.net serves the current site, headline “Enterprise AI needs a governing layer. We build it.” www.3hue.net serves a different, older site, headline “My Organization needs…”, offering Virtual Chief Digital Officer, Virtual CIO and Strategic Technology Advisor — with no mention of AI governance anywhere on the page. This is not a redirect. Two live sites, two positionings, one domain.</w:t>
      </w:r>
    </w:p>
    <w:tbl>
      <w:tblPr>
        <w:tblW w:type="dxa" w:w="10080"/>
        <w:tblBorders>
          <w:top w:val="none"/>
          <w:left w:val="single" w:color="A4462F" w:sz="18"/>
          <w:bottom w:val="none"/>
          <w:right w:val="none"/>
          <w:insideH w:val="none"/>
          <w:insideV w:val="none"/>
        </w:tblBorders>
      </w:tblPr>
      <w:tblGrid>
        <w:gridCol w:w="10080"/>
      </w:tblGrid>
      <w:tr>
        <w:trPr>
          <w:cantSplit/>
        </w:trPr>
        <w:tc>
          <w:tcPr>
            <w:tcW w:type="dxa" w:w="10080"/>
            <w:tcBorders>
              <w:top w:val="none"/>
              <w:left w:val="none"/>
              <w:bottom w:val="none"/>
              <w:right w:val="none"/>
            </w:tcBorders>
            <w:shd w:fill="FBEEEA" w:color="auto" w:val="clear"/>
            <w:tcMar>
              <w:top w:type="dxa" w:w="130"/>
              <w:left w:type="dxa" w:w="180"/>
              <w:bottom w:type="dxa" w:w="130"/>
              <w:right w:type="dxa" w:w="160"/>
            </w:tcMar>
          </w:tcPr>
          <w:p>
            <w:pPr>
              <w:keepNext/>
              <w:spacing w:after="60" w:before="0" w:line="260"/>
            </w:pPr>
            <w:r>
              <w:rPr>
                <w:rFonts w:ascii="Calibri" w:cs="Calibri" w:eastAsia="Calibri" w:hAnsi="Calibri"/>
                <w:b/>
                <w:bCs/>
                <w:color w:val="A4462F"/>
                <w:sz w:val="19"/>
                <w:szCs w:val="19"/>
              </w:rPr>
              <w:t xml:space="preserve">Why this is the single most important finding in the report</w:t>
            </w:r>
          </w:p>
          <w:p>
            <w:pPr>
              <w:spacing w:after="40" w:before="0" w:line="265"/>
            </w:pPr>
            <w:r>
              <w:rPr>
                <w:rFonts w:ascii="Calibri" w:cs="Calibri" w:eastAsia="Calibri" w:hAnsi="Calibri"/>
                <w:color w:val="3D4A5A"/>
                <w:sz w:val="19"/>
                <w:szCs w:val="19"/>
              </w:rPr>
              <w:t xml:space="preserve">Google is indexing both. Authority splits between them and neither wins. Any prospect who types the www — which is what most people type — lands on positioning the company moved away from. This alone is enough to explain the brand-search failure. The fix is to pick the apex as canonical, 301 every www URL to its apex equivalent, and retire the old site. It is a one-afternoon job with more impact than any content in this report.</w:t>
            </w:r>
          </w:p>
        </w:tc>
      </w:tr>
    </w:tbl>
    <w:p>
      <w:pPr>
        <w:pStyle w:val="Heading3"/>
        <w:keepNext/>
        <w:spacing w:after="80" w:before="240"/>
      </w:pPr>
      <w:r>
        <w:rPr>
          <w:rFonts w:ascii="Calibri" w:cs="Calibri" w:eastAsia="Calibri" w:hAnsi="Calibri"/>
          <w:b/>
          <w:bCs/>
          <w:color w:val="14202E"/>
          <w:sz w:val="22"/>
          <w:szCs w:val="22"/>
        </w:rPr>
        <w:t xml:space="preserve">27.2  There is no sitemap</w:t>
      </w:r>
    </w:p>
    <w:p>
      <w:pPr>
        <w:spacing w:after="120" w:before="0" w:line="276"/>
      </w:pPr>
      <w:r>
        <w:rPr>
          <w:rFonts w:ascii="Calibri" w:cs="Calibri" w:eastAsia="Calibri" w:hAnsi="Calibri"/>
          <w:color w:val="3D4A5A"/>
          <w:sz w:val="20"/>
          <w:szCs w:val="20"/>
        </w:rPr>
        <w:t xml:space="preserve">3hue.net/sitemap.xml returns HTTP 404, as does sitemap_index.xml. With no sitemap and no internal-link discipline, Google crawls what it stumbles across — which currently includes /user-login/, /user-dashboard/ and /get-a-quote/ surfacing above actual service pages.</w:t>
      </w:r>
    </w:p>
    <w:p>
      <w:pPr>
        <w:pStyle w:val="Heading3"/>
        <w:keepNext/>
        <w:spacing w:after="80" w:before="240"/>
      </w:pPr>
      <w:r>
        <w:rPr>
          <w:rFonts w:ascii="Calibri" w:cs="Calibri" w:eastAsia="Calibri" w:hAnsi="Calibri"/>
          <w:b/>
          <w:bCs/>
          <w:color w:val="14202E"/>
          <w:sz w:val="22"/>
          <w:szCs w:val="22"/>
        </w:rPr>
        <w:t xml:space="preserve">27.3  No canonical tags, and no structured data at all</w:t>
      </w:r>
    </w:p>
    <w:p>
      <w:pPr>
        <w:spacing w:after="120" w:before="0" w:line="276"/>
      </w:pPr>
      <w:r>
        <w:rPr>
          <w:rFonts w:ascii="Calibri" w:cs="Calibri" w:eastAsia="Calibri" w:hAnsi="Calibri"/>
          <w:color w:val="3D4A5A"/>
          <w:sz w:val="20"/>
          <w:szCs w:val="20"/>
        </w:rPr>
        <w:t xml:space="preserve">The homepage carries no rel=canonical, no og:url, and zero JSON-LD blocks — no Organization schema, no LocalBusiness, no Service markup.</w:t>
      </w:r>
    </w:p>
    <w:p>
      <w:pPr>
        <w:spacing w:after="120" w:before="0" w:line="276"/>
      </w:pPr>
      <w:r>
        <w:rPr>
          <w:rFonts w:ascii="Calibri" w:cs="Calibri" w:eastAsia="Calibri" w:hAnsi="Calibri"/>
          <w:b/>
          <w:bCs/>
          <w:color w:val="14202E"/>
          <w:sz w:val="20"/>
          <w:szCs w:val="20"/>
        </w:rPr>
        <w:t xml:space="preserve">This directly causes the brand problem. </w:t>
      </w:r>
      <w:r>
        <w:rPr>
          <w:rFonts w:ascii="Calibri" w:cs="Calibri" w:eastAsia="Calibri" w:hAnsi="Calibri"/>
          <w:color w:val="3D4A5A"/>
          <w:sz w:val="20"/>
          <w:szCs w:val="20"/>
        </w:rPr>
        <w:t xml:space="preserve">With no Organization schema and no sitemap, search engines have nothing authoritative tying the domain to the company name, so the brand SERP defaults to whoever does have structured data. That is why page one for “3HUE Executive Consulting” is Crunchbase, ZoomInfo, D&amp;B, BBB, LeadIQ and SignalHire — and the company’s own website does not appear.</w:t>
      </w:r>
    </w:p>
    <w:p>
      <w:pPr>
        <w:pStyle w:val="Heading3"/>
        <w:keepNext/>
        <w:spacing w:after="80" w:before="240"/>
      </w:pPr>
      <w:r>
        <w:rPr>
          <w:rFonts w:ascii="Calibri" w:cs="Calibri" w:eastAsia="Calibri" w:hAnsi="Calibri"/>
          <w:b/>
          <w:bCs/>
          <w:color w:val="14202E"/>
          <w:sz w:val="22"/>
          <w:szCs w:val="22"/>
        </w:rPr>
        <w:t xml:space="preserve">27.4  Dated availability copy, and a CTA with nothing behind it</w:t>
      </w:r>
    </w:p>
    <w:p>
      <w:pPr>
        <w:spacing w:after="120" w:before="0" w:line="276"/>
      </w:pPr>
      <w:r>
        <w:rPr>
          <w:rFonts w:ascii="Calibri" w:cs="Calibri" w:eastAsia="Calibri" w:hAnsi="Calibri"/>
          <w:color w:val="3D4A5A"/>
          <w:sz w:val="20"/>
          <w:szCs w:val="20"/>
        </w:rPr>
        <w:t xml:space="preserve">Two further faults verified on 4 September 2026. The homepage still advertises “Now accepting Q2 2026 Snapshot engagements” — a quarter that ended on 30 June. And the primary call to action, “Book the AI Snapshot,” goes straight to Calendly rather than to a landing page, so there is no form, no UTM capture into a CRM, and no qualification before someone holds time on the founder’s calendar.</w:t>
      </w:r>
    </w:p>
    <w:p>
      <w:pPr>
        <w:spacing w:after="160" w:before="0" w:line="276"/>
      </w:pPr>
      <w:r>
        <w:rPr>
          <w:rFonts w:ascii="Calibri" w:cs="Calibri" w:eastAsia="Calibri" w:hAnsi="Calibri"/>
          <w:i/>
          <w:iCs/>
          <w:color w:val="6B7A8C"/>
          <w:sz w:val="16"/>
          <w:szCs w:val="16"/>
        </w:rPr>
        <w:t xml:space="preserve">A separate finding, now resolved but worth watching: both this research and an earlier pass hit CERTIFICATE_VERIFY_FAILED on www.3hue.net. A direct TLS check now shows valid certificates on both hostnames — a wildcard *.3hue.net expiring 3 October 2026. Set a renewal reminder for late September; an expired certificate on the hostname people actually type is a silent, total outage.</w:t>
      </w:r>
    </w:p>
    <w:tbl>
      <w:tblPr>
        <w:tblW w:type="dxa" w:w="10080"/>
        <w:tblBorders>
          <w:top w:val="none"/>
          <w:left w:val="single" w:color="A8781F" w:sz="18"/>
          <w:bottom w:val="none"/>
          <w:right w:val="none"/>
          <w:insideH w:val="none"/>
          <w:insideV w:val="none"/>
        </w:tblBorders>
      </w:tblPr>
      <w:tblGrid>
        <w:gridCol w:w="10080"/>
      </w:tblGrid>
      <w:tr>
        <w:trPr>
          <w:cantSplit/>
        </w:trPr>
        <w:tc>
          <w:tcPr>
            <w:tcW w:type="dxa" w:w="10080"/>
            <w:tcBorders>
              <w:top w:val="none"/>
              <w:left w:val="none"/>
              <w:bottom w:val="none"/>
              <w:right w:val="none"/>
            </w:tcBorders>
            <w:shd w:fill="FBF4E6" w:color="auto" w:val="clear"/>
            <w:tcMar>
              <w:top w:type="dxa" w:w="130"/>
              <w:left w:type="dxa" w:w="180"/>
              <w:bottom w:type="dxa" w:w="130"/>
              <w:right w:type="dxa" w:w="160"/>
            </w:tcMar>
          </w:tcPr>
          <w:p>
            <w:pPr>
              <w:keepNext/>
              <w:spacing w:after="60" w:before="0" w:line="260"/>
            </w:pPr>
            <w:r>
              <w:rPr>
                <w:rFonts w:ascii="Calibri" w:cs="Calibri" w:eastAsia="Calibri" w:hAnsi="Calibri"/>
                <w:b/>
                <w:bCs/>
                <w:color w:val="A8781F"/>
                <w:sz w:val="19"/>
                <w:szCs w:val="19"/>
              </w:rPr>
              <w:t xml:space="preserve">The sequence</w:t>
            </w:r>
          </w:p>
          <w:p>
            <w:pPr>
              <w:spacing w:after="40" w:before="0" w:line="265"/>
            </w:pPr>
            <w:r>
              <w:rPr>
                <w:rFonts w:ascii="Calibri" w:cs="Calibri" w:eastAsia="Calibri" w:hAnsi="Calibri"/>
                <w:color w:val="3D4A5A"/>
                <w:sz w:val="19"/>
                <w:szCs w:val="19"/>
              </w:rPr>
              <w:t xml:space="preserve">Consolidate www to apex, publish a sitemap, add canonical tags and Organization schema, strip the Q2 2026 strings, build the landing page, and remove the login and dashboard URLs from the index. Then start on content. Publishing pages onto this foundation is pouring water into a bucket with no bottom.</w:t>
            </w:r>
          </w:p>
        </w:tc>
      </w:tr>
    </w:tbl>
    <w:p>
      <w:pPr>
        <w:pStyle w:val="Heading2"/>
        <w:keepNext/>
        <w:spacing w:after="40" w:before="340"/>
      </w:pPr>
      <w:r>
        <w:rPr>
          <w:rFonts w:ascii="Calibri" w:cs="Calibri" w:eastAsia="Calibri" w:hAnsi="Calibri"/>
          <w:b/>
          <w:bCs/>
          <w:color w:val="2F86B3"/>
          <w:sz w:val="28"/>
          <w:szCs w:val="28"/>
        </w:rPr>
        <w:t xml:space="preserve">28. The keyword map</w:t>
      </w:r>
    </w:p>
    <w:p>
      <w:pPr>
        <w:keepNext/>
        <w:spacing w:after="140" w:before="0" w:line="276"/>
      </w:pPr>
      <w:r>
        <w:rPr>
          <w:rFonts w:ascii="Calibri" w:cs="Calibri" w:eastAsia="Calibri" w:hAnsi="Calibri"/>
          <w:i/>
          <w:iCs/>
          <w:color w:val="6B7A8C"/>
          <w:sz w:val="19"/>
          <w:szCs w:val="19"/>
        </w:rPr>
        <w:t xml:space="preserve">Live SERP observation across 40+ queries, September 2026. Every verdict is based on who you would actually be competing against.</w:t>
      </w:r>
    </w:p>
    <w:tbl>
      <w:tblPr>
        <w:tblW w:type="dxa" w:w="10080"/>
        <w:tblBorders>
          <w:top w:val="none"/>
          <w:left w:val="single" w:color="A8781F" w:sz="18"/>
          <w:bottom w:val="none"/>
          <w:right w:val="none"/>
          <w:insideH w:val="none"/>
          <w:insideV w:val="none"/>
        </w:tblBorders>
      </w:tblPr>
      <w:tblGrid>
        <w:gridCol w:w="10080"/>
      </w:tblGrid>
      <w:tr>
        <w:trPr>
          <w:cantSplit/>
        </w:trPr>
        <w:tc>
          <w:tcPr>
            <w:tcW w:type="dxa" w:w="10080"/>
            <w:tcBorders>
              <w:top w:val="none"/>
              <w:left w:val="none"/>
              <w:bottom w:val="none"/>
              <w:right w:val="none"/>
            </w:tcBorders>
            <w:shd w:fill="FBF4E6" w:color="auto" w:val="clear"/>
            <w:tcMar>
              <w:top w:type="dxa" w:w="130"/>
              <w:left w:type="dxa" w:w="180"/>
              <w:bottom w:type="dxa" w:w="130"/>
              <w:right w:type="dxa" w:w="160"/>
            </w:tcMar>
          </w:tcPr>
          <w:p>
            <w:pPr>
              <w:keepNext/>
              <w:spacing w:after="60" w:before="0" w:line="260"/>
            </w:pPr>
            <w:r>
              <w:rPr>
                <w:rFonts w:ascii="Calibri" w:cs="Calibri" w:eastAsia="Calibri" w:hAnsi="Calibri"/>
                <w:b/>
                <w:bCs/>
                <w:color w:val="A8781F"/>
                <w:sz w:val="19"/>
                <w:szCs w:val="19"/>
              </w:rPr>
              <w:t xml:space="preserve">What this section does not contain</w:t>
            </w:r>
          </w:p>
          <w:p>
            <w:pPr>
              <w:spacing w:after="40" w:before="0" w:line="265"/>
            </w:pPr>
            <w:r>
              <w:rPr>
                <w:rFonts w:ascii="Calibri" w:cs="Calibri" w:eastAsia="Calibri" w:hAnsi="Calibri"/>
                <w:color w:val="3D4A5A"/>
                <w:sz w:val="19"/>
                <w:szCs w:val="19"/>
              </w:rPr>
              <w:t xml:space="preserve">Search volume, keyword difficulty and CPC. No volume tool was available for web search, and inventing those numbers would be worse than omitting them. Several high-verdict terms may have low volume and are flagged where likely. The winnability read is based on direct observation of who ranks, which a tool will not change.</w:t>
            </w:r>
          </w:p>
        </w:tc>
      </w:tr>
    </w:tbl>
    <w:p>
      <w:pPr>
        <w:pStyle w:val="Heading3"/>
        <w:keepNext/>
        <w:spacing w:after="80" w:before="240"/>
      </w:pPr>
      <w:r>
        <w:rPr>
          <w:rFonts w:ascii="Calibri" w:cs="Calibri" w:eastAsia="Calibri" w:hAnsi="Calibri"/>
          <w:b/>
          <w:bCs/>
          <w:color w:val="14202E"/>
          <w:sz w:val="22"/>
          <w:szCs w:val="22"/>
        </w:rPr>
        <w:t xml:space="preserve">28.1  Priority targets</w:t>
      </w:r>
    </w:p>
    <w:tbl>
      <w:tblPr>
        <w:tblW w:type="dxa" w:w="10080"/>
        <w:tblBorders>
          <w:top w:val="single" w:color="D3DCE6" w:sz="2"/>
          <w:left w:val="none"/>
          <w:bottom w:val="single" w:color="D3DCE6" w:sz="2"/>
          <w:right w:val="none"/>
          <w:insideH w:val="single" w:color="D3DCE6" w:sz="2"/>
          <w:insideV w:val="none"/>
        </w:tblBorders>
      </w:tblPr>
      <w:tblGrid>
        <w:gridCol w:w="403"/>
        <w:gridCol w:w="2621"/>
        <w:gridCol w:w="3830"/>
        <w:gridCol w:w="1008"/>
        <w:gridCol w:w="2218"/>
      </w:tblGrid>
      <w:tr>
        <w:trPr>
          <w:cantSplit/>
          <w:tblHeader/>
        </w:trPr>
        <w:tc>
          <w:tcPr>
            <w:tcW w:type="dxa" w:w="403"/>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w:t>
            </w:r>
          </w:p>
        </w:tc>
        <w:tc>
          <w:tcPr>
            <w:tcW w:type="dxa" w:w="2621"/>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Target</w:t>
            </w:r>
          </w:p>
        </w:tc>
        <w:tc>
          <w:tcPr>
            <w:tcW w:type="dxa" w:w="3830"/>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Why it is winnable</w:t>
            </w:r>
          </w:p>
        </w:tc>
        <w:tc>
          <w:tcPr>
            <w:tcW w:type="dxa" w:w="1008"/>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ICP</w:t>
            </w:r>
          </w:p>
        </w:tc>
        <w:tc>
          <w:tcPr>
            <w:tcW w:type="dxa" w:w="2218"/>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Page to build</w:t>
            </w:r>
          </w:p>
        </w:tc>
      </w:tr>
      <w:tr>
        <w:trPr>
          <w:cantSplit/>
        </w:trPr>
        <w:tc>
          <w:tcPr>
            <w:tcW w:type="dxa" w:w="403"/>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01</w:t>
            </w:r>
          </w:p>
        </w:tc>
        <w:tc>
          <w:tcPr>
            <w:tcW w:type="dxa" w:w="262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how to pass an enterprise vendor security review</w:t>
            </w:r>
          </w:p>
        </w:tc>
        <w:tc>
          <w:tcPr>
            <w:tcW w:type="dxa" w:w="383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Page one is 100% small independents — zero platforms, zero big consultancies. The exact Hue 01 trigger moment.</w:t>
            </w:r>
          </w:p>
        </w:tc>
        <w:tc>
          <w:tcPr>
            <w:tcW w:type="dxa" w:w="100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1</w:t>
            </w:r>
          </w:p>
        </w:tc>
        <w:tc>
          <w:tcPr>
            <w:tcW w:type="dxa" w:w="221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New guide. The single best opportunity found.</w:t>
            </w:r>
          </w:p>
        </w:tc>
      </w:tr>
      <w:tr>
        <w:trPr>
          <w:cantSplit/>
        </w:trPr>
        <w:tc>
          <w:tcPr>
            <w:tcW w:type="dxa" w:w="403"/>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02</w:t>
            </w:r>
          </w:p>
        </w:tc>
        <w:tc>
          <w:tcPr>
            <w:tcW w:type="dxa" w:w="262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compliance consultant vs software</w:t>
            </w:r>
          </w:p>
        </w:tc>
        <w:tc>
          <w:tcPr>
            <w:tcW w:type="dxa" w:w="3830"/>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All small firms ranking. Frames 3HUE’s actual wedge against the platforms rather than competing with them.</w:t>
            </w:r>
          </w:p>
        </w:tc>
        <w:tc>
          <w:tcPr>
            <w:tcW w:type="dxa" w:w="1008"/>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1</w:t>
            </w:r>
          </w:p>
        </w:tc>
        <w:tc>
          <w:tcPr>
            <w:tcW w:type="dxa" w:w="2218"/>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New comparison page.</w:t>
            </w:r>
          </w:p>
        </w:tc>
      </w:tr>
      <w:tr>
        <w:trPr>
          <w:cantSplit/>
        </w:trPr>
        <w:tc>
          <w:tcPr>
            <w:tcW w:type="dxa" w:w="403"/>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03</w:t>
            </w:r>
          </w:p>
        </w:tc>
        <w:tc>
          <w:tcPr>
            <w:tcW w:type="dxa" w:w="262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SOC 2 consultant Miami / South Florida</w:t>
            </w:r>
          </w:p>
        </w:tc>
        <w:tc>
          <w:tcPr>
            <w:tcW w:type="dxa" w:w="383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Weakest SERP relative to commercial value in the whole study — one firm holds four slots with templated doorway pages, plus two offshore certification mills.</w:t>
            </w:r>
          </w:p>
        </w:tc>
        <w:tc>
          <w:tcPr>
            <w:tcW w:type="dxa" w:w="100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1 · local</w:t>
            </w:r>
          </w:p>
        </w:tc>
        <w:tc>
          <w:tcPr>
            <w:tcW w:type="dxa" w:w="221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One substantive local page.</w:t>
            </w:r>
          </w:p>
        </w:tc>
      </w:tr>
      <w:tr>
        <w:trPr>
          <w:cantSplit/>
        </w:trPr>
        <w:tc>
          <w:tcPr>
            <w:tcW w:type="dxa" w:w="403"/>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04</w:t>
            </w:r>
          </w:p>
        </w:tc>
        <w:tc>
          <w:tcPr>
            <w:tcW w:type="dxa" w:w="262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ISO 42001 consultant</w:t>
            </w:r>
          </w:p>
        </w:tc>
        <w:tc>
          <w:tcPr>
            <w:tcW w:type="dxa" w:w="3830"/>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Six-result SERP with a LinkedIn post at #1 and two competitors outside the US. An open land-grab that will close.</w:t>
            </w:r>
          </w:p>
        </w:tc>
        <w:tc>
          <w:tcPr>
            <w:tcW w:type="dxa" w:w="1008"/>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1 · 3</w:t>
            </w:r>
          </w:p>
        </w:tc>
        <w:tc>
          <w:tcPr>
            <w:tcW w:type="dxa" w:w="2218"/>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Service page + implementation guide.</w:t>
            </w:r>
          </w:p>
        </w:tc>
      </w:tr>
      <w:tr>
        <w:trPr>
          <w:cantSplit/>
        </w:trPr>
        <w:tc>
          <w:tcPr>
            <w:tcW w:type="dxa" w:w="403"/>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05</w:t>
            </w:r>
          </w:p>
        </w:tc>
        <w:tc>
          <w:tcPr>
            <w:tcW w:type="dxa" w:w="262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customer requires SOC 2</w:t>
            </w:r>
          </w:p>
        </w:tc>
        <w:tc>
          <w:tcPr>
            <w:tcW w:type="dxa" w:w="383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Proven: a small firm ranks against Vanta and A-LIGN with the exact phrase as its URL slug.</w:t>
            </w:r>
          </w:p>
        </w:tc>
        <w:tc>
          <w:tcPr>
            <w:tcW w:type="dxa" w:w="100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1</w:t>
            </w:r>
          </w:p>
        </w:tc>
        <w:tc>
          <w:tcPr>
            <w:tcW w:type="dxa" w:w="221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Page built on the query itself.</w:t>
            </w:r>
          </w:p>
        </w:tc>
      </w:tr>
      <w:tr>
        <w:trPr>
          <w:cantSplit/>
        </w:trPr>
        <w:tc>
          <w:tcPr>
            <w:tcW w:type="dxa" w:w="403"/>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06</w:t>
            </w:r>
          </w:p>
        </w:tc>
        <w:tc>
          <w:tcPr>
            <w:tcW w:type="dxa" w:w="262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vCISO Fort Lauderdale</w:t>
            </w:r>
          </w:p>
        </w:tc>
        <w:tc>
          <w:tcPr>
            <w:tcW w:type="dxa" w:w="3830"/>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Exactly one genuine local competitor. The rest is national boilerplate, an events listing and a LinkedIn profile. Home market.</w:t>
            </w:r>
          </w:p>
        </w:tc>
        <w:tc>
          <w:tcPr>
            <w:tcW w:type="dxa" w:w="1008"/>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1 · local</w:t>
            </w:r>
          </w:p>
        </w:tc>
        <w:tc>
          <w:tcPr>
            <w:tcW w:type="dxa" w:w="2218"/>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Local service page.</w:t>
            </w:r>
          </w:p>
        </w:tc>
      </w:tr>
      <w:tr>
        <w:trPr>
          <w:cantSplit/>
        </w:trPr>
        <w:tc>
          <w:tcPr>
            <w:tcW w:type="dxa" w:w="403"/>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07</w:t>
            </w:r>
          </w:p>
        </w:tc>
        <w:tc>
          <w:tcPr>
            <w:tcW w:type="dxa" w:w="262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vCISO cost / pricing</w:t>
            </w:r>
          </w:p>
        </w:tc>
        <w:tc>
          <w:tcPr>
            <w:tcW w:type="dxa" w:w="383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Small firms own it and publish real numbers ($3K–$20K/month). Late-stage commercial intent. Requires publishing pricing.</w:t>
            </w:r>
          </w:p>
        </w:tc>
        <w:tc>
          <w:tcPr>
            <w:tcW w:type="dxa" w:w="100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1 · 2</w:t>
            </w:r>
          </w:p>
        </w:tc>
        <w:tc>
          <w:tcPr>
            <w:tcW w:type="dxa" w:w="221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Pricing page.</w:t>
            </w:r>
          </w:p>
        </w:tc>
      </w:tr>
      <w:tr>
        <w:trPr>
          <w:cantSplit/>
        </w:trPr>
        <w:tc>
          <w:tcPr>
            <w:tcW w:type="dxa" w:w="403"/>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08</w:t>
            </w:r>
          </w:p>
        </w:tc>
        <w:tc>
          <w:tcPr>
            <w:tcW w:type="dxa" w:w="262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portfolio company cybersecurity program</w:t>
            </w:r>
          </w:p>
        </w:tc>
        <w:tc>
          <w:tcPr>
            <w:tcW w:type="dxa" w:w="3830"/>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Only two real players, and a press release ranks page one — a reliable weak-SERP signal.</w:t>
            </w:r>
          </w:p>
        </w:tc>
        <w:tc>
          <w:tcPr>
            <w:tcW w:type="dxa" w:w="1008"/>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2</w:t>
            </w:r>
          </w:p>
        </w:tc>
        <w:tc>
          <w:tcPr>
            <w:tcW w:type="dxa" w:w="2218"/>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PE service page.</w:t>
            </w:r>
          </w:p>
        </w:tc>
      </w:tr>
      <w:tr>
        <w:trPr>
          <w:cantSplit/>
        </w:trPr>
        <w:tc>
          <w:tcPr>
            <w:tcW w:type="dxa" w:w="403"/>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09</w:t>
            </w:r>
          </w:p>
        </w:tc>
        <w:tc>
          <w:tcPr>
            <w:tcW w:type="dxa" w:w="262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SOC 2 readiness consultant</w:t>
            </w:r>
          </w:p>
        </w:tc>
        <w:tc>
          <w:tcPr>
            <w:tcW w:type="dxa" w:w="383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No platform vendor appears at all. Peer-size consultancies and regional CPA firms hold page one. Core service, transactional intent.</w:t>
            </w:r>
          </w:p>
        </w:tc>
        <w:tc>
          <w:tcPr>
            <w:tcW w:type="dxa" w:w="100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1</w:t>
            </w:r>
          </w:p>
        </w:tc>
        <w:tc>
          <w:tcPr>
            <w:tcW w:type="dxa" w:w="221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Primary service page.</w:t>
            </w:r>
          </w:p>
        </w:tc>
      </w:tr>
      <w:tr>
        <w:trPr>
          <w:cantSplit/>
        </w:trPr>
        <w:tc>
          <w:tcPr>
            <w:tcW w:type="dxa" w:w="403"/>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10</w:t>
            </w:r>
          </w:p>
        </w:tc>
        <w:tc>
          <w:tcPr>
            <w:tcW w:type="dxa" w:w="262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private equity cybersecurity due diligence</w:t>
            </w:r>
          </w:p>
        </w:tc>
        <w:tc>
          <w:tcPr>
            <w:tcW w:type="dxa" w:w="3830"/>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Thin SERP, no platforms, and the checklist format is a natural gated asset for sponsor capture.</w:t>
            </w:r>
          </w:p>
        </w:tc>
        <w:tc>
          <w:tcPr>
            <w:tcW w:type="dxa" w:w="1008"/>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2</w:t>
            </w:r>
          </w:p>
        </w:tc>
        <w:tc>
          <w:tcPr>
            <w:tcW w:type="dxa" w:w="2218"/>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Guide + downloadable checklist.</w:t>
            </w:r>
          </w:p>
        </w:tc>
      </w:tr>
      <w:tr>
        <w:trPr>
          <w:cantSplit/>
        </w:trPr>
        <w:tc>
          <w:tcPr>
            <w:tcW w:type="dxa" w:w="403"/>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11</w:t>
            </w:r>
          </w:p>
        </w:tc>
        <w:tc>
          <w:tcPr>
            <w:tcW w:type="dxa" w:w="262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MRA remediation for community banks</w:t>
            </w:r>
          </w:p>
        </w:tc>
        <w:tc>
          <w:tcPr>
            <w:tcW w:type="dxa" w:w="383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Highest value per visit found anywhere. All existing content serves money-center banks or is think-tank commentary. Nobody serves a $2B bank with a finding. Likely low volume.</w:t>
            </w:r>
          </w:p>
        </w:tc>
        <w:tc>
          <w:tcPr>
            <w:tcW w:type="dxa" w:w="100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3</w:t>
            </w:r>
          </w:p>
        </w:tc>
        <w:tc>
          <w:tcPr>
            <w:tcW w:type="dxa" w:w="221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Narrow, expert page.</w:t>
            </w:r>
          </w:p>
        </w:tc>
      </w:tr>
      <w:tr>
        <w:trPr>
          <w:cantSplit/>
        </w:trPr>
        <w:tc>
          <w:tcPr>
            <w:tcW w:type="dxa" w:w="403"/>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12</w:t>
            </w:r>
          </w:p>
        </w:tc>
        <w:tc>
          <w:tcPr>
            <w:tcW w:type="dxa" w:w="262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FFIEC cybersecurity assessment consultant</w:t>
            </w:r>
          </w:p>
        </w:tc>
        <w:tc>
          <w:tcPr>
            <w:tcW w:type="dxa" w:w="3830"/>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Mixed field with no incumbent — and ranking pages still describe the CAT as current after its sunset.</w:t>
            </w:r>
          </w:p>
        </w:tc>
        <w:tc>
          <w:tcPr>
            <w:tcW w:type="dxa" w:w="1008"/>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3</w:t>
            </w:r>
          </w:p>
        </w:tc>
        <w:tc>
          <w:tcPr>
            <w:tcW w:type="dxa" w:w="2218"/>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Page answering what replaces the CAT.</w:t>
            </w:r>
          </w:p>
        </w:tc>
      </w:tr>
      <w:tr>
        <w:trPr>
          <w:cantSplit/>
        </w:trPr>
        <w:tc>
          <w:tcPr>
            <w:tcW w:type="dxa" w:w="403"/>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13</w:t>
            </w:r>
          </w:p>
        </w:tc>
        <w:tc>
          <w:tcPr>
            <w:tcW w:type="dxa" w:w="262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cybersecurity consultant South Florida</w:t>
            </w:r>
          </w:p>
        </w:tc>
        <w:tc>
          <w:tcPr>
            <w:tcW w:type="dxa" w:w="383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Every incumbent is a managed-IT shop. None sells audit readiness or governance — 3HUE reads as categorically different.</w:t>
            </w:r>
          </w:p>
        </w:tc>
        <w:tc>
          <w:tcPr>
            <w:tcW w:type="dxa" w:w="100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all · local</w:t>
            </w:r>
          </w:p>
        </w:tc>
        <w:tc>
          <w:tcPr>
            <w:tcW w:type="dxa" w:w="221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Local landing page.</w:t>
            </w:r>
          </w:p>
        </w:tc>
      </w:tr>
      <w:tr>
        <w:trPr>
          <w:cantSplit/>
        </w:trPr>
        <w:tc>
          <w:tcPr>
            <w:tcW w:type="dxa" w:w="403"/>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14</w:t>
            </w:r>
          </w:p>
        </w:tc>
        <w:tc>
          <w:tcPr>
            <w:tcW w:type="dxa" w:w="262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SOC 2 readiness vs audit</w:t>
            </w:r>
          </w:p>
        </w:tc>
        <w:tc>
          <w:tcPr>
            <w:tcW w:type="dxa" w:w="3830"/>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Platforms lead but five small firms rank beneath them. Needs a sharp angle, not another explainer.</w:t>
            </w:r>
          </w:p>
        </w:tc>
        <w:tc>
          <w:tcPr>
            <w:tcW w:type="dxa" w:w="1008"/>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1</w:t>
            </w:r>
          </w:p>
        </w:tc>
        <w:tc>
          <w:tcPr>
            <w:tcW w:type="dxa" w:w="2218"/>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Opinionated guide.</w:t>
            </w:r>
          </w:p>
        </w:tc>
      </w:tr>
      <w:tr>
        <w:trPr>
          <w:cantSplit/>
        </w:trPr>
        <w:tc>
          <w:tcPr>
            <w:tcW w:type="dxa" w:w="403"/>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15</w:t>
            </w:r>
          </w:p>
        </w:tc>
        <w:tc>
          <w:tcPr>
            <w:tcW w:type="dxa" w:w="262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cyber insurance claim denied / requirements</w:t>
            </w:r>
          </w:p>
        </w:tc>
        <w:tc>
          <w:tcPr>
            <w:tcW w:type="dxa" w:w="383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Entirely small MSPs and boutiques, no funded vendors. Strong awareness content, weaker direct conversion.</w:t>
            </w:r>
          </w:p>
        </w:tc>
        <w:tc>
          <w:tcPr>
            <w:tcW w:type="dxa" w:w="100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1 · 3</w:t>
            </w:r>
          </w:p>
        </w:tc>
        <w:tc>
          <w:tcPr>
            <w:tcW w:type="dxa" w:w="221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Guide tied to the attestation-gap story.</w:t>
            </w:r>
          </w:p>
        </w:tc>
      </w:tr>
    </w:tbl>
    <w:p>
      <w:pPr>
        <w:spacing w:after="180" w:before="0" w:line="276"/>
      </w:pPr>
      <w:r>
        <w:rPr>
          <w:rFonts w:ascii="Calibri" w:cs="Calibri" w:eastAsia="Calibri" w:hAnsi="Calibri"/>
          <w:color w:val="3D4A5A"/>
          <w:sz w:val="8"/>
          <w:szCs w:val="8"/>
        </w:rPr>
        <w:t xml:space="preserve"/>
      </w:r>
    </w:p>
    <w:p>
      <w:pPr>
        <w:spacing w:after="160" w:before="0" w:line="276"/>
      </w:pPr>
      <w:r>
        <w:rPr>
          <w:rFonts w:ascii="Calibri" w:cs="Calibri" w:eastAsia="Calibri" w:hAnsi="Calibri"/>
          <w:i/>
          <w:iCs/>
          <w:color w:val="6B7A8C"/>
          <w:sz w:val="16"/>
          <w:szCs w:val="16"/>
        </w:rPr>
        <w:t xml:space="preserve">On the local terms: these results were US-default, not geo-localized. For local queries the map pack usually dominates and is invisible here, so Google Business Profile strength is probably the real ranking factor and was not assessed. Claim and complete the profile before writing local pages.</w:t>
      </w:r>
    </w:p>
    <w:p>
      <w:pPr>
        <w:pStyle w:val="Heading3"/>
        <w:keepNext/>
        <w:spacing w:after="80" w:before="240"/>
      </w:pPr>
      <w:r>
        <w:rPr>
          <w:rFonts w:ascii="Calibri" w:cs="Calibri" w:eastAsia="Calibri" w:hAnsi="Calibri"/>
          <w:b/>
          <w:bCs/>
          <w:color w:val="14202E"/>
          <w:sz w:val="22"/>
          <w:szCs w:val="22"/>
        </w:rPr>
        <w:t xml:space="preserve">28.2  The full map</w:t>
      </w:r>
    </w:p>
    <w:p>
      <w:pPr>
        <w:spacing w:after="120" w:before="0" w:line="276"/>
      </w:pPr>
      <w:r>
        <w:rPr>
          <w:rFonts w:ascii="Calibri" w:cs="Calibri" w:eastAsia="Calibri" w:hAnsi="Calibri"/>
          <w:color w:val="3D4A5A"/>
          <w:sz w:val="20"/>
          <w:szCs w:val="20"/>
        </w:rPr>
        <w:t xml:space="preserve">Every cluster searched, with what was actually on page one. Read the competition column as the real verdict.</w:t>
      </w:r>
    </w:p>
    <w:tbl>
      <w:tblPr>
        <w:tblW w:type="dxa" w:w="10080"/>
        <w:tblBorders>
          <w:top w:val="single" w:color="D3DCE6" w:sz="2"/>
          <w:left w:val="none"/>
          <w:bottom w:val="single" w:color="D3DCE6" w:sz="2"/>
          <w:right w:val="none"/>
          <w:insideH w:val="single" w:color="D3DCE6" w:sz="2"/>
          <w:insideV w:val="none"/>
        </w:tblBorders>
      </w:tblPr>
      <w:tblGrid>
        <w:gridCol w:w="2419"/>
        <w:gridCol w:w="4435"/>
        <w:gridCol w:w="1512"/>
        <w:gridCol w:w="1714"/>
      </w:tblGrid>
      <w:tr>
        <w:trPr>
          <w:cantSplit/>
          <w:tblHeader/>
        </w:trPr>
        <w:tc>
          <w:tcPr>
            <w:tcW w:type="dxa" w:w="2419"/>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Query</w:t>
            </w:r>
          </w:p>
        </w:tc>
        <w:tc>
          <w:tcPr>
            <w:tcW w:type="dxa" w:w="4435"/>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Competition observed</w:t>
            </w:r>
          </w:p>
        </w:tc>
        <w:tc>
          <w:tcPr>
            <w:tcW w:type="dxa" w:w="1512"/>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Intent</w:t>
            </w:r>
          </w:p>
        </w:tc>
        <w:tc>
          <w:tcPr>
            <w:tcW w:type="dxa" w:w="1714"/>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Verdict</w:t>
            </w:r>
          </w:p>
        </w:tc>
      </w:tr>
      <w:tr>
        <w:trPr>
          <w:cantSplit/>
        </w:trPr>
        <w:tc>
          <w:tcPr>
            <w:tcW w:type="dxa" w:w="241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SOC 2 readiness consultant</w:t>
            </w:r>
          </w:p>
        </w:tc>
        <w:tc>
          <w:tcPr>
            <w:tcW w:type="dxa" w:w="4435"/>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LRQA, GuidePoint, RSI, IS Partners, BD Emerson, Silent Sector, BeachFleischman. No Vanta, Drata or Secureframe.</w:t>
            </w:r>
          </w:p>
        </w:tc>
        <w:tc>
          <w:tcPr>
            <w:tcW w:type="dxa" w:w="1512"/>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Transactional</w:t>
            </w:r>
          </w:p>
        </w:tc>
        <w:tc>
          <w:tcPr>
            <w:tcW w:type="dxa" w:w="1714"/>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2F8562"/>
                <w:sz w:val="18"/>
                <w:szCs w:val="18"/>
              </w:rPr>
              <w:t xml:space="preserve">Winnable</w:t>
            </w:r>
          </w:p>
        </w:tc>
      </w:tr>
      <w:tr>
        <w:trPr>
          <w:cantSplit/>
        </w:trPr>
        <w:tc>
          <w:tcPr>
            <w:tcW w:type="dxa" w:w="2419"/>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SOC 2 Type 2 readiness services</w:t>
            </w:r>
          </w:p>
        </w:tc>
        <w:tc>
          <w:tcPr>
            <w:tcW w:type="dxa" w:w="4435"/>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Same consultancy and CPA mix, one platform (TrustCloud). SOCReports leads with “Fixed Fees.”</w:t>
            </w:r>
          </w:p>
        </w:tc>
        <w:tc>
          <w:tcPr>
            <w:tcW w:type="dxa" w:w="1512"/>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Transactional</w:t>
            </w:r>
          </w:p>
        </w:tc>
        <w:tc>
          <w:tcPr>
            <w:tcW w:type="dxa" w:w="1714"/>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2F8562"/>
                <w:sz w:val="18"/>
                <w:szCs w:val="18"/>
              </w:rPr>
              <w:t xml:space="preserve">Winnable</w:t>
            </w:r>
          </w:p>
        </w:tc>
      </w:tr>
      <w:tr>
        <w:trPr>
          <w:cantSplit/>
        </w:trPr>
        <w:tc>
          <w:tcPr>
            <w:tcW w:type="dxa" w:w="241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SOC 2 consultant for startups</w:t>
            </w:r>
          </w:p>
        </w:tc>
        <w:tc>
          <w:tcPr>
            <w:tcW w:type="dxa" w:w="4435"/>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Directories and listicles — Bright Defense, soc2auditors.org, Toptal.</w:t>
            </w:r>
          </w:p>
        </w:tc>
        <w:tc>
          <w:tcPr>
            <w:tcW w:type="dxa" w:w="1512"/>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Commercial</w:t>
            </w:r>
          </w:p>
        </w:tc>
        <w:tc>
          <w:tcPr>
            <w:tcW w:type="dxa" w:w="1714"/>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A8781F"/>
                <w:sz w:val="18"/>
                <w:szCs w:val="18"/>
              </w:rPr>
              <w:t xml:space="preserve">Get listed instead</w:t>
            </w:r>
          </w:p>
        </w:tc>
      </w:tr>
      <w:tr>
        <w:trPr>
          <w:cantSplit/>
        </w:trPr>
        <w:tc>
          <w:tcPr>
            <w:tcW w:type="dxa" w:w="2419"/>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SOC 2 readiness vs audit</w:t>
            </w:r>
          </w:p>
        </w:tc>
        <w:tc>
          <w:tcPr>
            <w:tcW w:type="dxa" w:w="4435"/>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Vanta, Secureframe, Drata on top; five small independents beneath.</w:t>
            </w:r>
          </w:p>
        </w:tc>
        <w:tc>
          <w:tcPr>
            <w:tcW w:type="dxa" w:w="1512"/>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Informational</w:t>
            </w:r>
          </w:p>
        </w:tc>
        <w:tc>
          <w:tcPr>
            <w:tcW w:type="dxa" w:w="1714"/>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A8781F"/>
                <w:sz w:val="18"/>
                <w:szCs w:val="18"/>
              </w:rPr>
              <w:t xml:space="preserve">Contested</w:t>
            </w:r>
          </w:p>
        </w:tc>
      </w:tr>
      <w:tr>
        <w:trPr>
          <w:cantSplit/>
        </w:trPr>
        <w:tc>
          <w:tcPr>
            <w:tcW w:type="dxa" w:w="241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ISO 27001 consultant United States</w:t>
            </w:r>
          </w:p>
        </w:tc>
        <w:tc>
          <w:tcPr>
            <w:tcW w:type="dxa" w:w="4435"/>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Directories and offshore certification mills. A platform’s blog ranks #1 for a consultant query.</w:t>
            </w:r>
          </w:p>
        </w:tc>
        <w:tc>
          <w:tcPr>
            <w:tcW w:type="dxa" w:w="1512"/>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Commercial</w:t>
            </w:r>
          </w:p>
        </w:tc>
        <w:tc>
          <w:tcPr>
            <w:tcW w:type="dxa" w:w="1714"/>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A4462F"/>
                <w:sz w:val="18"/>
                <w:szCs w:val="18"/>
              </w:rPr>
              <w:t xml:space="preserve">Skip</w:t>
            </w:r>
          </w:p>
        </w:tc>
      </w:tr>
      <w:tr>
        <w:trPr>
          <w:cantSplit/>
        </w:trPr>
        <w:tc>
          <w:tcPr>
            <w:tcW w:type="dxa" w:w="2419"/>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vCISO services</w:t>
            </w:r>
          </w:p>
        </w:tc>
        <w:tc>
          <w:tcPr>
            <w:tcW w:type="dxa" w:w="4435"/>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Kroll, eSentire, PKF O’Connor Davies, plus an exact-match domain.</w:t>
            </w:r>
          </w:p>
        </w:tc>
        <w:tc>
          <w:tcPr>
            <w:tcW w:type="dxa" w:w="1512"/>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Mixed</w:t>
            </w:r>
          </w:p>
        </w:tc>
        <w:tc>
          <w:tcPr>
            <w:tcW w:type="dxa" w:w="1714"/>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A4462F"/>
                <w:sz w:val="18"/>
                <w:szCs w:val="18"/>
              </w:rPr>
              <w:t xml:space="preserve">Not winnable</w:t>
            </w:r>
          </w:p>
        </w:tc>
      </w:tr>
      <w:tr>
        <w:trPr>
          <w:cantSplit/>
        </w:trPr>
        <w:tc>
          <w:tcPr>
            <w:tcW w:type="dxa" w:w="241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virtual CISO for small business</w:t>
            </w:r>
          </w:p>
        </w:tc>
        <w:tc>
          <w:tcPr>
            <w:tcW w:type="dxa" w:w="4435"/>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Small MSPs and boutiques. Thin SERP — only six results.</w:t>
            </w:r>
          </w:p>
        </w:tc>
        <w:tc>
          <w:tcPr>
            <w:tcW w:type="dxa" w:w="1512"/>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Commercial</w:t>
            </w:r>
          </w:p>
        </w:tc>
        <w:tc>
          <w:tcPr>
            <w:tcW w:type="dxa" w:w="1714"/>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A8781F"/>
                <w:sz w:val="18"/>
                <w:szCs w:val="18"/>
              </w:rPr>
              <w:t xml:space="preserve">Winnable, off-ICP</w:t>
            </w:r>
          </w:p>
        </w:tc>
      </w:tr>
      <w:tr>
        <w:trPr>
          <w:cantSplit/>
        </w:trPr>
        <w:tc>
          <w:tcPr>
            <w:tcW w:type="dxa" w:w="2419"/>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fractional CISO services</w:t>
            </w:r>
          </w:p>
        </w:tc>
        <w:tc>
          <w:tcPr>
            <w:tcW w:type="dxa" w:w="4435"/>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fractionalciso.com owns it. Plus Cynomi.</w:t>
            </w:r>
          </w:p>
        </w:tc>
        <w:tc>
          <w:tcPr>
            <w:tcW w:type="dxa" w:w="1512"/>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Commercial</w:t>
            </w:r>
          </w:p>
        </w:tc>
        <w:tc>
          <w:tcPr>
            <w:tcW w:type="dxa" w:w="1714"/>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A4462F"/>
                <w:sz w:val="18"/>
                <w:szCs w:val="18"/>
              </w:rPr>
              <w:t xml:space="preserve">Not winnable</w:t>
            </w:r>
          </w:p>
        </w:tc>
      </w:tr>
      <w:tr>
        <w:trPr>
          <w:cantSplit/>
        </w:trPr>
        <w:tc>
          <w:tcPr>
            <w:tcW w:type="dxa" w:w="241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outsourced CISO</w:t>
            </w:r>
          </w:p>
        </w:tc>
        <w:tc>
          <w:tcPr>
            <w:tcW w:type="dxa" w:w="4435"/>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RSM plus an exact-match domain. SERP is geographically incoherent.</w:t>
            </w:r>
          </w:p>
        </w:tc>
        <w:tc>
          <w:tcPr>
            <w:tcW w:type="dxa" w:w="1512"/>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Mixed</w:t>
            </w:r>
          </w:p>
        </w:tc>
        <w:tc>
          <w:tcPr>
            <w:tcW w:type="dxa" w:w="1714"/>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A4462F"/>
                <w:sz w:val="18"/>
                <w:szCs w:val="18"/>
              </w:rPr>
              <w:t xml:space="preserve">Not winnable</w:t>
            </w:r>
          </w:p>
        </w:tc>
      </w:tr>
      <w:tr>
        <w:trPr>
          <w:cantSplit/>
        </w:trPr>
        <w:tc>
          <w:tcPr>
            <w:tcW w:type="dxa" w:w="2419"/>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vCISO cost</w:t>
            </w:r>
          </w:p>
        </w:tc>
        <w:tc>
          <w:tcPr>
            <w:tcW w:type="dxa" w:w="4435"/>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Small and mid firms throughout — SideChannel, BD Emerson, Workstreet, Essendis. Cynomi the only funded player.</w:t>
            </w:r>
          </w:p>
        </w:tc>
        <w:tc>
          <w:tcPr>
            <w:tcW w:type="dxa" w:w="1512"/>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Commercial, late</w:t>
            </w:r>
          </w:p>
        </w:tc>
        <w:tc>
          <w:tcPr>
            <w:tcW w:type="dxa" w:w="1714"/>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2F8562"/>
                <w:sz w:val="18"/>
                <w:szCs w:val="18"/>
              </w:rPr>
              <w:t xml:space="preserve">Winnable</w:t>
            </w:r>
          </w:p>
        </w:tc>
      </w:tr>
      <w:tr>
        <w:trPr>
          <w:cantSplit/>
        </w:trPr>
        <w:tc>
          <w:tcPr>
            <w:tcW w:type="dxa" w:w="241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NIST CSF 2.0 implementation</w:t>
            </w:r>
          </w:p>
        </w:tc>
        <w:tc>
          <w:tcPr>
            <w:tcW w:type="dxa" w:w="4435"/>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NIST.gov holds the top, then security-product content marketing.</w:t>
            </w:r>
          </w:p>
        </w:tc>
        <w:tc>
          <w:tcPr>
            <w:tcW w:type="dxa" w:w="1512"/>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Informational</w:t>
            </w:r>
          </w:p>
        </w:tc>
        <w:tc>
          <w:tcPr>
            <w:tcW w:type="dxa" w:w="1714"/>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A4462F"/>
                <w:sz w:val="18"/>
                <w:szCs w:val="18"/>
              </w:rPr>
              <w:t xml:space="preserve">Skip</w:t>
            </w:r>
          </w:p>
        </w:tc>
      </w:tr>
      <w:tr>
        <w:trPr>
          <w:cantSplit/>
        </w:trPr>
        <w:tc>
          <w:tcPr>
            <w:tcW w:type="dxa" w:w="2419"/>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NIST CSF for small business</w:t>
            </w:r>
          </w:p>
        </w:tc>
        <w:tc>
          <w:tcPr>
            <w:tcW w:type="dxa" w:w="4435"/>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NIST.gov occupies four of nine slots.</w:t>
            </w:r>
          </w:p>
        </w:tc>
        <w:tc>
          <w:tcPr>
            <w:tcW w:type="dxa" w:w="1512"/>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Informational</w:t>
            </w:r>
          </w:p>
        </w:tc>
        <w:tc>
          <w:tcPr>
            <w:tcW w:type="dxa" w:w="1714"/>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A4462F"/>
                <w:sz w:val="18"/>
                <w:szCs w:val="18"/>
              </w:rPr>
              <w:t xml:space="preserve">Skip</w:t>
            </w:r>
          </w:p>
        </w:tc>
      </w:tr>
      <w:tr>
        <w:trPr>
          <w:cantSplit/>
        </w:trPr>
        <w:tc>
          <w:tcPr>
            <w:tcW w:type="dxa" w:w="241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NIST 800-171 compliance services</w:t>
            </w:r>
          </w:p>
        </w:tc>
        <w:tc>
          <w:tcPr>
            <w:tcW w:type="dxa" w:w="4435"/>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Mid-size consultancies plus university IT pages leaking in.</w:t>
            </w:r>
          </w:p>
        </w:tc>
        <w:tc>
          <w:tcPr>
            <w:tcW w:type="dxa" w:w="1512"/>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Transactional</w:t>
            </w:r>
          </w:p>
        </w:tc>
        <w:tc>
          <w:tcPr>
            <w:tcW w:type="dxa" w:w="1714"/>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A8781F"/>
                <w:sz w:val="18"/>
                <w:szCs w:val="18"/>
              </w:rPr>
              <w:t xml:space="preserve">Winnable, off-ICP</w:t>
            </w:r>
          </w:p>
        </w:tc>
      </w:tr>
      <w:tr>
        <w:trPr>
          <w:cantSplit/>
        </w:trPr>
        <w:tc>
          <w:tcPr>
            <w:tcW w:type="dxa" w:w="2419"/>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NIST 800-171 vs CMMC</w:t>
            </w:r>
          </w:p>
        </w:tc>
        <w:tc>
          <w:tcPr>
            <w:tcW w:type="dxa" w:w="4435"/>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Almost entirely small independents — one Vanta page, six boutiques.</w:t>
            </w:r>
          </w:p>
        </w:tc>
        <w:tc>
          <w:tcPr>
            <w:tcW w:type="dxa" w:w="1512"/>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Informational</w:t>
            </w:r>
          </w:p>
        </w:tc>
        <w:tc>
          <w:tcPr>
            <w:tcW w:type="dxa" w:w="1714"/>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A8781F"/>
                <w:sz w:val="18"/>
                <w:szCs w:val="18"/>
              </w:rPr>
              <w:t xml:space="preserve">Winnable, off-ICP</w:t>
            </w:r>
          </w:p>
        </w:tc>
      </w:tr>
      <w:tr>
        <w:trPr>
          <w:cantSplit/>
        </w:trPr>
        <w:tc>
          <w:tcPr>
            <w:tcW w:type="dxa" w:w="241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ISO 27001 vs SOC 2</w:t>
            </w:r>
          </w:p>
        </w:tc>
        <w:tc>
          <w:tcPr>
            <w:tcW w:type="dxa" w:w="4435"/>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Five funded platforms on page one. The most saturated comparison in the category.</w:t>
            </w:r>
          </w:p>
        </w:tc>
        <w:tc>
          <w:tcPr>
            <w:tcW w:type="dxa" w:w="1512"/>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Informational</w:t>
            </w:r>
          </w:p>
        </w:tc>
        <w:tc>
          <w:tcPr>
            <w:tcW w:type="dxa" w:w="1714"/>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A4462F"/>
                <w:sz w:val="18"/>
                <w:szCs w:val="18"/>
              </w:rPr>
              <w:t xml:space="preserve">Not winnable</w:t>
            </w:r>
          </w:p>
        </w:tc>
      </w:tr>
      <w:tr>
        <w:trPr>
          <w:cantSplit/>
        </w:trPr>
        <w:tc>
          <w:tcPr>
            <w:tcW w:type="dxa" w:w="2419"/>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customer requires SOC 2</w:t>
            </w:r>
          </w:p>
        </w:tc>
        <w:tc>
          <w:tcPr>
            <w:tcW w:type="dxa" w:w="4435"/>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EisnerAmper, A-LIGN, Vanta — but Hotman Group ranks with the exact phrase as its slug.</w:t>
            </w:r>
          </w:p>
        </w:tc>
        <w:tc>
          <w:tcPr>
            <w:tcW w:type="dxa" w:w="1512"/>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Transactional</w:t>
            </w:r>
          </w:p>
        </w:tc>
        <w:tc>
          <w:tcPr>
            <w:tcW w:type="dxa" w:w="1714"/>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2F8562"/>
                <w:sz w:val="18"/>
                <w:szCs w:val="18"/>
              </w:rPr>
              <w:t xml:space="preserve">Winnable</w:t>
            </w:r>
          </w:p>
        </w:tc>
      </w:tr>
      <w:tr>
        <w:trPr>
          <w:cantSplit/>
        </w:trPr>
        <w:tc>
          <w:tcPr>
            <w:tcW w:type="dxa" w:w="241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how to pass enterprise vendor security review</w:t>
            </w:r>
          </w:p>
        </w:tc>
        <w:tc>
          <w:tcPr>
            <w:tcW w:type="dxa" w:w="4435"/>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100% small independents. Zero platforms, zero consultancies.</w:t>
            </w:r>
          </w:p>
        </w:tc>
        <w:tc>
          <w:tcPr>
            <w:tcW w:type="dxa" w:w="1512"/>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Transactional</w:t>
            </w:r>
          </w:p>
        </w:tc>
        <w:tc>
          <w:tcPr>
            <w:tcW w:type="dxa" w:w="1714"/>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2F8562"/>
                <w:sz w:val="18"/>
                <w:szCs w:val="18"/>
              </w:rPr>
              <w:t xml:space="preserve">Best found</w:t>
            </w:r>
          </w:p>
        </w:tc>
      </w:tr>
      <w:tr>
        <w:trPr>
          <w:cantSplit/>
        </w:trPr>
        <w:tc>
          <w:tcPr>
            <w:tcW w:type="dxa" w:w="2419"/>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how to answer security questionnaires</w:t>
            </w:r>
          </w:p>
        </w:tc>
        <w:tc>
          <w:tcPr>
            <w:tcW w:type="dxa" w:w="4435"/>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OneTrust, UpGuard, Vanta.</w:t>
            </w:r>
          </w:p>
        </w:tc>
        <w:tc>
          <w:tcPr>
            <w:tcW w:type="dxa" w:w="1512"/>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Informational</w:t>
            </w:r>
          </w:p>
        </w:tc>
        <w:tc>
          <w:tcPr>
            <w:tcW w:type="dxa" w:w="1714"/>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A4462F"/>
                <w:sz w:val="18"/>
                <w:szCs w:val="18"/>
              </w:rPr>
              <w:t xml:space="preserve">Not winnable</w:t>
            </w:r>
          </w:p>
        </w:tc>
      </w:tr>
      <w:tr>
        <w:trPr>
          <w:cantSplit/>
        </w:trPr>
        <w:tc>
          <w:tcPr>
            <w:tcW w:type="dxa" w:w="241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security questionnaire response service</w:t>
            </w:r>
          </w:p>
        </w:tc>
        <w:tc>
          <w:tcPr>
            <w:tcW w:type="dxa" w:w="4435"/>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Resolves to automation software — OneTrust, Hyperproof, SecurityPal, Skypher.</w:t>
            </w:r>
          </w:p>
        </w:tc>
        <w:tc>
          <w:tcPr>
            <w:tcW w:type="dxa" w:w="1512"/>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Mismatched</w:t>
            </w:r>
          </w:p>
        </w:tc>
        <w:tc>
          <w:tcPr>
            <w:tcW w:type="dxa" w:w="1714"/>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A4462F"/>
                <w:sz w:val="18"/>
                <w:szCs w:val="18"/>
              </w:rPr>
              <w:t xml:space="preserve">Not winnable</w:t>
            </w:r>
          </w:p>
        </w:tc>
      </w:tr>
      <w:tr>
        <w:trPr>
          <w:cantSplit/>
        </w:trPr>
        <w:tc>
          <w:tcPr>
            <w:tcW w:type="dxa" w:w="2419"/>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cyber insurance requirements checklist</w:t>
            </w:r>
          </w:p>
        </w:tc>
        <w:tc>
          <w:tcPr>
            <w:tcW w:type="dxa" w:w="4435"/>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Security-product vendors, brokers, small MSPs. No platforms, no big consultancies.</w:t>
            </w:r>
          </w:p>
        </w:tc>
        <w:tc>
          <w:tcPr>
            <w:tcW w:type="dxa" w:w="1512"/>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Informational</w:t>
            </w:r>
          </w:p>
        </w:tc>
        <w:tc>
          <w:tcPr>
            <w:tcW w:type="dxa" w:w="1714"/>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2F8562"/>
                <w:sz w:val="18"/>
                <w:szCs w:val="18"/>
              </w:rPr>
              <w:t xml:space="preserve">Winnable</w:t>
            </w:r>
          </w:p>
        </w:tc>
      </w:tr>
      <w:tr>
        <w:trPr>
          <w:cantSplit/>
        </w:trPr>
        <w:tc>
          <w:tcPr>
            <w:tcW w:type="dxa" w:w="241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cyber insurance claim denied controls</w:t>
            </w:r>
          </w:p>
        </w:tc>
        <w:tc>
          <w:tcPr>
            <w:tcW w:type="dxa" w:w="4435"/>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Entirely small MSPs and boutiques. Not one funded vendor.</w:t>
            </w:r>
          </w:p>
        </w:tc>
        <w:tc>
          <w:tcPr>
            <w:tcW w:type="dxa" w:w="1512"/>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Informational</w:t>
            </w:r>
          </w:p>
        </w:tc>
        <w:tc>
          <w:tcPr>
            <w:tcW w:type="dxa" w:w="1714"/>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2F8562"/>
                <w:sz w:val="18"/>
                <w:szCs w:val="18"/>
              </w:rPr>
              <w:t xml:space="preserve">Winnable</w:t>
            </w:r>
          </w:p>
        </w:tc>
      </w:tr>
      <w:tr>
        <w:trPr>
          <w:cantSplit/>
        </w:trPr>
        <w:tc>
          <w:tcPr>
            <w:tcW w:type="dxa" w:w="2419"/>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cyber insurance MFA requirement</w:t>
            </w:r>
          </w:p>
        </w:tc>
        <w:tc>
          <w:tcPr>
            <w:tcW w:type="dxa" w:w="4435"/>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Thales, BIO-key, miniOrange defending product terms.</w:t>
            </w:r>
          </w:p>
        </w:tc>
        <w:tc>
          <w:tcPr>
            <w:tcW w:type="dxa" w:w="1512"/>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Product</w:t>
            </w:r>
          </w:p>
        </w:tc>
        <w:tc>
          <w:tcPr>
            <w:tcW w:type="dxa" w:w="1714"/>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A4462F"/>
                <w:sz w:val="18"/>
                <w:szCs w:val="18"/>
              </w:rPr>
              <w:t xml:space="preserve">Wrong buyer</w:t>
            </w:r>
          </w:p>
        </w:tc>
      </w:tr>
      <w:tr>
        <w:trPr>
          <w:cantSplit/>
        </w:trPr>
        <w:tc>
          <w:tcPr>
            <w:tcW w:type="dxa" w:w="241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private equity cybersecurity due diligence</w:t>
            </w:r>
          </w:p>
        </w:tc>
        <w:tc>
          <w:tcPr>
            <w:tcW w:type="dxa" w:w="4435"/>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Thin — six results. Cherry Bekaert, CrossCountry, then small firms and an insurer.</w:t>
            </w:r>
          </w:p>
        </w:tc>
        <w:tc>
          <w:tcPr>
            <w:tcW w:type="dxa" w:w="1512"/>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Commercial</w:t>
            </w:r>
          </w:p>
        </w:tc>
        <w:tc>
          <w:tcPr>
            <w:tcW w:type="dxa" w:w="1714"/>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2F8562"/>
                <w:sz w:val="18"/>
                <w:szCs w:val="18"/>
              </w:rPr>
              <w:t xml:space="preserve">Winnable</w:t>
            </w:r>
          </w:p>
        </w:tc>
      </w:tr>
      <w:tr>
        <w:trPr>
          <w:cantSplit/>
        </w:trPr>
        <w:tc>
          <w:tcPr>
            <w:tcW w:type="dxa" w:w="2419"/>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portfolio company cybersecurity program</w:t>
            </w:r>
          </w:p>
        </w:tc>
        <w:tc>
          <w:tcPr>
            <w:tcW w:type="dxa" w:w="4435"/>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Only ACA and Abacus are real. A press release ranks page one.</w:t>
            </w:r>
          </w:p>
        </w:tc>
        <w:tc>
          <w:tcPr>
            <w:tcW w:type="dxa" w:w="1512"/>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Commercial</w:t>
            </w:r>
          </w:p>
        </w:tc>
        <w:tc>
          <w:tcPr>
            <w:tcW w:type="dxa" w:w="1714"/>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2F8562"/>
                <w:sz w:val="18"/>
                <w:szCs w:val="18"/>
              </w:rPr>
              <w:t xml:space="preserve">Highly winnable</w:t>
            </w:r>
          </w:p>
        </w:tc>
      </w:tr>
      <w:tr>
        <w:trPr>
          <w:cantSplit/>
        </w:trPr>
        <w:tc>
          <w:tcPr>
            <w:tcW w:type="dxa" w:w="241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cyber diligence checklist private equity</w:t>
            </w:r>
          </w:p>
        </w:tc>
        <w:tc>
          <w:tcPr>
            <w:tcW w:type="dxa" w:w="4435"/>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One Big-Four-adjacent (BDO); otherwise small specialists.</w:t>
            </w:r>
          </w:p>
        </w:tc>
        <w:tc>
          <w:tcPr>
            <w:tcW w:type="dxa" w:w="1512"/>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Transactional</w:t>
            </w:r>
          </w:p>
        </w:tc>
        <w:tc>
          <w:tcPr>
            <w:tcW w:type="dxa" w:w="1714"/>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2F8562"/>
                <w:sz w:val="18"/>
                <w:szCs w:val="18"/>
              </w:rPr>
              <w:t xml:space="preserve">Winnable</w:t>
            </w:r>
          </w:p>
        </w:tc>
      </w:tr>
      <w:tr>
        <w:trPr>
          <w:cantSplit/>
        </w:trPr>
        <w:tc>
          <w:tcPr>
            <w:tcW w:type="dxa" w:w="2419"/>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FFIEC cybersecurity assessment consultant</w:t>
            </w:r>
          </w:p>
        </w:tc>
        <w:tc>
          <w:tcPr>
            <w:tcW w:type="dxa" w:w="4435"/>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GRC software plus small consultancies. No dominant incumbent. Pages are stale on the CAT sunset.</w:t>
            </w:r>
          </w:p>
        </w:tc>
        <w:tc>
          <w:tcPr>
            <w:tcW w:type="dxa" w:w="1512"/>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Transactional</w:t>
            </w:r>
          </w:p>
        </w:tc>
        <w:tc>
          <w:tcPr>
            <w:tcW w:type="dxa" w:w="1714"/>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2F8562"/>
                <w:sz w:val="18"/>
                <w:szCs w:val="18"/>
              </w:rPr>
              <w:t xml:space="preserve">Winnable</w:t>
            </w:r>
          </w:p>
        </w:tc>
      </w:tr>
      <w:tr>
        <w:trPr>
          <w:cantSplit/>
        </w:trPr>
        <w:tc>
          <w:tcPr>
            <w:tcW w:type="dxa" w:w="241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community bank cybersecurity compliance</w:t>
            </w:r>
          </w:p>
        </w:tc>
        <w:tc>
          <w:tcPr>
            <w:tcW w:type="dxa" w:w="4435"/>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Core banking vendors, trade bodies, regional CPAs. A 2022 Fed article still ranks.</w:t>
            </w:r>
          </w:p>
        </w:tc>
        <w:tc>
          <w:tcPr>
            <w:tcW w:type="dxa" w:w="1512"/>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Mixed</w:t>
            </w:r>
          </w:p>
        </w:tc>
        <w:tc>
          <w:tcPr>
            <w:tcW w:type="dxa" w:w="1714"/>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2F8562"/>
                <w:sz w:val="18"/>
                <w:szCs w:val="18"/>
              </w:rPr>
              <w:t xml:space="preserve">Winnable</w:t>
            </w:r>
          </w:p>
        </w:tc>
      </w:tr>
      <w:tr>
        <w:trPr>
          <w:cantSplit/>
        </w:trPr>
        <w:tc>
          <w:tcPr>
            <w:tcW w:type="dxa" w:w="2419"/>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credit union cybersecurity program</w:t>
            </w:r>
          </w:p>
        </w:tc>
        <w:tc>
          <w:tcPr>
            <w:tcW w:type="dxa" w:w="4435"/>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NCUA owns three slots; only SBS and DefenseStorm hold commercial ground.</w:t>
            </w:r>
          </w:p>
        </w:tc>
        <w:tc>
          <w:tcPr>
            <w:tcW w:type="dxa" w:w="1512"/>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Mixed</w:t>
            </w:r>
          </w:p>
        </w:tc>
        <w:tc>
          <w:tcPr>
            <w:tcW w:type="dxa" w:w="1714"/>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A8781F"/>
                <w:sz w:val="18"/>
                <w:szCs w:val="18"/>
              </w:rPr>
              <w:t xml:space="preserve">Long-tail only</w:t>
            </w:r>
          </w:p>
        </w:tc>
      </w:tr>
      <w:tr>
        <w:trPr>
          <w:cantSplit/>
        </w:trPr>
        <w:tc>
          <w:tcPr>
            <w:tcW w:type="dxa" w:w="241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MRA remediation consultant bank</w:t>
            </w:r>
          </w:p>
        </w:tc>
        <w:tc>
          <w:tcPr>
            <w:tcW w:type="dxa" w:w="4435"/>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Policy think-tanks and consultancies serving money-center banks only. Nothing for community institutions.</w:t>
            </w:r>
          </w:p>
        </w:tc>
        <w:tc>
          <w:tcPr>
            <w:tcW w:type="dxa" w:w="1512"/>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Transactional, urgent</w:t>
            </w:r>
          </w:p>
        </w:tc>
        <w:tc>
          <w:tcPr>
            <w:tcW w:type="dxa" w:w="1714"/>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2F8562"/>
                <w:sz w:val="18"/>
                <w:szCs w:val="18"/>
              </w:rPr>
              <w:t xml:space="preserve">Highly winnable</w:t>
            </w:r>
          </w:p>
        </w:tc>
      </w:tr>
      <w:tr>
        <w:trPr>
          <w:cantSplit/>
        </w:trPr>
        <w:tc>
          <w:tcPr>
            <w:tcW w:type="dxa" w:w="2419"/>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AI governance readiness assessment</w:t>
            </w:r>
          </w:p>
        </w:tc>
        <w:tc>
          <w:tcPr>
            <w:tcW w:type="dxa" w:w="4435"/>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SERP rewards interactive tools, not articles. Data-governance vendors, not security firms.</w:t>
            </w:r>
          </w:p>
        </w:tc>
        <w:tc>
          <w:tcPr>
            <w:tcW w:type="dxa" w:w="1512"/>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Self-assessment</w:t>
            </w:r>
          </w:p>
        </w:tc>
        <w:tc>
          <w:tcPr>
            <w:tcW w:type="dxa" w:w="1714"/>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A8781F"/>
                <w:sz w:val="18"/>
                <w:szCs w:val="18"/>
              </w:rPr>
              <w:t xml:space="preserve">Needs a tool</w:t>
            </w:r>
          </w:p>
        </w:tc>
      </w:tr>
      <w:tr>
        <w:trPr>
          <w:cantSplit/>
        </w:trPr>
        <w:tc>
          <w:tcPr>
            <w:tcW w:type="dxa" w:w="241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ISO 42001 consultant</w:t>
            </w:r>
          </w:p>
        </w:tc>
        <w:tc>
          <w:tcPr>
            <w:tcW w:type="dxa" w:w="4435"/>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Six results. A LinkedIn post ranks #1. Two competitors are non-US. No platforms.</w:t>
            </w:r>
          </w:p>
        </w:tc>
        <w:tc>
          <w:tcPr>
            <w:tcW w:type="dxa" w:w="1512"/>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Transactional</w:t>
            </w:r>
          </w:p>
        </w:tc>
        <w:tc>
          <w:tcPr>
            <w:tcW w:type="dxa" w:w="1714"/>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2F8562"/>
                <w:sz w:val="18"/>
                <w:szCs w:val="18"/>
              </w:rPr>
              <w:t xml:space="preserve">Highly winnable</w:t>
            </w:r>
          </w:p>
        </w:tc>
      </w:tr>
      <w:tr>
        <w:trPr>
          <w:cantSplit/>
        </w:trPr>
        <w:tc>
          <w:tcPr>
            <w:tcW w:type="dxa" w:w="2419"/>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NIST AI RMF implementation</w:t>
            </w:r>
          </w:p>
        </w:tc>
        <w:tc>
          <w:tcPr>
            <w:tcW w:type="dxa" w:w="4435"/>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Vanta, CyberSaint, Palo Alto, Orca plus NIST.</w:t>
            </w:r>
          </w:p>
        </w:tc>
        <w:tc>
          <w:tcPr>
            <w:tcW w:type="dxa" w:w="1512"/>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Informational</w:t>
            </w:r>
          </w:p>
        </w:tc>
        <w:tc>
          <w:tcPr>
            <w:tcW w:type="dxa" w:w="1714"/>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A8781F"/>
                <w:sz w:val="18"/>
                <w:szCs w:val="18"/>
              </w:rPr>
              <w:t xml:space="preserve">Supporting only</w:t>
            </w:r>
          </w:p>
        </w:tc>
      </w:tr>
      <w:tr>
        <w:trPr>
          <w:cantSplit/>
        </w:trPr>
        <w:tc>
          <w:tcPr>
            <w:tcW w:type="dxa" w:w="241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AI governance framework for business</w:t>
            </w:r>
          </w:p>
        </w:tc>
        <w:tc>
          <w:tcPr>
            <w:tcW w:type="dxa" w:w="4435"/>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IBM, Databricks, Snowflake, Informatica. 3HUE’s homepage currently targets roughly this.</w:t>
            </w:r>
          </w:p>
        </w:tc>
        <w:tc>
          <w:tcPr>
            <w:tcW w:type="dxa" w:w="1512"/>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Informational</w:t>
            </w:r>
          </w:p>
        </w:tc>
        <w:tc>
          <w:tcPr>
            <w:tcW w:type="dxa" w:w="1714"/>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A4462F"/>
                <w:sz w:val="18"/>
                <w:szCs w:val="18"/>
              </w:rPr>
              <w:t xml:space="preserve">Not winnable</w:t>
            </w:r>
          </w:p>
        </w:tc>
      </w:tr>
      <w:tr>
        <w:trPr>
          <w:cantSplit/>
        </w:trPr>
        <w:tc>
          <w:tcPr>
            <w:tcW w:type="dxa" w:w="2419"/>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cybersecurity consultant South Florida</w:t>
            </w:r>
          </w:p>
        </w:tc>
        <w:tc>
          <w:tcPr>
            <w:tcW w:type="dxa" w:w="4435"/>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Local MSPs and IT shops plus directories. None sell governance.</w:t>
            </w:r>
          </w:p>
        </w:tc>
        <w:tc>
          <w:tcPr>
            <w:tcW w:type="dxa" w:w="1512"/>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Commercial</w:t>
            </w:r>
          </w:p>
        </w:tc>
        <w:tc>
          <w:tcPr>
            <w:tcW w:type="dxa" w:w="1714"/>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2F8562"/>
                <w:sz w:val="18"/>
                <w:szCs w:val="18"/>
              </w:rPr>
              <w:t xml:space="preserve">Winnable</w:t>
            </w:r>
          </w:p>
        </w:tc>
      </w:tr>
      <w:tr>
        <w:trPr>
          <w:cantSplit/>
        </w:trPr>
        <w:tc>
          <w:tcPr>
            <w:tcW w:type="dxa" w:w="241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vCISO Fort Lauderdale</w:t>
            </w:r>
          </w:p>
        </w:tc>
        <w:tc>
          <w:tcPr>
            <w:tcW w:type="dxa" w:w="4435"/>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One genuine local page. Rest is national boilerplate, an events listing, a LinkedIn profile.</w:t>
            </w:r>
          </w:p>
        </w:tc>
        <w:tc>
          <w:tcPr>
            <w:tcW w:type="dxa" w:w="1512"/>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Transactional</w:t>
            </w:r>
          </w:p>
        </w:tc>
        <w:tc>
          <w:tcPr>
            <w:tcW w:type="dxa" w:w="1714"/>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2F8562"/>
                <w:sz w:val="18"/>
                <w:szCs w:val="18"/>
              </w:rPr>
              <w:t xml:space="preserve">Highly winnable</w:t>
            </w:r>
          </w:p>
        </w:tc>
      </w:tr>
      <w:tr>
        <w:trPr>
          <w:cantSplit/>
        </w:trPr>
        <w:tc>
          <w:tcPr>
            <w:tcW w:type="dxa" w:w="2419"/>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SOC 2 consultant Miami</w:t>
            </w:r>
          </w:p>
        </w:tc>
        <w:tc>
          <w:tcPr>
            <w:tcW w:type="dxa" w:w="4435"/>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One firm holds four slots with templated city pages, plus two offshore mills.</w:t>
            </w:r>
          </w:p>
        </w:tc>
        <w:tc>
          <w:tcPr>
            <w:tcW w:type="dxa" w:w="1512"/>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Transactional</w:t>
            </w:r>
          </w:p>
        </w:tc>
        <w:tc>
          <w:tcPr>
            <w:tcW w:type="dxa" w:w="1714"/>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2F8562"/>
                <w:sz w:val="18"/>
                <w:szCs w:val="18"/>
              </w:rPr>
              <w:t xml:space="preserve">Highly winnable</w:t>
            </w:r>
          </w:p>
        </w:tc>
      </w:tr>
      <w:tr>
        <w:trPr>
          <w:cantSplit/>
        </w:trPr>
        <w:tc>
          <w:tcPr>
            <w:tcW w:type="dxa" w:w="241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cybersecurity compliance Florida</w:t>
            </w:r>
          </w:p>
        </w:tc>
        <w:tc>
          <w:tcPr>
            <w:tcW w:type="dxa" w:w="4435"/>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Universities, law firms, state public-sector content.</w:t>
            </w:r>
          </w:p>
        </w:tc>
        <w:tc>
          <w:tcPr>
            <w:tcW w:type="dxa" w:w="1512"/>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Wrong market</w:t>
            </w:r>
          </w:p>
        </w:tc>
        <w:tc>
          <w:tcPr>
            <w:tcW w:type="dxa" w:w="1714"/>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A4462F"/>
                <w:sz w:val="18"/>
                <w:szCs w:val="18"/>
              </w:rPr>
              <w:t xml:space="preserve">Skip</w:t>
            </w:r>
          </w:p>
        </w:tc>
      </w:tr>
    </w:tbl>
    <w:p>
      <w:pPr>
        <w:spacing w:after="180" w:before="0" w:line="276"/>
      </w:pPr>
      <w:r>
        <w:rPr>
          <w:rFonts w:ascii="Calibri" w:cs="Calibri" w:eastAsia="Calibri" w:hAnsi="Calibri"/>
          <w:color w:val="3D4A5A"/>
          <w:sz w:val="8"/>
          <w:szCs w:val="8"/>
        </w:rPr>
        <w:t xml:space="preserve"/>
      </w:r>
    </w:p>
    <w:p>
      <w:pPr>
        <w:pStyle w:val="Heading3"/>
        <w:keepNext/>
        <w:spacing w:after="80" w:before="240"/>
      </w:pPr>
      <w:r>
        <w:rPr>
          <w:rFonts w:ascii="Calibri" w:cs="Calibri" w:eastAsia="Calibri" w:hAnsi="Calibri"/>
          <w:b/>
          <w:bCs/>
          <w:color w:val="14202E"/>
          <w:sz w:val="22"/>
          <w:szCs w:val="22"/>
        </w:rPr>
        <w:t xml:space="preserve">28.3  Deliberately not chasing</w:t>
      </w:r>
    </w:p>
    <w:p>
      <w:pPr>
        <w:spacing w:after="120" w:before="0" w:line="276"/>
      </w:pPr>
      <w:r>
        <w:rPr>
          <w:rFonts w:ascii="Calibri" w:cs="Calibri" w:eastAsia="Calibri" w:hAnsi="Calibri"/>
          <w:color w:val="3D4A5A"/>
          <w:sz w:val="20"/>
          <w:szCs w:val="20"/>
        </w:rPr>
        <w:t xml:space="preserve">Two categories: terms that cannot be won, and terms that could be won but serve the wrong buyer. The second group is the more expensive mistake, because effort there produces traffic that never converts.</w:t>
      </w:r>
    </w:p>
    <w:tbl>
      <w:tblPr>
        <w:tblW w:type="dxa" w:w="10080"/>
        <w:tblBorders>
          <w:top w:val="single" w:color="D3DCE6" w:sz="2"/>
          <w:left w:val="none"/>
          <w:bottom w:val="single" w:color="D3DCE6" w:sz="2"/>
          <w:right w:val="none"/>
          <w:insideH w:val="single" w:color="D3DCE6" w:sz="2"/>
          <w:insideV w:val="none"/>
        </w:tblBorders>
      </w:tblPr>
      <w:tblGrid>
        <w:gridCol w:w="3024"/>
        <w:gridCol w:w="7056"/>
      </w:tblGrid>
      <w:tr>
        <w:trPr>
          <w:cantSplit/>
          <w:tblHeader/>
        </w:trPr>
        <w:tc>
          <w:tcPr>
            <w:tcW w:type="dxa" w:w="3024"/>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Term</w:t>
            </w:r>
          </w:p>
        </w:tc>
        <w:tc>
          <w:tcPr>
            <w:tcW w:type="dxa" w:w="7056"/>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Reason</w:t>
            </w:r>
          </w:p>
        </w:tc>
      </w:tr>
      <w:tr>
        <w:trPr>
          <w:cantSplit/>
        </w:trPr>
        <w:tc>
          <w:tcPr>
            <w:tcW w:type="dxa" w:w="3024"/>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The whole NIST 800-171 / CMMC cluster</w:t>
            </w:r>
          </w:p>
        </w:tc>
        <w:tc>
          <w:tcPr>
            <w:tcW w:type="dxa" w:w="705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Genuinely winnable, and excluded anyway — the buyer is a defense contractor, which is not one of the three ICP segments. Revisit only if the DIB becomes a deliberate fourth segment.</w:t>
            </w:r>
          </w:p>
        </w:tc>
      </w:tr>
      <w:tr>
        <w:trPr>
          <w:cantSplit/>
        </w:trPr>
        <w:tc>
          <w:tcPr>
            <w:tcW w:type="dxa" w:w="3024"/>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“AI governance framework for business”</w:t>
            </w:r>
          </w:p>
        </w:tc>
        <w:tc>
          <w:tcPr>
            <w:tcW w:type="dxa" w:w="7056"/>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IBM, Databricks and Snowflake territory. Worth noting the homepage currently positions into roughly this space, which is part of why it is invisible.</w:t>
            </w:r>
          </w:p>
        </w:tc>
      </w:tr>
      <w:tr>
        <w:trPr>
          <w:cantSplit/>
        </w:trPr>
        <w:tc>
          <w:tcPr>
            <w:tcW w:type="dxa" w:w="3024"/>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Any head vCISO term</w:t>
            </w:r>
          </w:p>
        </w:tc>
        <w:tc>
          <w:tcPr>
            <w:tcW w:type="dxa" w:w="705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Exact-match domains plus Kroll-tier competition. Compete on cost and geography instead, where small firms already rank.</w:t>
            </w:r>
          </w:p>
        </w:tc>
      </w:tr>
      <w:tr>
        <w:trPr>
          <w:cantSplit/>
        </w:trPr>
        <w:tc>
          <w:tcPr>
            <w:tcW w:type="dxa" w:w="3024"/>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“ISO 27001 vs SOC 2”</w:t>
            </w:r>
          </w:p>
        </w:tc>
        <w:tc>
          <w:tcPr>
            <w:tcW w:type="dxa" w:w="7056"/>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Every funded platform has paid down this page for years.</w:t>
            </w:r>
          </w:p>
        </w:tc>
      </w:tr>
      <w:tr>
        <w:trPr>
          <w:cantSplit/>
        </w:trPr>
        <w:tc>
          <w:tcPr>
            <w:tcW w:type="dxa" w:w="3024"/>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Anything NIST.gov publishes</w:t>
            </w:r>
          </w:p>
        </w:tc>
        <w:tc>
          <w:tcPr>
            <w:tcW w:type="dxa" w:w="705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You cannot outrank the standards body on its own standard, and the searcher is a practitioner rather than a buyer.</w:t>
            </w:r>
          </w:p>
        </w:tc>
      </w:tr>
      <w:tr>
        <w:trPr>
          <w:cantSplit/>
        </w:trPr>
        <w:tc>
          <w:tcPr>
            <w:tcW w:type="dxa" w:w="3024"/>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“Audit-Ready Security Program” as a brand term</w:t>
            </w:r>
          </w:p>
        </w:tc>
        <w:tc>
          <w:tcPr>
            <w:tcW w:type="dxa" w:w="7056"/>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Ostendio already ranks #1 for it. It is a generic descriptive phrase, not ownable — worth knowing before it goes on more collateral.</w:t>
            </w:r>
          </w:p>
        </w:tc>
      </w:tr>
      <w:tr>
        <w:trPr>
          <w:cantSplit/>
        </w:trPr>
        <w:tc>
          <w:tcPr>
            <w:tcW w:type="dxa" w:w="3024"/>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Security questionnaire terms</w:t>
            </w:r>
          </w:p>
        </w:tc>
        <w:tc>
          <w:tcPr>
            <w:tcW w:type="dxa" w:w="705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The SERP resolves them as a software category. An advisory firm competes at a permanent intent disadvantage.</w:t>
            </w:r>
          </w:p>
        </w:tc>
      </w:tr>
    </w:tbl>
    <w:p>
      <w:pPr>
        <w:spacing w:after="180" w:before="0" w:line="276"/>
      </w:pPr>
      <w:r>
        <w:rPr>
          <w:rFonts w:ascii="Calibri" w:cs="Calibri" w:eastAsia="Calibri" w:hAnsi="Calibri"/>
          <w:color w:val="3D4A5A"/>
          <w:sz w:val="8"/>
          <w:szCs w:val="8"/>
        </w:rPr>
        <w:t xml:space="preserve"/>
      </w:r>
    </w:p>
    <w:p>
      <w:pPr>
        <w:pStyle w:val="Heading3"/>
        <w:keepNext/>
        <w:spacing w:after="80" w:before="240"/>
      </w:pPr>
      <w:r>
        <w:rPr>
          <w:rFonts w:ascii="Calibri" w:cs="Calibri" w:eastAsia="Calibri" w:hAnsi="Calibri"/>
          <w:b/>
          <w:bCs/>
          <w:color w:val="14202E"/>
          <w:sz w:val="22"/>
          <w:szCs w:val="22"/>
        </w:rPr>
        <w:t xml:space="preserve">28.4  Content gaps nobody is filling</w:t>
      </w:r>
    </w:p>
    <w:p>
      <w:pPr>
        <w:spacing w:after="120" w:before="0" w:line="276"/>
      </w:pPr>
      <w:r>
        <w:rPr>
          <w:rFonts w:ascii="Calibri" w:cs="Calibri" w:eastAsia="Calibri" w:hAnsi="Calibri"/>
          <w:color w:val="3D4A5A"/>
          <w:sz w:val="20"/>
          <w:szCs w:val="20"/>
        </w:rPr>
        <w:t xml:space="preserve">Questions buyers are visibly asking that no one answers well. These are where a small firm with genuine expertise can outrank funded competitors, because the competitors have not written the page at all.</w:t>
      </w:r>
    </w:p>
    <w:p>
      <w:pPr>
        <w:pStyle w:val="ListParagraph"/>
        <w:numPr>
          <w:ilvl w:val="0"/>
          <w:numId w:val="1"/>
        </w:numPr>
        <w:spacing w:after="70" w:line="270"/>
      </w:pPr>
      <w:r>
        <w:rPr>
          <w:rFonts w:ascii="Calibri" w:cs="Calibri" w:eastAsia="Calibri" w:hAnsi="Calibri"/>
          <w:b/>
          <w:bCs/>
          <w:color w:val="14202E"/>
          <w:sz w:val="20"/>
          <w:szCs w:val="20"/>
        </w:rPr>
        <w:t xml:space="preserve">The seller’s side of vendor security review. </w:t>
      </w:r>
      <w:r>
        <w:rPr>
          <w:rFonts w:ascii="Calibri" w:cs="Calibri" w:eastAsia="Calibri" w:hAnsi="Calibri"/>
          <w:color w:val="3D4A5A"/>
          <w:sz w:val="20"/>
          <w:szCs w:val="20"/>
        </w:rPr>
        <w:t xml:space="preserve">Nearly all vendor-security content is written for the buyer running third-party risk. The person who just received a 300-row questionnaire attached to a contract is a completely different searcher with almost nothing written for them. The single largest gap found.</w:t>
      </w:r>
    </w:p>
    <w:p>
      <w:pPr>
        <w:pStyle w:val="ListParagraph"/>
        <w:numPr>
          <w:ilvl w:val="0"/>
          <w:numId w:val="1"/>
        </w:numPr>
        <w:spacing w:after="70" w:line="270"/>
      </w:pPr>
      <w:r>
        <w:rPr>
          <w:rFonts w:ascii="Calibri" w:cs="Calibri" w:eastAsia="Calibri" w:hAnsi="Calibri"/>
          <w:b/>
          <w:bCs/>
          <w:color w:val="14202E"/>
          <w:sz w:val="20"/>
          <w:szCs w:val="20"/>
        </w:rPr>
        <w:t xml:space="preserve">“I bought the platform and I’m still stuck.” </w:t>
      </w:r>
      <w:r>
        <w:rPr>
          <w:rFonts w:ascii="Calibri" w:cs="Calibri" w:eastAsia="Calibri" w:hAnsi="Calibri"/>
          <w:color w:val="3D4A5A"/>
          <w:sz w:val="20"/>
          <w:szCs w:val="20"/>
        </w:rPr>
        <w:t xml:space="preserve">Searching for this returns the platform’s own product page and then degenerates into marketplace listings. Nothing credible addresses the gap between automated evidence collection and actual audit readiness — which is precisely 3HUE’s commercial argument, unwritten by anyone.</w:t>
      </w:r>
    </w:p>
    <w:p>
      <w:pPr>
        <w:pStyle w:val="ListParagraph"/>
        <w:numPr>
          <w:ilvl w:val="0"/>
          <w:numId w:val="1"/>
        </w:numPr>
        <w:spacing w:after="70" w:line="270"/>
      </w:pPr>
      <w:r>
        <w:rPr>
          <w:rFonts w:ascii="Calibri" w:cs="Calibri" w:eastAsia="Calibri" w:hAnsi="Calibri"/>
          <w:b/>
          <w:bCs/>
          <w:color w:val="14202E"/>
          <w:sz w:val="20"/>
          <w:szCs w:val="20"/>
        </w:rPr>
        <w:t xml:space="preserve">Exam remediation for small institutions. </w:t>
      </w:r>
      <w:r>
        <w:rPr>
          <w:rFonts w:ascii="Calibri" w:cs="Calibri" w:eastAsia="Calibri" w:hAnsi="Calibri"/>
          <w:color w:val="3D4A5A"/>
          <w:sz w:val="20"/>
          <w:szCs w:val="20"/>
        </w:rPr>
        <w:t xml:space="preserve">All MRA content serves money-center banks or is policy commentary. Nothing addresses a $2B community bank or a credit union that has just received a finding. High urgency, high value, zero supply.</w:t>
      </w:r>
    </w:p>
    <w:p>
      <w:pPr>
        <w:pStyle w:val="ListParagraph"/>
        <w:numPr>
          <w:ilvl w:val="0"/>
          <w:numId w:val="1"/>
        </w:numPr>
        <w:spacing w:after="70" w:line="270"/>
      </w:pPr>
      <w:r>
        <w:rPr>
          <w:rFonts w:ascii="Calibri" w:cs="Calibri" w:eastAsia="Calibri" w:hAnsi="Calibri"/>
          <w:b/>
          <w:bCs/>
          <w:color w:val="14202E"/>
          <w:sz w:val="20"/>
          <w:szCs w:val="20"/>
        </w:rPr>
        <w:t xml:space="preserve">What replaces the FFIEC CAT. </w:t>
      </w:r>
      <w:r>
        <w:rPr>
          <w:rFonts w:ascii="Calibri" w:cs="Calibri" w:eastAsia="Calibri" w:hAnsi="Calibri"/>
          <w:color w:val="3D4A5A"/>
          <w:sz w:val="20"/>
          <w:szCs w:val="20"/>
        </w:rPr>
        <w:t xml:space="preserve">Ranking pages still describe the assessment tool as current after its sunset. A time-sensitive, unanswered question for the regulated segment.</w:t>
      </w:r>
    </w:p>
    <w:p>
      <w:pPr>
        <w:pStyle w:val="ListParagraph"/>
        <w:numPr>
          <w:ilvl w:val="0"/>
          <w:numId w:val="1"/>
        </w:numPr>
        <w:spacing w:after="70" w:line="270"/>
      </w:pPr>
      <w:r>
        <w:rPr>
          <w:rFonts w:ascii="Calibri" w:cs="Calibri" w:eastAsia="Calibri" w:hAnsi="Calibri"/>
          <w:b/>
          <w:bCs/>
          <w:color w:val="14202E"/>
          <w:sz w:val="20"/>
          <w:szCs w:val="20"/>
        </w:rPr>
        <w:t xml:space="preserve">PE portfolio security past the checklist. </w:t>
      </w:r>
      <w:r>
        <w:rPr>
          <w:rFonts w:ascii="Calibri" w:cs="Calibri" w:eastAsia="Calibri" w:hAnsi="Calibri"/>
          <w:color w:val="3D4A5A"/>
          <w:sz w:val="20"/>
          <w:szCs w:val="20"/>
        </w:rPr>
        <w:t xml:space="preserve">Every result is a diligence checklist. Nothing covers the operating question — what a sponsor mandates at day 1 versus day 100, or how to standardize governance across a portfolio.</w:t>
      </w:r>
    </w:p>
    <w:p>
      <w:pPr>
        <w:pStyle w:val="ListParagraph"/>
        <w:numPr>
          <w:ilvl w:val="0"/>
          <w:numId w:val="1"/>
        </w:numPr>
        <w:spacing w:after="70" w:line="270"/>
      </w:pPr>
      <w:r>
        <w:rPr>
          <w:rFonts w:ascii="Calibri" w:cs="Calibri" w:eastAsia="Calibri" w:hAnsi="Calibri"/>
          <w:b/>
          <w:bCs/>
          <w:color w:val="14202E"/>
          <w:sz w:val="20"/>
          <w:szCs w:val="20"/>
        </w:rPr>
        <w:t xml:space="preserve">Sequencing ISO 42001 onto an existing program. </w:t>
      </w:r>
      <w:r>
        <w:rPr>
          <w:rFonts w:ascii="Calibri" w:cs="Calibri" w:eastAsia="Calibri" w:hAnsi="Calibri"/>
          <w:color w:val="3D4A5A"/>
          <w:sz w:val="20"/>
          <w:szCs w:val="20"/>
        </w:rPr>
        <w:t xml:space="preserve">Existing content answers “what is ISO 42001.” Nothing covers layering it onto an existing ISO 27001 or SOC 2 program — the next question every current client will ask.</w:t>
      </w:r>
    </w:p>
    <w:p>
      <w:pPr>
        <w:pStyle w:val="ListParagraph"/>
        <w:numPr>
          <w:ilvl w:val="0"/>
          <w:numId w:val="1"/>
        </w:numPr>
        <w:spacing w:after="70" w:line="270"/>
      </w:pPr>
      <w:r>
        <w:rPr>
          <w:rFonts w:ascii="Calibri" w:cs="Calibri" w:eastAsia="Calibri" w:hAnsi="Calibri"/>
          <w:b/>
          <w:bCs/>
          <w:color w:val="14202E"/>
          <w:sz w:val="20"/>
          <w:szCs w:val="20"/>
        </w:rPr>
        <w:t xml:space="preserve">Insurance controls mapped to frameworks. </w:t>
      </w:r>
      <w:r>
        <w:rPr>
          <w:rFonts w:ascii="Calibri" w:cs="Calibri" w:eastAsia="Calibri" w:hAnsi="Calibri"/>
          <w:color w:val="3D4A5A"/>
          <w:sz w:val="20"/>
          <w:szCs w:val="20"/>
        </w:rPr>
        <w:t xml:space="preserve">Insurer control requirements and compliance frameworks are two separate content universes. Nobody maps one to the other, despite buyers facing both at once.</w:t>
      </w:r>
    </w:p>
    <w:p>
      <w:pPr>
        <w:pStyle w:val="ListParagraph"/>
        <w:numPr>
          <w:ilvl w:val="0"/>
          <w:numId w:val="1"/>
        </w:numPr>
        <w:spacing w:after="70" w:line="270"/>
      </w:pPr>
      <w:r>
        <w:rPr>
          <w:rFonts w:ascii="Calibri" w:cs="Calibri" w:eastAsia="Calibri" w:hAnsi="Calibri"/>
          <w:b/>
          <w:bCs/>
          <w:color w:val="14202E"/>
          <w:sz w:val="20"/>
          <w:szCs w:val="20"/>
        </w:rPr>
        <w:t xml:space="preserve">Published advisory pricing. </w:t>
      </w:r>
      <w:r>
        <w:rPr>
          <w:rFonts w:ascii="Calibri" w:cs="Calibri" w:eastAsia="Calibri" w:hAnsi="Calibri"/>
          <w:color w:val="3D4A5A"/>
          <w:sz w:val="20"/>
          <w:szCs w:val="20"/>
        </w:rPr>
        <w:t xml:space="preserve">The firms that publish numbers rank — “Fixed Fees,” “from $4,500,” “$3K–$20K/month.” Most advisory firms refuse, leaving the ground open to whoever is willing.</w:t>
      </w:r>
    </w:p>
    <w:p>
      <w:pPr>
        <w:pStyle w:val="Heading2"/>
        <w:keepNext/>
        <w:spacing w:after="40" w:before="340"/>
      </w:pPr>
      <w:r>
        <w:rPr>
          <w:rFonts w:ascii="Calibri" w:cs="Calibri" w:eastAsia="Calibri" w:hAnsi="Calibri"/>
          <w:b/>
          <w:bCs/>
          <w:color w:val="2F86B3"/>
          <w:sz w:val="28"/>
          <w:szCs w:val="28"/>
        </w:rPr>
        <w:t xml:space="preserve">29. YouTube demand — with real numbers</w:t>
      </w:r>
    </w:p>
    <w:p>
      <w:pPr>
        <w:keepNext/>
        <w:spacing w:after="140" w:before="0" w:line="276"/>
      </w:pPr>
      <w:r>
        <w:rPr>
          <w:rFonts w:ascii="Calibri" w:cs="Calibri" w:eastAsia="Calibri" w:hAnsi="Calibri"/>
          <w:i/>
          <w:iCs/>
          <w:color w:val="6B7A8C"/>
          <w:sz w:val="19"/>
          <w:szCs w:val="19"/>
        </w:rPr>
        <w:t xml:space="preserve">Unlike web search, actual keyword tooling was available here. Every figure below is tool-returned, pulled 2–3 September 2026.</w:t>
      </w:r>
    </w:p>
    <w:p>
      <w:pPr>
        <w:pStyle w:val="Heading3"/>
        <w:keepNext/>
        <w:spacing w:after="80" w:before="240"/>
      </w:pPr>
      <w:r>
        <w:rPr>
          <w:rFonts w:ascii="Calibri" w:cs="Calibri" w:eastAsia="Calibri" w:hAnsi="Calibri"/>
          <w:b/>
          <w:bCs/>
          <w:color w:val="14202E"/>
          <w:sz w:val="22"/>
          <w:szCs w:val="22"/>
        </w:rPr>
        <w:t xml:space="preserve">29.1  The finding that changes the plan</w:t>
      </w:r>
    </w:p>
    <w:tbl>
      <w:tblPr>
        <w:tblW w:type="dxa" w:w="10080"/>
        <w:tblBorders>
          <w:top w:val="none"/>
          <w:left w:val="single" w:color="A4462F" w:sz="18"/>
          <w:bottom w:val="none"/>
          <w:right w:val="none"/>
          <w:insideH w:val="none"/>
          <w:insideV w:val="none"/>
        </w:tblBorders>
      </w:tblPr>
      <w:tblGrid>
        <w:gridCol w:w="10080"/>
      </w:tblGrid>
      <w:tr>
        <w:trPr>
          <w:cantSplit/>
        </w:trPr>
        <w:tc>
          <w:tcPr>
            <w:tcW w:type="dxa" w:w="10080"/>
            <w:tcBorders>
              <w:top w:val="none"/>
              <w:left w:val="none"/>
              <w:bottom w:val="none"/>
              <w:right w:val="none"/>
            </w:tcBorders>
            <w:shd w:fill="FBEEEA" w:color="auto" w:val="clear"/>
            <w:tcMar>
              <w:top w:type="dxa" w:w="130"/>
              <w:left w:type="dxa" w:w="180"/>
              <w:bottom w:type="dxa" w:w="130"/>
              <w:right w:type="dxa" w:w="160"/>
            </w:tcMar>
          </w:tcPr>
          <w:p>
            <w:pPr>
              <w:keepNext/>
              <w:spacing w:after="60" w:before="0" w:line="260"/>
            </w:pPr>
            <w:r>
              <w:rPr>
                <w:rFonts w:ascii="Calibri" w:cs="Calibri" w:eastAsia="Calibri" w:hAnsi="Calibri"/>
                <w:b/>
                <w:bCs/>
                <w:color w:val="A4462F"/>
                <w:sz w:val="19"/>
                <w:szCs w:val="19"/>
              </w:rPr>
              <w:t xml:space="preserve">YouTube demand in this category is career demand, not buyer demand</w:t>
            </w:r>
          </w:p>
          <w:p>
            <w:pPr>
              <w:spacing w:after="40" w:before="0" w:line="265"/>
            </w:pPr>
            <w:r>
              <w:rPr>
                <w:rFonts w:ascii="Calibri" w:cs="Calibri" w:eastAsia="Calibri" w:hAnsi="Calibri"/>
                <w:color w:val="3D4A5A"/>
                <w:sz w:val="19"/>
                <w:szCs w:val="19"/>
              </w:rPr>
              <w:t xml:space="preserve">People search “ISO 27001 lead implementer training” (8,118/mo) and “how to break into AI governance” (4,986/mo) because they want a job in the field. People with a budget and a deadline search differently, less often, and in far less crowded terms. Chasing raw volume builds an audience of job seekers who cannot buy.</w:t>
            </w:r>
          </w:p>
        </w:tc>
      </w:tr>
    </w:tbl>
    <w:p>
      <w:pPr>
        <w:spacing w:after="120" w:before="0" w:line="276"/>
      </w:pPr>
      <w:r>
        <w:rPr>
          <w:rFonts w:ascii="Calibri" w:cs="Calibri" w:eastAsia="Calibri" w:hAnsi="Calibri"/>
          <w:b/>
          <w:bCs/>
          <w:color w:val="14202E"/>
          <w:sz w:val="20"/>
          <w:szCs w:val="20"/>
        </w:rPr>
        <w:t xml:space="preserve">The proof is a live channel. </w:t>
      </w:r>
      <w:r>
        <w:rPr>
          <w:rFonts w:ascii="Calibri" w:cs="Calibri" w:eastAsia="Calibri" w:hAnsi="Calibri"/>
          <w:color w:val="3D4A5A"/>
          <w:sz w:val="20"/>
          <w:szCs w:val="20"/>
        </w:rPr>
        <w:t xml:space="preserve">François B. Arthanas is positioned almost identically to where 3HUE would sit — a credentialed founder selling AI governance advisory. He has 16,700 subscribers, earned almost entirely on CompTIA certification crash courses. His top video has 190,553 views. His NIST CSF 2.0 explainer has 1,148. His video stating his actual thesis — “Your Company does NOT exist to be secure” — has 299 views.</w:t>
      </w:r>
    </w:p>
    <w:p>
      <w:pPr>
        <w:pStyle w:val="Heading3"/>
        <w:keepNext/>
        <w:spacing w:after="80" w:before="240"/>
      </w:pPr>
      <w:r>
        <w:rPr>
          <w:rFonts w:ascii="Calibri" w:cs="Calibri" w:eastAsia="Calibri" w:hAnsi="Calibri"/>
          <w:b/>
          <w:bCs/>
          <w:color w:val="14202E"/>
          <w:sz w:val="22"/>
          <w:szCs w:val="22"/>
        </w:rPr>
        <w:t xml:space="preserve">29.2  Keyword demand</w:t>
      </w:r>
    </w:p>
    <w:tbl>
      <w:tblPr>
        <w:tblW w:type="dxa" w:w="10080"/>
        <w:tblBorders>
          <w:top w:val="single" w:color="D3DCE6" w:sz="2"/>
          <w:left w:val="none"/>
          <w:bottom w:val="single" w:color="D3DCE6" w:sz="2"/>
          <w:right w:val="none"/>
          <w:insideH w:val="single" w:color="D3DCE6" w:sz="2"/>
          <w:insideV w:val="none"/>
        </w:tblBorders>
      </w:tblPr>
      <w:tblGrid>
        <w:gridCol w:w="2621"/>
        <w:gridCol w:w="1109"/>
        <w:gridCol w:w="1109"/>
        <w:gridCol w:w="907"/>
        <w:gridCol w:w="1008"/>
        <w:gridCol w:w="3326"/>
      </w:tblGrid>
      <w:tr>
        <w:trPr>
          <w:cantSplit/>
          <w:tblHeader/>
        </w:trPr>
        <w:tc>
          <w:tcPr>
            <w:tcW w:type="dxa" w:w="2621"/>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Keyword</w:t>
            </w:r>
          </w:p>
        </w:tc>
        <w:tc>
          <w:tcPr>
            <w:tcW w:type="dxa" w:w="1109"/>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Searches / mo</w:t>
            </w:r>
          </w:p>
        </w:tc>
        <w:tc>
          <w:tcPr>
            <w:tcW w:type="dxa" w:w="1109"/>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Competition</w:t>
            </w:r>
          </w:p>
        </w:tc>
        <w:tc>
          <w:tcPr>
            <w:tcW w:type="dxa" w:w="907"/>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Growth</w:t>
            </w:r>
          </w:p>
        </w:tc>
        <w:tc>
          <w:tcPr>
            <w:tcW w:type="dxa" w:w="1008"/>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Intent</w:t>
            </w:r>
          </w:p>
        </w:tc>
        <w:tc>
          <w:tcPr>
            <w:tcW w:type="dxa" w:w="3326"/>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What we do with it</w:t>
            </w:r>
          </w:p>
        </w:tc>
      </w:tr>
      <w:tr>
        <w:trPr>
          <w:cantSplit/>
        </w:trPr>
        <w:tc>
          <w:tcPr>
            <w:tcW w:type="dxa" w:w="262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iso 42001</w:t>
            </w:r>
          </w:p>
        </w:tc>
        <w:tc>
          <w:tcPr>
            <w:tcW w:type="dxa" w:w="110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right"/>
            </w:pPr>
            <w:r>
              <w:rPr>
                <w:rFonts w:ascii="Calibri" w:cs="Calibri" w:eastAsia="Calibri" w:hAnsi="Calibri"/>
                <w:color w:val="3D4A5A"/>
                <w:sz w:val="18"/>
                <w:szCs w:val="18"/>
              </w:rPr>
              <w:t xml:space="preserve">13,560</w:t>
            </w:r>
          </w:p>
        </w:tc>
        <w:tc>
          <w:tcPr>
            <w:tcW w:type="dxa" w:w="110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right"/>
            </w:pPr>
            <w:r>
              <w:rPr>
                <w:rFonts w:ascii="Calibri" w:cs="Calibri" w:eastAsia="Calibri" w:hAnsi="Calibri"/>
                <w:color w:val="3D4A5A"/>
                <w:sz w:val="18"/>
                <w:szCs w:val="18"/>
              </w:rPr>
              <w:t xml:space="preserve">23.1</w:t>
            </w:r>
          </w:p>
        </w:tc>
        <w:tc>
          <w:tcPr>
            <w:tcW w:type="dxa" w:w="907"/>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right"/>
            </w:pPr>
            <w:r>
              <w:rPr>
                <w:rFonts w:ascii="Calibri" w:cs="Calibri" w:eastAsia="Calibri" w:hAnsi="Calibri"/>
                <w:b/>
                <w:bCs/>
                <w:color w:val="2F8562"/>
                <w:sz w:val="18"/>
                <w:szCs w:val="18"/>
              </w:rPr>
              <w:t xml:space="preserve">+164%</w:t>
            </w:r>
          </w:p>
        </w:tc>
        <w:tc>
          <w:tcPr>
            <w:tcW w:type="dxa" w:w="100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2F8562"/>
                <w:sz w:val="18"/>
                <w:szCs w:val="18"/>
              </w:rPr>
              <w:t xml:space="preserve">Operator</w:t>
            </w:r>
          </w:p>
        </w:tc>
        <w:tc>
          <w:tcPr>
            <w:tcW w:type="dxa" w:w="332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Anchor franchise. Own the implementation angle before the certification bodies do.</w:t>
            </w:r>
          </w:p>
        </w:tc>
      </w:tr>
      <w:tr>
        <w:trPr>
          <w:cantSplit/>
        </w:trPr>
        <w:tc>
          <w:tcPr>
            <w:tcW w:type="dxa" w:w="262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why ai governance is becoming essential</w:t>
            </w:r>
          </w:p>
        </w:tc>
        <w:tc>
          <w:tcPr>
            <w:tcW w:type="dxa" w:w="1109"/>
            <w:tcBorders>
              <w:top w:val="single" w:color="D3DCE6" w:sz="2"/>
              <w:left w:val="none"/>
              <w:bottom w:val="single" w:color="D3DCE6" w:sz="2"/>
              <w:right w:val="none"/>
            </w:tcBorders>
            <w:tcMar>
              <w:top w:type="dxa" w:w="70"/>
              <w:left w:type="dxa" w:w="100"/>
              <w:bottom w:type="dxa" w:w="70"/>
              <w:right w:type="dxa" w:w="100"/>
            </w:tcMar>
          </w:tcPr>
          <w:p>
            <w:pPr>
              <w:spacing w:after="0" w:before="0" w:line="250"/>
              <w:jc w:val="right"/>
            </w:pPr>
            <w:r>
              <w:rPr>
                <w:rFonts w:ascii="Calibri" w:cs="Calibri" w:eastAsia="Calibri" w:hAnsi="Calibri"/>
                <w:color w:val="3D4A5A"/>
                <w:sz w:val="18"/>
                <w:szCs w:val="18"/>
              </w:rPr>
              <w:t xml:space="preserve">7,463</w:t>
            </w:r>
          </w:p>
        </w:tc>
        <w:tc>
          <w:tcPr>
            <w:tcW w:type="dxa" w:w="1109"/>
            <w:tcBorders>
              <w:top w:val="single" w:color="D3DCE6" w:sz="2"/>
              <w:left w:val="none"/>
              <w:bottom w:val="single" w:color="D3DCE6" w:sz="2"/>
              <w:right w:val="none"/>
            </w:tcBorders>
            <w:tcMar>
              <w:top w:type="dxa" w:w="70"/>
              <w:left w:type="dxa" w:w="100"/>
              <w:bottom w:type="dxa" w:w="70"/>
              <w:right w:type="dxa" w:w="100"/>
            </w:tcMar>
          </w:tcPr>
          <w:p>
            <w:pPr>
              <w:spacing w:after="0" w:before="0" w:line="250"/>
              <w:jc w:val="right"/>
            </w:pPr>
            <w:r>
              <w:rPr>
                <w:rFonts w:ascii="Calibri" w:cs="Calibri" w:eastAsia="Calibri" w:hAnsi="Calibri"/>
                <w:color w:val="3D4A5A"/>
                <w:sz w:val="18"/>
                <w:szCs w:val="18"/>
              </w:rPr>
              <w:t xml:space="preserve">15.2</w:t>
            </w:r>
          </w:p>
        </w:tc>
        <w:tc>
          <w:tcPr>
            <w:tcW w:type="dxa" w:w="907"/>
            <w:tcBorders>
              <w:top w:val="single" w:color="D3DCE6" w:sz="2"/>
              <w:left w:val="none"/>
              <w:bottom w:val="single" w:color="D3DCE6" w:sz="2"/>
              <w:right w:val="none"/>
            </w:tcBorders>
            <w:tcMar>
              <w:top w:type="dxa" w:w="70"/>
              <w:left w:type="dxa" w:w="100"/>
              <w:bottom w:type="dxa" w:w="70"/>
              <w:right w:type="dxa" w:w="100"/>
            </w:tcMar>
          </w:tcPr>
          <w:p>
            <w:pPr>
              <w:spacing w:after="0" w:before="0" w:line="250"/>
              <w:jc w:val="right"/>
            </w:pPr>
            <w:r>
              <w:rPr>
                <w:rFonts w:ascii="Calibri" w:cs="Calibri" w:eastAsia="Calibri" w:hAnsi="Calibri"/>
                <w:b/>
                <w:bCs/>
                <w:color w:val="2F8562"/>
                <w:sz w:val="18"/>
                <w:szCs w:val="18"/>
              </w:rPr>
              <w:t xml:space="preserve">+85%</w:t>
            </w:r>
          </w:p>
        </w:tc>
        <w:tc>
          <w:tcPr>
            <w:tcW w:type="dxa" w:w="1008"/>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2F8562"/>
                <w:sz w:val="18"/>
                <w:szCs w:val="18"/>
              </w:rPr>
              <w:t xml:space="preserve">Operator</w:t>
            </w:r>
          </w:p>
        </w:tc>
        <w:tc>
          <w:tcPr>
            <w:tcW w:type="dxa" w:w="3326"/>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The board-deck video. Something a risk lead forwards upward.</w:t>
            </w:r>
          </w:p>
        </w:tc>
      </w:tr>
      <w:tr>
        <w:trPr>
          <w:cantSplit/>
        </w:trPr>
        <w:tc>
          <w:tcPr>
            <w:tcW w:type="dxa" w:w="262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iso 42001 training</w:t>
            </w:r>
          </w:p>
        </w:tc>
        <w:tc>
          <w:tcPr>
            <w:tcW w:type="dxa" w:w="110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right"/>
            </w:pPr>
            <w:r>
              <w:rPr>
                <w:rFonts w:ascii="Calibri" w:cs="Calibri" w:eastAsia="Calibri" w:hAnsi="Calibri"/>
                <w:color w:val="3D4A5A"/>
                <w:sz w:val="18"/>
                <w:szCs w:val="18"/>
              </w:rPr>
              <w:t xml:space="preserve">6,946</w:t>
            </w:r>
          </w:p>
        </w:tc>
        <w:tc>
          <w:tcPr>
            <w:tcW w:type="dxa" w:w="110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right"/>
            </w:pPr>
            <w:r>
              <w:rPr>
                <w:rFonts w:ascii="Calibri" w:cs="Calibri" w:eastAsia="Calibri" w:hAnsi="Calibri"/>
                <w:color w:val="3D4A5A"/>
                <w:sz w:val="18"/>
                <w:szCs w:val="18"/>
              </w:rPr>
              <w:t xml:space="preserve">8.5</w:t>
            </w:r>
          </w:p>
        </w:tc>
        <w:tc>
          <w:tcPr>
            <w:tcW w:type="dxa" w:w="907"/>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right"/>
            </w:pPr>
            <w:r>
              <w:rPr>
                <w:rFonts w:ascii="Calibri" w:cs="Calibri" w:eastAsia="Calibri" w:hAnsi="Calibri"/>
                <w:color w:val="3D4A5A"/>
                <w:sz w:val="18"/>
                <w:szCs w:val="18"/>
              </w:rPr>
              <w:t xml:space="preserve">—</w:t>
            </w:r>
          </w:p>
        </w:tc>
        <w:tc>
          <w:tcPr>
            <w:tcW w:type="dxa" w:w="100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A8781F"/>
                <w:sz w:val="18"/>
                <w:szCs w:val="18"/>
              </w:rPr>
              <w:t xml:space="preserve">Career</w:t>
            </w:r>
          </w:p>
        </w:tc>
        <w:tc>
          <w:tcPr>
            <w:tcW w:type="dxa" w:w="332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High score, wrong audience. One video only, as a subscriber on-ramp.</w:t>
            </w:r>
          </w:p>
        </w:tc>
      </w:tr>
      <w:tr>
        <w:trPr>
          <w:cantSplit/>
        </w:trPr>
        <w:tc>
          <w:tcPr>
            <w:tcW w:type="dxa" w:w="262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who owns ai governance</w:t>
            </w:r>
          </w:p>
        </w:tc>
        <w:tc>
          <w:tcPr>
            <w:tcW w:type="dxa" w:w="1109"/>
            <w:tcBorders>
              <w:top w:val="single" w:color="D3DCE6" w:sz="2"/>
              <w:left w:val="none"/>
              <w:bottom w:val="single" w:color="D3DCE6" w:sz="2"/>
              <w:right w:val="none"/>
            </w:tcBorders>
            <w:tcMar>
              <w:top w:type="dxa" w:w="70"/>
              <w:left w:type="dxa" w:w="100"/>
              <w:bottom w:type="dxa" w:w="70"/>
              <w:right w:type="dxa" w:w="100"/>
            </w:tcMar>
          </w:tcPr>
          <w:p>
            <w:pPr>
              <w:spacing w:after="0" w:before="0" w:line="250"/>
              <w:jc w:val="right"/>
            </w:pPr>
            <w:r>
              <w:rPr>
                <w:rFonts w:ascii="Calibri" w:cs="Calibri" w:eastAsia="Calibri" w:hAnsi="Calibri"/>
                <w:color w:val="3D4A5A"/>
                <w:sz w:val="18"/>
                <w:szCs w:val="18"/>
              </w:rPr>
              <w:t xml:space="preserve">5,019</w:t>
            </w:r>
          </w:p>
        </w:tc>
        <w:tc>
          <w:tcPr>
            <w:tcW w:type="dxa" w:w="1109"/>
            <w:tcBorders>
              <w:top w:val="single" w:color="D3DCE6" w:sz="2"/>
              <w:left w:val="none"/>
              <w:bottom w:val="single" w:color="D3DCE6" w:sz="2"/>
              <w:right w:val="none"/>
            </w:tcBorders>
            <w:tcMar>
              <w:top w:type="dxa" w:w="70"/>
              <w:left w:type="dxa" w:w="100"/>
              <w:bottom w:type="dxa" w:w="70"/>
              <w:right w:type="dxa" w:w="100"/>
            </w:tcMar>
          </w:tcPr>
          <w:p>
            <w:pPr>
              <w:spacing w:after="0" w:before="0" w:line="250"/>
              <w:jc w:val="right"/>
            </w:pPr>
            <w:r>
              <w:rPr>
                <w:rFonts w:ascii="Calibri" w:cs="Calibri" w:eastAsia="Calibri" w:hAnsi="Calibri"/>
                <w:color w:val="3D4A5A"/>
                <w:sz w:val="18"/>
                <w:szCs w:val="18"/>
              </w:rPr>
              <w:t xml:space="preserve">24.1</w:t>
            </w:r>
          </w:p>
        </w:tc>
        <w:tc>
          <w:tcPr>
            <w:tcW w:type="dxa" w:w="907"/>
            <w:tcBorders>
              <w:top w:val="single" w:color="D3DCE6" w:sz="2"/>
              <w:left w:val="none"/>
              <w:bottom w:val="single" w:color="D3DCE6" w:sz="2"/>
              <w:right w:val="none"/>
            </w:tcBorders>
            <w:tcMar>
              <w:top w:type="dxa" w:w="70"/>
              <w:left w:type="dxa" w:w="100"/>
              <w:bottom w:type="dxa" w:w="70"/>
              <w:right w:type="dxa" w:w="100"/>
            </w:tcMar>
          </w:tcPr>
          <w:p>
            <w:pPr>
              <w:spacing w:after="0" w:before="0" w:line="250"/>
              <w:jc w:val="right"/>
            </w:pPr>
            <w:r>
              <w:rPr>
                <w:rFonts w:ascii="Calibri" w:cs="Calibri" w:eastAsia="Calibri" w:hAnsi="Calibri"/>
                <w:color w:val="3D4A5A"/>
                <w:sz w:val="18"/>
                <w:szCs w:val="18"/>
              </w:rPr>
              <w:t xml:space="preserve">—</w:t>
            </w:r>
          </w:p>
        </w:tc>
        <w:tc>
          <w:tcPr>
            <w:tcW w:type="dxa" w:w="1008"/>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2F8562"/>
                <w:sz w:val="18"/>
                <w:szCs w:val="18"/>
              </w:rPr>
              <w:t xml:space="preserve">Operator</w:t>
            </w:r>
          </w:p>
        </w:tc>
        <w:tc>
          <w:tcPr>
            <w:tcW w:type="dxa" w:w="3326"/>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Literally the 3HUE thesis. Our title, not a borrowed keyword.</w:t>
            </w:r>
          </w:p>
        </w:tc>
      </w:tr>
      <w:tr>
        <w:trPr>
          <w:cantSplit/>
        </w:trPr>
        <w:tc>
          <w:tcPr>
            <w:tcW w:type="dxa" w:w="262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how to do an ai governance audit report</w:t>
            </w:r>
          </w:p>
        </w:tc>
        <w:tc>
          <w:tcPr>
            <w:tcW w:type="dxa" w:w="110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right"/>
            </w:pPr>
            <w:r>
              <w:rPr>
                <w:rFonts w:ascii="Calibri" w:cs="Calibri" w:eastAsia="Calibri" w:hAnsi="Calibri"/>
                <w:color w:val="3D4A5A"/>
                <w:sz w:val="18"/>
                <w:szCs w:val="18"/>
              </w:rPr>
              <w:t xml:space="preserve">4,968</w:t>
            </w:r>
          </w:p>
        </w:tc>
        <w:tc>
          <w:tcPr>
            <w:tcW w:type="dxa" w:w="110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right"/>
            </w:pPr>
            <w:r>
              <w:rPr>
                <w:rFonts w:ascii="Calibri" w:cs="Calibri" w:eastAsia="Calibri" w:hAnsi="Calibri"/>
                <w:b/>
                <w:bCs/>
                <w:color w:val="2F8562"/>
                <w:sz w:val="18"/>
                <w:szCs w:val="18"/>
              </w:rPr>
              <w:t xml:space="preserve">5.0</w:t>
            </w:r>
          </w:p>
        </w:tc>
        <w:tc>
          <w:tcPr>
            <w:tcW w:type="dxa" w:w="907"/>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right"/>
            </w:pPr>
            <w:r>
              <w:rPr>
                <w:rFonts w:ascii="Calibri" w:cs="Calibri" w:eastAsia="Calibri" w:hAnsi="Calibri"/>
                <w:color w:val="3D4A5A"/>
                <w:sz w:val="18"/>
                <w:szCs w:val="18"/>
              </w:rPr>
              <w:t xml:space="preserve">—</w:t>
            </w:r>
          </w:p>
        </w:tc>
        <w:tc>
          <w:tcPr>
            <w:tcW w:type="dxa" w:w="100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2F8562"/>
                <w:sz w:val="18"/>
                <w:szCs w:val="18"/>
              </w:rPr>
              <w:t xml:space="preserve">Operator</w:t>
            </w:r>
          </w:p>
        </w:tc>
        <w:tc>
          <w:tcPr>
            <w:tcW w:type="dxa" w:w="332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Lowest competition in the entire pull. Ship a template with it.</w:t>
            </w:r>
          </w:p>
        </w:tc>
      </w:tr>
      <w:tr>
        <w:trPr>
          <w:cantSplit/>
        </w:trPr>
        <w:tc>
          <w:tcPr>
            <w:tcW w:type="dxa" w:w="262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how to establish an ai governance framework</w:t>
            </w:r>
          </w:p>
        </w:tc>
        <w:tc>
          <w:tcPr>
            <w:tcW w:type="dxa" w:w="1109"/>
            <w:tcBorders>
              <w:top w:val="single" w:color="D3DCE6" w:sz="2"/>
              <w:left w:val="none"/>
              <w:bottom w:val="single" w:color="D3DCE6" w:sz="2"/>
              <w:right w:val="none"/>
            </w:tcBorders>
            <w:tcMar>
              <w:top w:type="dxa" w:w="70"/>
              <w:left w:type="dxa" w:w="100"/>
              <w:bottom w:type="dxa" w:w="70"/>
              <w:right w:type="dxa" w:w="100"/>
            </w:tcMar>
          </w:tcPr>
          <w:p>
            <w:pPr>
              <w:spacing w:after="0" w:before="0" w:line="250"/>
              <w:jc w:val="right"/>
            </w:pPr>
            <w:r>
              <w:rPr>
                <w:rFonts w:ascii="Calibri" w:cs="Calibri" w:eastAsia="Calibri" w:hAnsi="Calibri"/>
                <w:color w:val="3D4A5A"/>
                <w:sz w:val="18"/>
                <w:szCs w:val="18"/>
              </w:rPr>
              <w:t xml:space="preserve">4,962</w:t>
            </w:r>
          </w:p>
        </w:tc>
        <w:tc>
          <w:tcPr>
            <w:tcW w:type="dxa" w:w="1109"/>
            <w:tcBorders>
              <w:top w:val="single" w:color="D3DCE6" w:sz="2"/>
              <w:left w:val="none"/>
              <w:bottom w:val="single" w:color="D3DCE6" w:sz="2"/>
              <w:right w:val="none"/>
            </w:tcBorders>
            <w:tcMar>
              <w:top w:type="dxa" w:w="70"/>
              <w:left w:type="dxa" w:w="100"/>
              <w:bottom w:type="dxa" w:w="70"/>
              <w:right w:type="dxa" w:w="100"/>
            </w:tcMar>
          </w:tcPr>
          <w:p>
            <w:pPr>
              <w:spacing w:after="0" w:before="0" w:line="250"/>
              <w:jc w:val="right"/>
            </w:pPr>
            <w:r>
              <w:rPr>
                <w:rFonts w:ascii="Calibri" w:cs="Calibri" w:eastAsia="Calibri" w:hAnsi="Calibri"/>
                <w:color w:val="3D4A5A"/>
                <w:sz w:val="18"/>
                <w:szCs w:val="18"/>
              </w:rPr>
              <w:t xml:space="preserve">14.3</w:t>
            </w:r>
          </w:p>
        </w:tc>
        <w:tc>
          <w:tcPr>
            <w:tcW w:type="dxa" w:w="907"/>
            <w:tcBorders>
              <w:top w:val="single" w:color="D3DCE6" w:sz="2"/>
              <w:left w:val="none"/>
              <w:bottom w:val="single" w:color="D3DCE6" w:sz="2"/>
              <w:right w:val="none"/>
            </w:tcBorders>
            <w:tcMar>
              <w:top w:type="dxa" w:w="70"/>
              <w:left w:type="dxa" w:w="100"/>
              <w:bottom w:type="dxa" w:w="70"/>
              <w:right w:type="dxa" w:w="100"/>
            </w:tcMar>
          </w:tcPr>
          <w:p>
            <w:pPr>
              <w:spacing w:after="0" w:before="0" w:line="250"/>
              <w:jc w:val="right"/>
            </w:pPr>
            <w:r>
              <w:rPr>
                <w:rFonts w:ascii="Calibri" w:cs="Calibri" w:eastAsia="Calibri" w:hAnsi="Calibri"/>
                <w:color w:val="3D4A5A"/>
                <w:sz w:val="18"/>
                <w:szCs w:val="18"/>
              </w:rPr>
              <w:t xml:space="preserve">—</w:t>
            </w:r>
          </w:p>
        </w:tc>
        <w:tc>
          <w:tcPr>
            <w:tcW w:type="dxa" w:w="1008"/>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2F8562"/>
                <w:sz w:val="18"/>
                <w:szCs w:val="18"/>
              </w:rPr>
              <w:t xml:space="preserve">Operator</w:t>
            </w:r>
          </w:p>
        </w:tc>
        <w:tc>
          <w:tcPr>
            <w:tcW w:type="dxa" w:w="3326"/>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Maps to the 10-day AI Risk &amp; Readiness Snapshot.</w:t>
            </w:r>
          </w:p>
        </w:tc>
      </w:tr>
      <w:tr>
        <w:trPr>
          <w:cantSplit/>
        </w:trPr>
        <w:tc>
          <w:tcPr>
            <w:tcW w:type="dxa" w:w="262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iso 42001 implementation</w:t>
            </w:r>
          </w:p>
        </w:tc>
        <w:tc>
          <w:tcPr>
            <w:tcW w:type="dxa" w:w="110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right"/>
            </w:pPr>
            <w:r>
              <w:rPr>
                <w:rFonts w:ascii="Calibri" w:cs="Calibri" w:eastAsia="Calibri" w:hAnsi="Calibri"/>
                <w:color w:val="3D4A5A"/>
                <w:sz w:val="18"/>
                <w:szCs w:val="18"/>
              </w:rPr>
              <w:t xml:space="preserve">4,933</w:t>
            </w:r>
          </w:p>
        </w:tc>
        <w:tc>
          <w:tcPr>
            <w:tcW w:type="dxa" w:w="110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right"/>
            </w:pPr>
            <w:r>
              <w:rPr>
                <w:rFonts w:ascii="Calibri" w:cs="Calibri" w:eastAsia="Calibri" w:hAnsi="Calibri"/>
                <w:color w:val="3D4A5A"/>
                <w:sz w:val="18"/>
                <w:szCs w:val="18"/>
              </w:rPr>
              <w:t xml:space="preserve">10.2</w:t>
            </w:r>
          </w:p>
        </w:tc>
        <w:tc>
          <w:tcPr>
            <w:tcW w:type="dxa" w:w="907"/>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right"/>
            </w:pPr>
            <w:r>
              <w:rPr>
                <w:rFonts w:ascii="Calibri" w:cs="Calibri" w:eastAsia="Calibri" w:hAnsi="Calibri"/>
                <w:color w:val="3D4A5A"/>
                <w:sz w:val="18"/>
                <w:szCs w:val="18"/>
              </w:rPr>
              <w:t xml:space="preserve">—</w:t>
            </w:r>
          </w:p>
        </w:tc>
        <w:tc>
          <w:tcPr>
            <w:tcW w:type="dxa" w:w="100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2F8562"/>
                <w:sz w:val="18"/>
                <w:szCs w:val="18"/>
              </w:rPr>
              <w:t xml:space="preserve">Operator</w:t>
            </w:r>
          </w:p>
        </w:tc>
        <w:tc>
          <w:tcPr>
            <w:tcW w:type="dxa" w:w="332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Clause-by-clause series. Batch-produced.</w:t>
            </w:r>
          </w:p>
        </w:tc>
      </w:tr>
      <w:tr>
        <w:trPr>
          <w:cantSplit/>
        </w:trPr>
        <w:tc>
          <w:tcPr>
            <w:tcW w:type="dxa" w:w="262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soc 2 compliance checklist</w:t>
            </w:r>
          </w:p>
        </w:tc>
        <w:tc>
          <w:tcPr>
            <w:tcW w:type="dxa" w:w="1109"/>
            <w:tcBorders>
              <w:top w:val="single" w:color="D3DCE6" w:sz="2"/>
              <w:left w:val="none"/>
              <w:bottom w:val="single" w:color="D3DCE6" w:sz="2"/>
              <w:right w:val="none"/>
            </w:tcBorders>
            <w:tcMar>
              <w:top w:type="dxa" w:w="70"/>
              <w:left w:type="dxa" w:w="100"/>
              <w:bottom w:type="dxa" w:w="70"/>
              <w:right w:type="dxa" w:w="100"/>
            </w:tcMar>
          </w:tcPr>
          <w:p>
            <w:pPr>
              <w:spacing w:after="0" w:before="0" w:line="250"/>
              <w:jc w:val="right"/>
            </w:pPr>
            <w:r>
              <w:rPr>
                <w:rFonts w:ascii="Calibri" w:cs="Calibri" w:eastAsia="Calibri" w:hAnsi="Calibri"/>
                <w:color w:val="3D4A5A"/>
                <w:sz w:val="18"/>
                <w:szCs w:val="18"/>
              </w:rPr>
              <w:t xml:space="preserve">4,685</w:t>
            </w:r>
          </w:p>
        </w:tc>
        <w:tc>
          <w:tcPr>
            <w:tcW w:type="dxa" w:w="1109"/>
            <w:tcBorders>
              <w:top w:val="single" w:color="D3DCE6" w:sz="2"/>
              <w:left w:val="none"/>
              <w:bottom w:val="single" w:color="D3DCE6" w:sz="2"/>
              <w:right w:val="none"/>
            </w:tcBorders>
            <w:tcMar>
              <w:top w:type="dxa" w:w="70"/>
              <w:left w:type="dxa" w:w="100"/>
              <w:bottom w:type="dxa" w:w="70"/>
              <w:right w:type="dxa" w:w="100"/>
            </w:tcMar>
          </w:tcPr>
          <w:p>
            <w:pPr>
              <w:spacing w:after="0" w:before="0" w:line="250"/>
              <w:jc w:val="right"/>
            </w:pPr>
            <w:r>
              <w:rPr>
                <w:rFonts w:ascii="Calibri" w:cs="Calibri" w:eastAsia="Calibri" w:hAnsi="Calibri"/>
                <w:color w:val="3D4A5A"/>
                <w:sz w:val="18"/>
                <w:szCs w:val="18"/>
              </w:rPr>
              <w:t xml:space="preserve">5.3</w:t>
            </w:r>
          </w:p>
        </w:tc>
        <w:tc>
          <w:tcPr>
            <w:tcW w:type="dxa" w:w="907"/>
            <w:tcBorders>
              <w:top w:val="single" w:color="D3DCE6" w:sz="2"/>
              <w:left w:val="none"/>
              <w:bottom w:val="single" w:color="D3DCE6" w:sz="2"/>
              <w:right w:val="none"/>
            </w:tcBorders>
            <w:tcMar>
              <w:top w:type="dxa" w:w="70"/>
              <w:left w:type="dxa" w:w="100"/>
              <w:bottom w:type="dxa" w:w="70"/>
              <w:right w:type="dxa" w:w="100"/>
            </w:tcMar>
          </w:tcPr>
          <w:p>
            <w:pPr>
              <w:spacing w:after="0" w:before="0" w:line="250"/>
              <w:jc w:val="right"/>
            </w:pPr>
            <w:r>
              <w:rPr>
                <w:rFonts w:ascii="Calibri" w:cs="Calibri" w:eastAsia="Calibri" w:hAnsi="Calibri"/>
                <w:color w:val="3D4A5A"/>
                <w:sz w:val="18"/>
                <w:szCs w:val="18"/>
              </w:rPr>
              <w:t xml:space="preserve">—</w:t>
            </w:r>
          </w:p>
        </w:tc>
        <w:tc>
          <w:tcPr>
            <w:tcW w:type="dxa" w:w="1008"/>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2F8562"/>
                <w:sz w:val="18"/>
                <w:szCs w:val="18"/>
              </w:rPr>
              <w:t xml:space="preserve">Operator</w:t>
            </w:r>
          </w:p>
        </w:tc>
        <w:tc>
          <w:tcPr>
            <w:tcW w:type="dxa" w:w="3326"/>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Downloadable checklist — the one gated asset.</w:t>
            </w:r>
          </w:p>
        </w:tc>
      </w:tr>
      <w:tr>
        <w:trPr>
          <w:cantSplit/>
        </w:trPr>
        <w:tc>
          <w:tcPr>
            <w:tcW w:type="dxa" w:w="262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iso 42001 certification</w:t>
            </w:r>
          </w:p>
        </w:tc>
        <w:tc>
          <w:tcPr>
            <w:tcW w:type="dxa" w:w="110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right"/>
            </w:pPr>
            <w:r>
              <w:rPr>
                <w:rFonts w:ascii="Calibri" w:cs="Calibri" w:eastAsia="Calibri" w:hAnsi="Calibri"/>
                <w:color w:val="3D4A5A"/>
                <w:sz w:val="18"/>
                <w:szCs w:val="18"/>
              </w:rPr>
              <w:t xml:space="preserve">4,466</w:t>
            </w:r>
          </w:p>
        </w:tc>
        <w:tc>
          <w:tcPr>
            <w:tcW w:type="dxa" w:w="110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right"/>
            </w:pPr>
            <w:r>
              <w:rPr>
                <w:rFonts w:ascii="Calibri" w:cs="Calibri" w:eastAsia="Calibri" w:hAnsi="Calibri"/>
                <w:color w:val="3D4A5A"/>
                <w:sz w:val="18"/>
                <w:szCs w:val="18"/>
              </w:rPr>
              <w:t xml:space="preserve">14.7</w:t>
            </w:r>
          </w:p>
        </w:tc>
        <w:tc>
          <w:tcPr>
            <w:tcW w:type="dxa" w:w="907"/>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right"/>
            </w:pPr>
            <w:r>
              <w:rPr>
                <w:rFonts w:ascii="Calibri" w:cs="Calibri" w:eastAsia="Calibri" w:hAnsi="Calibri"/>
                <w:color w:val="3D4A5A"/>
                <w:sz w:val="18"/>
                <w:szCs w:val="18"/>
              </w:rPr>
              <w:t xml:space="preserve">—</w:t>
            </w:r>
          </w:p>
        </w:tc>
        <w:tc>
          <w:tcPr>
            <w:tcW w:type="dxa" w:w="100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2F8562"/>
                <w:sz w:val="18"/>
                <w:szCs w:val="18"/>
              </w:rPr>
              <w:t xml:space="preserve">Operator</w:t>
            </w:r>
          </w:p>
        </w:tc>
        <w:tc>
          <w:tcPr>
            <w:tcW w:type="dxa" w:w="332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Cost and timeline honesty video. Nobody publishes real numbers.</w:t>
            </w:r>
          </w:p>
        </w:tc>
      </w:tr>
      <w:tr>
        <w:trPr>
          <w:cantSplit/>
        </w:trPr>
        <w:tc>
          <w:tcPr>
            <w:tcW w:type="dxa" w:w="262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iso 27001 implementation</w:t>
            </w:r>
          </w:p>
        </w:tc>
        <w:tc>
          <w:tcPr>
            <w:tcW w:type="dxa" w:w="1109"/>
            <w:tcBorders>
              <w:top w:val="single" w:color="D3DCE6" w:sz="2"/>
              <w:left w:val="none"/>
              <w:bottom w:val="single" w:color="D3DCE6" w:sz="2"/>
              <w:right w:val="none"/>
            </w:tcBorders>
            <w:tcMar>
              <w:top w:type="dxa" w:w="70"/>
              <w:left w:type="dxa" w:w="100"/>
              <w:bottom w:type="dxa" w:w="70"/>
              <w:right w:type="dxa" w:w="100"/>
            </w:tcMar>
          </w:tcPr>
          <w:p>
            <w:pPr>
              <w:spacing w:after="0" w:before="0" w:line="250"/>
              <w:jc w:val="right"/>
            </w:pPr>
            <w:r>
              <w:rPr>
                <w:rFonts w:ascii="Calibri" w:cs="Calibri" w:eastAsia="Calibri" w:hAnsi="Calibri"/>
                <w:color w:val="3D4A5A"/>
                <w:sz w:val="18"/>
                <w:szCs w:val="18"/>
              </w:rPr>
              <w:t xml:space="preserve">4,163</w:t>
            </w:r>
          </w:p>
        </w:tc>
        <w:tc>
          <w:tcPr>
            <w:tcW w:type="dxa" w:w="1109"/>
            <w:tcBorders>
              <w:top w:val="single" w:color="D3DCE6" w:sz="2"/>
              <w:left w:val="none"/>
              <w:bottom w:val="single" w:color="D3DCE6" w:sz="2"/>
              <w:right w:val="none"/>
            </w:tcBorders>
            <w:tcMar>
              <w:top w:type="dxa" w:w="70"/>
              <w:left w:type="dxa" w:w="100"/>
              <w:bottom w:type="dxa" w:w="70"/>
              <w:right w:type="dxa" w:w="100"/>
            </w:tcMar>
          </w:tcPr>
          <w:p>
            <w:pPr>
              <w:spacing w:after="0" w:before="0" w:line="250"/>
              <w:jc w:val="right"/>
            </w:pPr>
            <w:r>
              <w:rPr>
                <w:rFonts w:ascii="Calibri" w:cs="Calibri" w:eastAsia="Calibri" w:hAnsi="Calibri"/>
                <w:color w:val="3D4A5A"/>
                <w:sz w:val="18"/>
                <w:szCs w:val="18"/>
              </w:rPr>
              <w:t xml:space="preserve">12.0</w:t>
            </w:r>
          </w:p>
        </w:tc>
        <w:tc>
          <w:tcPr>
            <w:tcW w:type="dxa" w:w="907"/>
            <w:tcBorders>
              <w:top w:val="single" w:color="D3DCE6" w:sz="2"/>
              <w:left w:val="none"/>
              <w:bottom w:val="single" w:color="D3DCE6" w:sz="2"/>
              <w:right w:val="none"/>
            </w:tcBorders>
            <w:tcMar>
              <w:top w:type="dxa" w:w="70"/>
              <w:left w:type="dxa" w:w="100"/>
              <w:bottom w:type="dxa" w:w="70"/>
              <w:right w:type="dxa" w:w="100"/>
            </w:tcMar>
          </w:tcPr>
          <w:p>
            <w:pPr>
              <w:spacing w:after="0" w:before="0" w:line="250"/>
              <w:jc w:val="right"/>
            </w:pPr>
            <w:r>
              <w:rPr>
                <w:rFonts w:ascii="Calibri" w:cs="Calibri" w:eastAsia="Calibri" w:hAnsi="Calibri"/>
                <w:color w:val="3D4A5A"/>
                <w:sz w:val="18"/>
                <w:szCs w:val="18"/>
              </w:rPr>
              <w:t xml:space="preserve">—</w:t>
            </w:r>
          </w:p>
        </w:tc>
        <w:tc>
          <w:tcPr>
            <w:tcW w:type="dxa" w:w="1008"/>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2F8562"/>
                <w:sz w:val="18"/>
                <w:szCs w:val="18"/>
              </w:rPr>
              <w:t xml:space="preserve">Operator</w:t>
            </w:r>
          </w:p>
        </w:tc>
        <w:tc>
          <w:tcPr>
            <w:tcW w:type="dxa" w:w="3326"/>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Bridge content — the ISMS buyer is the ISO 42001 buyer in 18 months.</w:t>
            </w:r>
          </w:p>
        </w:tc>
      </w:tr>
      <w:tr>
        <w:trPr>
          <w:cantSplit/>
        </w:trPr>
        <w:tc>
          <w:tcPr>
            <w:tcW w:type="dxa" w:w="262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soc 2 audit</w:t>
            </w:r>
          </w:p>
        </w:tc>
        <w:tc>
          <w:tcPr>
            <w:tcW w:type="dxa" w:w="110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right"/>
            </w:pPr>
            <w:r>
              <w:rPr>
                <w:rFonts w:ascii="Calibri" w:cs="Calibri" w:eastAsia="Calibri" w:hAnsi="Calibri"/>
                <w:color w:val="3D4A5A"/>
                <w:sz w:val="18"/>
                <w:szCs w:val="18"/>
              </w:rPr>
              <w:t xml:space="preserve">3,998</w:t>
            </w:r>
          </w:p>
        </w:tc>
        <w:tc>
          <w:tcPr>
            <w:tcW w:type="dxa" w:w="110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right"/>
            </w:pPr>
            <w:r>
              <w:rPr>
                <w:rFonts w:ascii="Calibri" w:cs="Calibri" w:eastAsia="Calibri" w:hAnsi="Calibri"/>
                <w:color w:val="3D4A5A"/>
                <w:sz w:val="18"/>
                <w:szCs w:val="18"/>
              </w:rPr>
              <w:t xml:space="preserve">7.3</w:t>
            </w:r>
          </w:p>
        </w:tc>
        <w:tc>
          <w:tcPr>
            <w:tcW w:type="dxa" w:w="907"/>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right"/>
            </w:pPr>
            <w:r>
              <w:rPr>
                <w:rFonts w:ascii="Calibri" w:cs="Calibri" w:eastAsia="Calibri" w:hAnsi="Calibri"/>
                <w:color w:val="3D4A5A"/>
                <w:sz w:val="18"/>
                <w:szCs w:val="18"/>
              </w:rPr>
              <w:t xml:space="preserve">—</w:t>
            </w:r>
          </w:p>
        </w:tc>
        <w:tc>
          <w:tcPr>
            <w:tcW w:type="dxa" w:w="100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2F8562"/>
                <w:sz w:val="18"/>
                <w:szCs w:val="18"/>
              </w:rPr>
              <w:t xml:space="preserve">Operator</w:t>
            </w:r>
          </w:p>
        </w:tc>
        <w:tc>
          <w:tcPr>
            <w:tcW w:type="dxa" w:w="332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Ties to the Transit Technologies zero-findings story.</w:t>
            </w:r>
          </w:p>
        </w:tc>
      </w:tr>
      <w:tr>
        <w:trPr>
          <w:cantSplit/>
        </w:trPr>
        <w:tc>
          <w:tcPr>
            <w:tcW w:type="dxa" w:w="262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soc 2 type 2</w:t>
            </w:r>
          </w:p>
        </w:tc>
        <w:tc>
          <w:tcPr>
            <w:tcW w:type="dxa" w:w="1109"/>
            <w:tcBorders>
              <w:top w:val="single" w:color="D3DCE6" w:sz="2"/>
              <w:left w:val="none"/>
              <w:bottom w:val="single" w:color="D3DCE6" w:sz="2"/>
              <w:right w:val="none"/>
            </w:tcBorders>
            <w:tcMar>
              <w:top w:type="dxa" w:w="70"/>
              <w:left w:type="dxa" w:w="100"/>
              <w:bottom w:type="dxa" w:w="70"/>
              <w:right w:type="dxa" w:w="100"/>
            </w:tcMar>
          </w:tcPr>
          <w:p>
            <w:pPr>
              <w:spacing w:after="0" w:before="0" w:line="250"/>
              <w:jc w:val="right"/>
            </w:pPr>
            <w:r>
              <w:rPr>
                <w:rFonts w:ascii="Calibri" w:cs="Calibri" w:eastAsia="Calibri" w:hAnsi="Calibri"/>
                <w:color w:val="3D4A5A"/>
                <w:sz w:val="18"/>
                <w:szCs w:val="18"/>
              </w:rPr>
              <w:t xml:space="preserve">3,700</w:t>
            </w:r>
          </w:p>
        </w:tc>
        <w:tc>
          <w:tcPr>
            <w:tcW w:type="dxa" w:w="1109"/>
            <w:tcBorders>
              <w:top w:val="single" w:color="D3DCE6" w:sz="2"/>
              <w:left w:val="none"/>
              <w:bottom w:val="single" w:color="D3DCE6" w:sz="2"/>
              <w:right w:val="none"/>
            </w:tcBorders>
            <w:tcMar>
              <w:top w:type="dxa" w:w="70"/>
              <w:left w:type="dxa" w:w="100"/>
              <w:bottom w:type="dxa" w:w="70"/>
              <w:right w:type="dxa" w:w="100"/>
            </w:tcMar>
          </w:tcPr>
          <w:p>
            <w:pPr>
              <w:spacing w:after="0" w:before="0" w:line="250"/>
              <w:jc w:val="right"/>
            </w:pPr>
            <w:r>
              <w:rPr>
                <w:rFonts w:ascii="Calibri" w:cs="Calibri" w:eastAsia="Calibri" w:hAnsi="Calibri"/>
                <w:color w:val="3D4A5A"/>
                <w:sz w:val="18"/>
                <w:szCs w:val="18"/>
              </w:rPr>
              <w:t xml:space="preserve">9.3</w:t>
            </w:r>
          </w:p>
        </w:tc>
        <w:tc>
          <w:tcPr>
            <w:tcW w:type="dxa" w:w="907"/>
            <w:tcBorders>
              <w:top w:val="single" w:color="D3DCE6" w:sz="2"/>
              <w:left w:val="none"/>
              <w:bottom w:val="single" w:color="D3DCE6" w:sz="2"/>
              <w:right w:val="none"/>
            </w:tcBorders>
            <w:tcMar>
              <w:top w:type="dxa" w:w="70"/>
              <w:left w:type="dxa" w:w="100"/>
              <w:bottom w:type="dxa" w:w="70"/>
              <w:right w:type="dxa" w:w="100"/>
            </w:tcMar>
          </w:tcPr>
          <w:p>
            <w:pPr>
              <w:spacing w:after="0" w:before="0" w:line="250"/>
              <w:jc w:val="right"/>
            </w:pPr>
            <w:r>
              <w:rPr>
                <w:rFonts w:ascii="Calibri" w:cs="Calibri" w:eastAsia="Calibri" w:hAnsi="Calibri"/>
                <w:color w:val="3D4A5A"/>
                <w:sz w:val="18"/>
                <w:szCs w:val="18"/>
              </w:rPr>
              <w:t xml:space="preserve">—</w:t>
            </w:r>
          </w:p>
        </w:tc>
        <w:tc>
          <w:tcPr>
            <w:tcW w:type="dxa" w:w="1008"/>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2F8562"/>
                <w:sz w:val="18"/>
                <w:szCs w:val="18"/>
              </w:rPr>
              <w:t xml:space="preserve">Operator</w:t>
            </w:r>
          </w:p>
        </w:tc>
        <w:tc>
          <w:tcPr>
            <w:tcW w:type="dxa" w:w="3326"/>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Type I to Type II sequencing. Common, expensive confusion.</w:t>
            </w:r>
          </w:p>
        </w:tc>
      </w:tr>
      <w:tr>
        <w:trPr>
          <w:cantSplit/>
        </w:trPr>
        <w:tc>
          <w:tcPr>
            <w:tcW w:type="dxa" w:w="262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iso 27001 lead implementer training</w:t>
            </w:r>
          </w:p>
        </w:tc>
        <w:tc>
          <w:tcPr>
            <w:tcW w:type="dxa" w:w="110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right"/>
            </w:pPr>
            <w:r>
              <w:rPr>
                <w:rFonts w:ascii="Calibri" w:cs="Calibri" w:eastAsia="Calibri" w:hAnsi="Calibri"/>
                <w:color w:val="3D4A5A"/>
                <w:sz w:val="18"/>
                <w:szCs w:val="18"/>
              </w:rPr>
              <w:t xml:space="preserve">8,118</w:t>
            </w:r>
          </w:p>
        </w:tc>
        <w:tc>
          <w:tcPr>
            <w:tcW w:type="dxa" w:w="110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right"/>
            </w:pPr>
            <w:r>
              <w:rPr>
                <w:rFonts w:ascii="Calibri" w:cs="Calibri" w:eastAsia="Calibri" w:hAnsi="Calibri"/>
                <w:color w:val="3D4A5A"/>
                <w:sz w:val="18"/>
                <w:szCs w:val="18"/>
              </w:rPr>
              <w:t xml:space="preserve">15.9</w:t>
            </w:r>
          </w:p>
        </w:tc>
        <w:tc>
          <w:tcPr>
            <w:tcW w:type="dxa" w:w="907"/>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right"/>
            </w:pPr>
            <w:r>
              <w:rPr>
                <w:rFonts w:ascii="Calibri" w:cs="Calibri" w:eastAsia="Calibri" w:hAnsi="Calibri"/>
                <w:color w:val="A8781F"/>
                <w:sz w:val="18"/>
                <w:szCs w:val="18"/>
              </w:rPr>
              <w:t xml:space="preserve">+85%</w:t>
            </w:r>
          </w:p>
        </w:tc>
        <w:tc>
          <w:tcPr>
            <w:tcW w:type="dxa" w:w="100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A8781F"/>
                <w:sz w:val="18"/>
                <w:szCs w:val="18"/>
              </w:rPr>
              <w:t xml:space="preserve">Career</w:t>
            </w:r>
          </w:p>
        </w:tc>
        <w:tc>
          <w:tcPr>
            <w:tcW w:type="dxa" w:w="332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Skip. This is how you build an audience of job seekers.</w:t>
            </w:r>
          </w:p>
        </w:tc>
      </w:tr>
      <w:tr>
        <w:trPr>
          <w:cantSplit/>
        </w:trPr>
        <w:tc>
          <w:tcPr>
            <w:tcW w:type="dxa" w:w="262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soc 2 explained</w:t>
            </w:r>
          </w:p>
        </w:tc>
        <w:tc>
          <w:tcPr>
            <w:tcW w:type="dxa" w:w="1109"/>
            <w:tcBorders>
              <w:top w:val="single" w:color="D3DCE6" w:sz="2"/>
              <w:left w:val="none"/>
              <w:bottom w:val="single" w:color="D3DCE6" w:sz="2"/>
              <w:right w:val="none"/>
            </w:tcBorders>
            <w:tcMar>
              <w:top w:type="dxa" w:w="70"/>
              <w:left w:type="dxa" w:w="100"/>
              <w:bottom w:type="dxa" w:w="70"/>
              <w:right w:type="dxa" w:w="100"/>
            </w:tcMar>
          </w:tcPr>
          <w:p>
            <w:pPr>
              <w:spacing w:after="0" w:before="0" w:line="250"/>
              <w:jc w:val="right"/>
            </w:pPr>
            <w:r>
              <w:rPr>
                <w:rFonts w:ascii="Calibri" w:cs="Calibri" w:eastAsia="Calibri" w:hAnsi="Calibri"/>
                <w:color w:val="3D4A5A"/>
                <w:sz w:val="18"/>
                <w:szCs w:val="18"/>
              </w:rPr>
              <w:t xml:space="preserve">6,476</w:t>
            </w:r>
          </w:p>
        </w:tc>
        <w:tc>
          <w:tcPr>
            <w:tcW w:type="dxa" w:w="1109"/>
            <w:tcBorders>
              <w:top w:val="single" w:color="D3DCE6" w:sz="2"/>
              <w:left w:val="none"/>
              <w:bottom w:val="single" w:color="D3DCE6" w:sz="2"/>
              <w:right w:val="none"/>
            </w:tcBorders>
            <w:tcMar>
              <w:top w:type="dxa" w:w="70"/>
              <w:left w:type="dxa" w:w="100"/>
              <w:bottom w:type="dxa" w:w="70"/>
              <w:right w:type="dxa" w:w="100"/>
            </w:tcMar>
          </w:tcPr>
          <w:p>
            <w:pPr>
              <w:spacing w:after="0" w:before="0" w:line="250"/>
              <w:jc w:val="right"/>
            </w:pPr>
            <w:r>
              <w:rPr>
                <w:rFonts w:ascii="Calibri" w:cs="Calibri" w:eastAsia="Calibri" w:hAnsi="Calibri"/>
                <w:color w:val="3D4A5A"/>
                <w:sz w:val="18"/>
                <w:szCs w:val="18"/>
              </w:rPr>
              <w:t xml:space="preserve">8.3</w:t>
            </w:r>
          </w:p>
        </w:tc>
        <w:tc>
          <w:tcPr>
            <w:tcW w:type="dxa" w:w="907"/>
            <w:tcBorders>
              <w:top w:val="single" w:color="D3DCE6" w:sz="2"/>
              <w:left w:val="none"/>
              <w:bottom w:val="single" w:color="D3DCE6" w:sz="2"/>
              <w:right w:val="none"/>
            </w:tcBorders>
            <w:tcMar>
              <w:top w:type="dxa" w:w="70"/>
              <w:left w:type="dxa" w:w="100"/>
              <w:bottom w:type="dxa" w:w="70"/>
              <w:right w:type="dxa" w:w="100"/>
            </w:tcMar>
          </w:tcPr>
          <w:p>
            <w:pPr>
              <w:spacing w:after="0" w:before="0" w:line="250"/>
              <w:jc w:val="right"/>
            </w:pPr>
            <w:r>
              <w:rPr>
                <w:rFonts w:ascii="Calibri" w:cs="Calibri" w:eastAsia="Calibri" w:hAnsi="Calibri"/>
                <w:color w:val="3D4A5A"/>
                <w:sz w:val="18"/>
                <w:szCs w:val="18"/>
              </w:rPr>
              <w:t xml:space="preserve">—</w:t>
            </w:r>
          </w:p>
        </w:tc>
        <w:tc>
          <w:tcPr>
            <w:tcW w:type="dxa" w:w="1008"/>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A8781F"/>
                <w:sz w:val="18"/>
                <w:szCs w:val="18"/>
              </w:rPr>
              <w:t xml:space="preserve">Career</w:t>
            </w:r>
          </w:p>
        </w:tc>
        <w:tc>
          <w:tcPr>
            <w:tcW w:type="dxa" w:w="3326"/>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Skip. Vanta and every GRC platform already own it.</w:t>
            </w:r>
          </w:p>
        </w:tc>
      </w:tr>
      <w:tr>
        <w:trPr>
          <w:cantSplit/>
        </w:trPr>
        <w:tc>
          <w:tcPr>
            <w:tcW w:type="dxa" w:w="262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what is ai governance</w:t>
            </w:r>
          </w:p>
        </w:tc>
        <w:tc>
          <w:tcPr>
            <w:tcW w:type="dxa" w:w="110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right"/>
            </w:pPr>
            <w:r>
              <w:rPr>
                <w:rFonts w:ascii="Calibri" w:cs="Calibri" w:eastAsia="Calibri" w:hAnsi="Calibri"/>
                <w:color w:val="3D4A5A"/>
                <w:sz w:val="18"/>
                <w:szCs w:val="18"/>
              </w:rPr>
              <w:t xml:space="preserve">13,131</w:t>
            </w:r>
          </w:p>
        </w:tc>
        <w:tc>
          <w:tcPr>
            <w:tcW w:type="dxa" w:w="110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right"/>
            </w:pPr>
            <w:r>
              <w:rPr>
                <w:rFonts w:ascii="Calibri" w:cs="Calibri" w:eastAsia="Calibri" w:hAnsi="Calibri"/>
                <w:color w:val="3D4A5A"/>
                <w:sz w:val="18"/>
                <w:szCs w:val="18"/>
              </w:rPr>
              <w:t xml:space="preserve">44.0</w:t>
            </w:r>
          </w:p>
        </w:tc>
        <w:tc>
          <w:tcPr>
            <w:tcW w:type="dxa" w:w="907"/>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right"/>
            </w:pPr>
            <w:r>
              <w:rPr>
                <w:rFonts w:ascii="Calibri" w:cs="Calibri" w:eastAsia="Calibri" w:hAnsi="Calibri"/>
                <w:color w:val="3D4A5A"/>
                <w:sz w:val="18"/>
                <w:szCs w:val="18"/>
              </w:rPr>
              <w:t xml:space="preserve">—</w:t>
            </w:r>
          </w:p>
        </w:tc>
        <w:tc>
          <w:tcPr>
            <w:tcW w:type="dxa" w:w="100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A4462F"/>
                <w:sz w:val="18"/>
                <w:szCs w:val="18"/>
              </w:rPr>
              <w:t xml:space="preserve">Category</w:t>
            </w:r>
          </w:p>
        </w:tc>
        <w:tc>
          <w:tcPr>
            <w:tcW w:type="dxa" w:w="332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Skip. Definitional traffic that never books a call.</w:t>
            </w:r>
          </w:p>
        </w:tc>
      </w:tr>
      <w:tr>
        <w:trPr>
          <w:cantSplit/>
        </w:trPr>
        <w:tc>
          <w:tcPr>
            <w:tcW w:type="dxa" w:w="262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ai governance (category head)</w:t>
            </w:r>
          </w:p>
        </w:tc>
        <w:tc>
          <w:tcPr>
            <w:tcW w:type="dxa" w:w="1109"/>
            <w:tcBorders>
              <w:top w:val="single" w:color="D3DCE6" w:sz="2"/>
              <w:left w:val="none"/>
              <w:bottom w:val="single" w:color="D3DCE6" w:sz="2"/>
              <w:right w:val="none"/>
            </w:tcBorders>
            <w:tcMar>
              <w:top w:type="dxa" w:w="70"/>
              <w:left w:type="dxa" w:w="100"/>
              <w:bottom w:type="dxa" w:w="70"/>
              <w:right w:type="dxa" w:w="100"/>
            </w:tcMar>
          </w:tcPr>
          <w:p>
            <w:pPr>
              <w:spacing w:after="0" w:before="0" w:line="250"/>
              <w:jc w:val="right"/>
            </w:pPr>
            <w:r>
              <w:rPr>
                <w:rFonts w:ascii="Calibri" w:cs="Calibri" w:eastAsia="Calibri" w:hAnsi="Calibri"/>
                <w:color w:val="3D4A5A"/>
                <w:sz w:val="18"/>
                <w:szCs w:val="18"/>
              </w:rPr>
              <w:t xml:space="preserve">55,887</w:t>
            </w:r>
          </w:p>
        </w:tc>
        <w:tc>
          <w:tcPr>
            <w:tcW w:type="dxa" w:w="1109"/>
            <w:tcBorders>
              <w:top w:val="single" w:color="D3DCE6" w:sz="2"/>
              <w:left w:val="none"/>
              <w:bottom w:val="single" w:color="D3DCE6" w:sz="2"/>
              <w:right w:val="none"/>
            </w:tcBorders>
            <w:tcMar>
              <w:top w:type="dxa" w:w="70"/>
              <w:left w:type="dxa" w:w="100"/>
              <w:bottom w:type="dxa" w:w="70"/>
              <w:right w:type="dxa" w:w="100"/>
            </w:tcMar>
          </w:tcPr>
          <w:p>
            <w:pPr>
              <w:spacing w:after="0" w:before="0" w:line="250"/>
              <w:jc w:val="right"/>
            </w:pPr>
            <w:r>
              <w:rPr>
                <w:rFonts w:ascii="Calibri" w:cs="Calibri" w:eastAsia="Calibri" w:hAnsi="Calibri"/>
                <w:color w:val="3D4A5A"/>
                <w:sz w:val="18"/>
                <w:szCs w:val="18"/>
              </w:rPr>
              <w:t xml:space="preserve">42.1</w:t>
            </w:r>
          </w:p>
        </w:tc>
        <w:tc>
          <w:tcPr>
            <w:tcW w:type="dxa" w:w="907"/>
            <w:tcBorders>
              <w:top w:val="single" w:color="D3DCE6" w:sz="2"/>
              <w:left w:val="none"/>
              <w:bottom w:val="single" w:color="D3DCE6" w:sz="2"/>
              <w:right w:val="none"/>
            </w:tcBorders>
            <w:tcMar>
              <w:top w:type="dxa" w:w="70"/>
              <w:left w:type="dxa" w:w="100"/>
              <w:bottom w:type="dxa" w:w="70"/>
              <w:right w:type="dxa" w:w="100"/>
            </w:tcMar>
          </w:tcPr>
          <w:p>
            <w:pPr>
              <w:spacing w:after="0" w:before="0" w:line="250"/>
              <w:jc w:val="right"/>
            </w:pPr>
            <w:r>
              <w:rPr>
                <w:rFonts w:ascii="Calibri" w:cs="Calibri" w:eastAsia="Calibri" w:hAnsi="Calibri"/>
                <w:color w:val="A4462F"/>
                <w:sz w:val="18"/>
                <w:szCs w:val="18"/>
              </w:rPr>
              <w:t xml:space="preserve">−25%</w:t>
            </w:r>
          </w:p>
        </w:tc>
        <w:tc>
          <w:tcPr>
            <w:tcW w:type="dxa" w:w="1008"/>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A4462F"/>
                <w:sz w:val="18"/>
                <w:szCs w:val="18"/>
              </w:rPr>
              <w:t xml:space="preserve">Category</w:t>
            </w:r>
          </w:p>
        </w:tc>
        <w:tc>
          <w:tcPr>
            <w:tcW w:type="dxa" w:w="3326"/>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40% US share = 21,734 US searches. Too broad to convert head-on.</w:t>
            </w:r>
          </w:p>
        </w:tc>
      </w:tr>
      <w:tr>
        <w:trPr>
          <w:cantSplit/>
        </w:trPr>
        <w:tc>
          <w:tcPr>
            <w:tcW w:type="dxa" w:w="262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ai ethics</w:t>
            </w:r>
          </w:p>
        </w:tc>
        <w:tc>
          <w:tcPr>
            <w:tcW w:type="dxa" w:w="110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right"/>
            </w:pPr>
            <w:r>
              <w:rPr>
                <w:rFonts w:ascii="Calibri" w:cs="Calibri" w:eastAsia="Calibri" w:hAnsi="Calibri"/>
                <w:color w:val="3D4A5A"/>
                <w:sz w:val="18"/>
                <w:szCs w:val="18"/>
              </w:rPr>
              <w:t xml:space="preserve">10,056</w:t>
            </w:r>
          </w:p>
        </w:tc>
        <w:tc>
          <w:tcPr>
            <w:tcW w:type="dxa" w:w="110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right"/>
            </w:pPr>
            <w:r>
              <w:rPr>
                <w:rFonts w:ascii="Calibri" w:cs="Calibri" w:eastAsia="Calibri" w:hAnsi="Calibri"/>
                <w:color w:val="3D4A5A"/>
                <w:sz w:val="18"/>
                <w:szCs w:val="18"/>
              </w:rPr>
              <w:t xml:space="preserve">50.0</w:t>
            </w:r>
          </w:p>
        </w:tc>
        <w:tc>
          <w:tcPr>
            <w:tcW w:type="dxa" w:w="907"/>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right"/>
            </w:pPr>
            <w:r>
              <w:rPr>
                <w:rFonts w:ascii="Calibri" w:cs="Calibri" w:eastAsia="Calibri" w:hAnsi="Calibri"/>
                <w:color w:val="A4462F"/>
                <w:sz w:val="18"/>
                <w:szCs w:val="18"/>
              </w:rPr>
              <w:t xml:space="preserve">−46%</w:t>
            </w:r>
          </w:p>
        </w:tc>
        <w:tc>
          <w:tcPr>
            <w:tcW w:type="dxa" w:w="100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A4462F"/>
                <w:sz w:val="18"/>
                <w:szCs w:val="18"/>
              </w:rPr>
              <w:t xml:space="preserve">Category</w:t>
            </w:r>
          </w:p>
        </w:tc>
        <w:tc>
          <w:tcPr>
            <w:tcW w:type="dxa" w:w="332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Skip. Declining and academic.</w:t>
            </w:r>
          </w:p>
        </w:tc>
      </w:tr>
      <w:tr>
        <w:trPr>
          <w:cantSplit/>
        </w:trPr>
        <w:tc>
          <w:tcPr>
            <w:tcW w:type="dxa" w:w="262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cybersecurity consulting</w:t>
            </w:r>
          </w:p>
        </w:tc>
        <w:tc>
          <w:tcPr>
            <w:tcW w:type="dxa" w:w="1109"/>
            <w:tcBorders>
              <w:top w:val="single" w:color="D3DCE6" w:sz="2"/>
              <w:left w:val="none"/>
              <w:bottom w:val="single" w:color="D3DCE6" w:sz="2"/>
              <w:right w:val="none"/>
            </w:tcBorders>
            <w:tcMar>
              <w:top w:type="dxa" w:w="70"/>
              <w:left w:type="dxa" w:w="100"/>
              <w:bottom w:type="dxa" w:w="70"/>
              <w:right w:type="dxa" w:w="100"/>
            </w:tcMar>
          </w:tcPr>
          <w:p>
            <w:pPr>
              <w:spacing w:after="0" w:before="0" w:line="250"/>
              <w:jc w:val="right"/>
            </w:pPr>
            <w:r>
              <w:rPr>
                <w:rFonts w:ascii="Calibri" w:cs="Calibri" w:eastAsia="Calibri" w:hAnsi="Calibri"/>
                <w:color w:val="3D4A5A"/>
                <w:sz w:val="18"/>
                <w:szCs w:val="18"/>
              </w:rPr>
              <w:t xml:space="preserve">5,427</w:t>
            </w:r>
          </w:p>
        </w:tc>
        <w:tc>
          <w:tcPr>
            <w:tcW w:type="dxa" w:w="1109"/>
            <w:tcBorders>
              <w:top w:val="single" w:color="D3DCE6" w:sz="2"/>
              <w:left w:val="none"/>
              <w:bottom w:val="single" w:color="D3DCE6" w:sz="2"/>
              <w:right w:val="none"/>
            </w:tcBorders>
            <w:tcMar>
              <w:top w:type="dxa" w:w="70"/>
              <w:left w:type="dxa" w:w="100"/>
              <w:bottom w:type="dxa" w:w="70"/>
              <w:right w:type="dxa" w:w="100"/>
            </w:tcMar>
          </w:tcPr>
          <w:p>
            <w:pPr>
              <w:spacing w:after="0" w:before="0" w:line="250"/>
              <w:jc w:val="right"/>
            </w:pPr>
            <w:r>
              <w:rPr>
                <w:rFonts w:ascii="Calibri" w:cs="Calibri" w:eastAsia="Calibri" w:hAnsi="Calibri"/>
                <w:color w:val="3D4A5A"/>
                <w:sz w:val="18"/>
                <w:szCs w:val="18"/>
              </w:rPr>
              <w:t xml:space="preserve">—</w:t>
            </w:r>
          </w:p>
        </w:tc>
        <w:tc>
          <w:tcPr>
            <w:tcW w:type="dxa" w:w="907"/>
            <w:tcBorders>
              <w:top w:val="single" w:color="D3DCE6" w:sz="2"/>
              <w:left w:val="none"/>
              <w:bottom w:val="single" w:color="D3DCE6" w:sz="2"/>
              <w:right w:val="none"/>
            </w:tcBorders>
            <w:tcMar>
              <w:top w:type="dxa" w:w="70"/>
              <w:left w:type="dxa" w:w="100"/>
              <w:bottom w:type="dxa" w:w="70"/>
              <w:right w:type="dxa" w:w="100"/>
            </w:tcMar>
          </w:tcPr>
          <w:p>
            <w:pPr>
              <w:spacing w:after="0" w:before="0" w:line="250"/>
              <w:jc w:val="right"/>
            </w:pPr>
            <w:r>
              <w:rPr>
                <w:rFonts w:ascii="Calibri" w:cs="Calibri" w:eastAsia="Calibri" w:hAnsi="Calibri"/>
                <w:color w:val="A4462F"/>
                <w:sz w:val="18"/>
                <w:szCs w:val="18"/>
              </w:rPr>
              <w:t xml:space="preserve">−46%</w:t>
            </w:r>
          </w:p>
        </w:tc>
        <w:tc>
          <w:tcPr>
            <w:tcW w:type="dxa" w:w="1008"/>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A4462F"/>
                <w:sz w:val="18"/>
                <w:szCs w:val="18"/>
              </w:rPr>
              <w:t xml:space="preserve">Category</w:t>
            </w:r>
          </w:p>
        </w:tc>
        <w:tc>
          <w:tcPr>
            <w:tcW w:type="dxa" w:w="3326"/>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Skip. The category itself is shrinking on YouTube.</w:t>
            </w:r>
          </w:p>
        </w:tc>
      </w:tr>
      <w:tr>
        <w:trPr>
          <w:cantSplit/>
        </w:trPr>
        <w:tc>
          <w:tcPr>
            <w:tcW w:type="dxa" w:w="262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A4462F"/>
                <w:sz w:val="18"/>
                <w:szCs w:val="18"/>
              </w:rPr>
              <w:t xml:space="preserve">vciso / virtual ciso / vciso services</w:t>
            </w:r>
          </w:p>
        </w:tc>
        <w:tc>
          <w:tcPr>
            <w:tcW w:type="dxa" w:w="110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right"/>
            </w:pPr>
            <w:r>
              <w:rPr>
                <w:rFonts w:ascii="Calibri" w:cs="Calibri" w:eastAsia="Calibri" w:hAnsi="Calibri"/>
                <w:color w:val="A4462F"/>
                <w:sz w:val="18"/>
                <w:szCs w:val="18"/>
              </w:rPr>
              <w:t xml:space="preserve">&lt;750</w:t>
            </w:r>
          </w:p>
        </w:tc>
        <w:tc>
          <w:tcPr>
            <w:tcW w:type="dxa" w:w="110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right"/>
            </w:pPr>
            <w:r>
              <w:rPr>
                <w:rFonts w:ascii="Calibri" w:cs="Calibri" w:eastAsia="Calibri" w:hAnsi="Calibri"/>
                <w:color w:val="3D4A5A"/>
                <w:sz w:val="18"/>
                <w:szCs w:val="18"/>
              </w:rPr>
              <w:t xml:space="preserve">—</w:t>
            </w:r>
          </w:p>
        </w:tc>
        <w:tc>
          <w:tcPr>
            <w:tcW w:type="dxa" w:w="907"/>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right"/>
            </w:pPr>
            <w:r>
              <w:rPr>
                <w:rFonts w:ascii="Calibri" w:cs="Calibri" w:eastAsia="Calibri" w:hAnsi="Calibri"/>
                <w:color w:val="3D4A5A"/>
                <w:sz w:val="18"/>
                <w:szCs w:val="18"/>
              </w:rPr>
              <w:t xml:space="preserve">—</w:t>
            </w:r>
          </w:p>
        </w:tc>
        <w:tc>
          <w:tcPr>
            <w:tcW w:type="dxa" w:w="100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A4462F"/>
                <w:sz w:val="18"/>
                <w:szCs w:val="18"/>
              </w:rPr>
              <w:t xml:space="preserve">No demand</w:t>
            </w:r>
          </w:p>
        </w:tc>
        <w:tc>
          <w:tcPr>
            <w:tcW w:type="dxa" w:w="332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Do not build a franchise here. There is no search audience.</w:t>
            </w:r>
          </w:p>
        </w:tc>
      </w:tr>
    </w:tbl>
    <w:p>
      <w:pPr>
        <w:spacing w:after="180" w:before="0" w:line="276"/>
      </w:pPr>
      <w:r>
        <w:rPr>
          <w:rFonts w:ascii="Calibri" w:cs="Calibri" w:eastAsia="Calibri" w:hAnsi="Calibri"/>
          <w:color w:val="3D4A5A"/>
          <w:sz w:val="8"/>
          <w:szCs w:val="8"/>
        </w:rPr>
        <w:t xml:space="preserve"/>
      </w:r>
    </w:p>
    <w:p>
      <w:pPr>
        <w:spacing w:after="160" w:before="0" w:line="276"/>
      </w:pPr>
      <w:r>
        <w:rPr>
          <w:rFonts w:ascii="Calibri" w:cs="Calibri" w:eastAsia="Calibri" w:hAnsi="Calibri"/>
          <w:b/>
          <w:bCs/>
          <w:color w:val="6B7A8C"/>
          <w:sz w:val="16"/>
          <w:szCs w:val="16"/>
        </w:rPr>
        <w:t xml:space="preserve">Source: </w:t>
      </w:r>
      <w:r>
        <w:rPr>
          <w:rFonts w:ascii="Calibri" w:cs="Calibri" w:eastAsia="Calibri" w:hAnsi="Calibri"/>
          <w:color w:val="6B7A8C"/>
          <w:sz w:val="16"/>
          <w:szCs w:val="16"/>
        </w:rPr>
        <w:t xml:space="preserve">vidIQ keyword research, US-weighted, pulled 2 September 2026. Competition is a 0–100 scale. Growth compares current demand against a 30-day baseline.</w:t>
      </w:r>
    </w:p>
    <w:tbl>
      <w:tblPr>
        <w:tblW w:type="dxa" w:w="10080"/>
        <w:tblBorders>
          <w:top w:val="none"/>
          <w:left w:val="single" w:color="A4462F" w:sz="18"/>
          <w:bottom w:val="none"/>
          <w:right w:val="none"/>
          <w:insideH w:val="none"/>
          <w:insideV w:val="none"/>
        </w:tblBorders>
      </w:tblPr>
      <w:tblGrid>
        <w:gridCol w:w="10080"/>
      </w:tblGrid>
      <w:tr>
        <w:trPr>
          <w:cantSplit/>
        </w:trPr>
        <w:tc>
          <w:tcPr>
            <w:tcW w:type="dxa" w:w="10080"/>
            <w:tcBorders>
              <w:top w:val="none"/>
              <w:left w:val="none"/>
              <w:bottom w:val="none"/>
              <w:right w:val="none"/>
            </w:tcBorders>
            <w:shd w:fill="FBEEEA" w:color="auto" w:val="clear"/>
            <w:tcMar>
              <w:top w:type="dxa" w:w="130"/>
              <w:left w:type="dxa" w:w="180"/>
              <w:bottom w:type="dxa" w:w="130"/>
              <w:right w:type="dxa" w:w="160"/>
            </w:tcMar>
          </w:tcPr>
          <w:p>
            <w:pPr>
              <w:keepNext/>
              <w:spacing w:after="60" w:before="0" w:line="260"/>
            </w:pPr>
            <w:r>
              <w:rPr>
                <w:rFonts w:ascii="Calibri" w:cs="Calibri" w:eastAsia="Calibri" w:hAnsi="Calibri"/>
                <w:b/>
                <w:bCs/>
                <w:color w:val="A4462F"/>
                <w:sz w:val="19"/>
                <w:szCs w:val="19"/>
              </w:rPr>
              <w:t xml:space="preserve">Read the negatives too</w:t>
            </w:r>
          </w:p>
          <w:p>
            <w:pPr>
              <w:spacing w:after="40" w:before="0" w:line="265"/>
            </w:pPr>
            <w:r>
              <w:rPr>
                <w:rFonts w:ascii="Calibri" w:cs="Calibri" w:eastAsia="Calibri" w:hAnsi="Calibri"/>
                <w:color w:val="3D4A5A"/>
                <w:sz w:val="19"/>
                <w:szCs w:val="19"/>
              </w:rPr>
              <w:t xml:space="preserve">Every broad category term in this space is contracting: cyber security −23.0%, cybersecurity −18.9%, risk management −26.7%, information security −36.3%, ai ethics −45.8%, cybersecurity consulting −45.8%. The only things growing are specific and operational — ISO 42001 at +164% and “why AI governance is becoming essential” at +85%. Generality is not a safe default here; it is a declining asset.</w:t>
            </w:r>
          </w:p>
        </w:tc>
      </w:tr>
    </w:tbl>
    <w:p>
      <w:pPr>
        <w:pStyle w:val="Heading3"/>
        <w:keepNext/>
        <w:spacing w:after="80" w:before="240"/>
      </w:pPr>
      <w:r>
        <w:rPr>
          <w:rFonts w:ascii="Calibri" w:cs="Calibri" w:eastAsia="Calibri" w:hAnsi="Calibri"/>
          <w:b/>
          <w:bCs/>
          <w:color w:val="14202E"/>
          <w:sz w:val="22"/>
          <w:szCs w:val="22"/>
        </w:rPr>
        <w:t xml:space="preserve">29.3  Competitor channels — two outcomes</w:t>
      </w:r>
    </w:p>
    <w:tbl>
      <w:tblPr>
        <w:tblW w:type="dxa" w:w="10080"/>
        <w:tblBorders>
          <w:top w:val="single" w:color="D3DCE6" w:sz="2"/>
          <w:left w:val="none"/>
          <w:bottom w:val="single" w:color="D3DCE6" w:sz="2"/>
          <w:right w:val="none"/>
          <w:insideH w:val="single" w:color="D3DCE6" w:sz="2"/>
          <w:insideV w:val="none"/>
        </w:tblBorders>
      </w:tblPr>
      <w:tblGrid>
        <w:gridCol w:w="2218"/>
        <w:gridCol w:w="2016"/>
        <w:gridCol w:w="1008"/>
        <w:gridCol w:w="806"/>
        <w:gridCol w:w="1008"/>
        <w:gridCol w:w="3024"/>
      </w:tblGrid>
      <w:tr>
        <w:trPr>
          <w:cantSplit/>
          <w:tblHeader/>
        </w:trPr>
        <w:tc>
          <w:tcPr>
            <w:tcW w:type="dxa" w:w="2218"/>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Channel</w:t>
            </w:r>
          </w:p>
        </w:tc>
        <w:tc>
          <w:tcPr>
            <w:tcW w:type="dxa" w:w="2016"/>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What they are</w:t>
            </w:r>
          </w:p>
        </w:tc>
        <w:tc>
          <w:tcPr>
            <w:tcW w:type="dxa" w:w="1008"/>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Subs</w:t>
            </w:r>
          </w:p>
        </w:tc>
        <w:tc>
          <w:tcPr>
            <w:tcW w:type="dxa" w:w="806"/>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Videos</w:t>
            </w:r>
          </w:p>
        </w:tc>
        <w:tc>
          <w:tcPr>
            <w:tcW w:type="dxa" w:w="1008"/>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Avg views</w:t>
            </w:r>
          </w:p>
        </w:tc>
        <w:tc>
          <w:tcPr>
            <w:tcW w:type="dxa" w:w="3024"/>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The lesson</w:t>
            </w:r>
          </w:p>
        </w:tc>
      </w:tr>
      <w:tr>
        <w:trPr>
          <w:cantSplit/>
        </w:trPr>
        <w:tc>
          <w:tcPr>
            <w:tcW w:type="dxa" w:w="221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2F8562"/>
                <w:sz w:val="18"/>
                <w:szCs w:val="18"/>
              </w:rPr>
              <w:t xml:space="preserve">Summit 7</w:t>
            </w:r>
          </w:p>
        </w:tc>
        <w:tc>
          <w:tcPr>
            <w:tcW w:type="dxa" w:w="201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CMMC consulting firm</w:t>
            </w:r>
          </w:p>
        </w:tc>
        <w:tc>
          <w:tcPr>
            <w:tcW w:type="dxa" w:w="100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right"/>
            </w:pPr>
            <w:r>
              <w:rPr>
                <w:rFonts w:ascii="Calibri" w:cs="Calibri" w:eastAsia="Calibri" w:hAnsi="Calibri"/>
                <w:color w:val="3D4A5A"/>
                <w:sz w:val="18"/>
                <w:szCs w:val="18"/>
              </w:rPr>
              <w:t xml:space="preserve">158,000</w:t>
            </w:r>
          </w:p>
        </w:tc>
        <w:tc>
          <w:tcPr>
            <w:tcW w:type="dxa" w:w="80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right"/>
            </w:pPr>
            <w:r>
              <w:rPr>
                <w:rFonts w:ascii="Calibri" w:cs="Calibri" w:eastAsia="Calibri" w:hAnsi="Calibri"/>
                <w:color w:val="3D4A5A"/>
                <w:sz w:val="18"/>
                <w:szCs w:val="18"/>
              </w:rPr>
              <w:t xml:space="preserve">635</w:t>
            </w:r>
          </w:p>
        </w:tc>
        <w:tc>
          <w:tcPr>
            <w:tcW w:type="dxa" w:w="100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right"/>
            </w:pPr>
            <w:r>
              <w:rPr>
                <w:rFonts w:ascii="Calibri" w:cs="Calibri" w:eastAsia="Calibri" w:hAnsi="Calibri"/>
                <w:color w:val="3D4A5A"/>
                <w:sz w:val="18"/>
                <w:szCs w:val="18"/>
              </w:rPr>
              <w:t xml:space="preserve">11,061</w:t>
            </w:r>
          </w:p>
        </w:tc>
        <w:tc>
          <w:tcPr>
            <w:tcW w:type="dxa" w:w="3024"/>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The model. Regulatory reaction + client films + a monthly franchise. Only 5 long uploads in the trailing year, yet 3.33M long views in that window. +170% subs.</w:t>
            </w:r>
          </w:p>
        </w:tc>
      </w:tr>
      <w:tr>
        <w:trPr>
          <w:cantSplit/>
        </w:trPr>
        <w:tc>
          <w:tcPr>
            <w:tcW w:type="dxa" w:w="2218"/>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2F8562"/>
                <w:sz w:val="18"/>
                <w:szCs w:val="18"/>
              </w:rPr>
              <w:t xml:space="preserve">ControlCase</w:t>
            </w:r>
          </w:p>
        </w:tc>
        <w:tc>
          <w:tcPr>
            <w:tcW w:type="dxa" w:w="2016"/>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Audit / certification body</w:t>
            </w:r>
          </w:p>
        </w:tc>
        <w:tc>
          <w:tcPr>
            <w:tcW w:type="dxa" w:w="1008"/>
            <w:tcBorders>
              <w:top w:val="single" w:color="D3DCE6" w:sz="2"/>
              <w:left w:val="none"/>
              <w:bottom w:val="single" w:color="D3DCE6" w:sz="2"/>
              <w:right w:val="none"/>
            </w:tcBorders>
            <w:tcMar>
              <w:top w:type="dxa" w:w="70"/>
              <w:left w:type="dxa" w:w="100"/>
              <w:bottom w:type="dxa" w:w="70"/>
              <w:right w:type="dxa" w:w="100"/>
            </w:tcMar>
          </w:tcPr>
          <w:p>
            <w:pPr>
              <w:spacing w:after="0" w:before="0" w:line="250"/>
              <w:jc w:val="right"/>
            </w:pPr>
            <w:r>
              <w:rPr>
                <w:rFonts w:ascii="Calibri" w:cs="Calibri" w:eastAsia="Calibri" w:hAnsi="Calibri"/>
                <w:color w:val="3D4A5A"/>
                <w:sz w:val="18"/>
                <w:szCs w:val="18"/>
              </w:rPr>
              <w:t xml:space="preserve">143,000</w:t>
            </w:r>
          </w:p>
        </w:tc>
        <w:tc>
          <w:tcPr>
            <w:tcW w:type="dxa" w:w="806"/>
            <w:tcBorders>
              <w:top w:val="single" w:color="D3DCE6" w:sz="2"/>
              <w:left w:val="none"/>
              <w:bottom w:val="single" w:color="D3DCE6" w:sz="2"/>
              <w:right w:val="none"/>
            </w:tcBorders>
            <w:tcMar>
              <w:top w:type="dxa" w:w="70"/>
              <w:left w:type="dxa" w:w="100"/>
              <w:bottom w:type="dxa" w:w="70"/>
              <w:right w:type="dxa" w:w="100"/>
            </w:tcMar>
          </w:tcPr>
          <w:p>
            <w:pPr>
              <w:spacing w:after="0" w:before="0" w:line="250"/>
              <w:jc w:val="right"/>
            </w:pPr>
            <w:r>
              <w:rPr>
                <w:rFonts w:ascii="Calibri" w:cs="Calibri" w:eastAsia="Calibri" w:hAnsi="Calibri"/>
                <w:color w:val="3D4A5A"/>
                <w:sz w:val="18"/>
                <w:szCs w:val="18"/>
              </w:rPr>
              <w:t xml:space="preserve">161</w:t>
            </w:r>
          </w:p>
        </w:tc>
        <w:tc>
          <w:tcPr>
            <w:tcW w:type="dxa" w:w="1008"/>
            <w:tcBorders>
              <w:top w:val="single" w:color="D3DCE6" w:sz="2"/>
              <w:left w:val="none"/>
              <w:bottom w:val="single" w:color="D3DCE6" w:sz="2"/>
              <w:right w:val="none"/>
            </w:tcBorders>
            <w:tcMar>
              <w:top w:type="dxa" w:w="70"/>
              <w:left w:type="dxa" w:w="100"/>
              <w:bottom w:type="dxa" w:w="70"/>
              <w:right w:type="dxa" w:w="100"/>
            </w:tcMar>
          </w:tcPr>
          <w:p>
            <w:pPr>
              <w:spacing w:after="0" w:before="0" w:line="250"/>
              <w:jc w:val="right"/>
            </w:pPr>
            <w:r>
              <w:rPr>
                <w:rFonts w:ascii="Calibri" w:cs="Calibri" w:eastAsia="Calibri" w:hAnsi="Calibri"/>
                <w:color w:val="3D4A5A"/>
                <w:sz w:val="18"/>
                <w:szCs w:val="18"/>
              </w:rPr>
              <w:t xml:space="preserve">36,822</w:t>
            </w:r>
          </w:p>
        </w:tc>
        <w:tc>
          <w:tcPr>
            <w:tcW w:type="dxa" w:w="3024"/>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19 long videos in a year drove 4.1M views. Fewer, longer, better. Long-form averages ~22 minutes.</w:t>
            </w:r>
          </w:p>
        </w:tc>
      </w:tr>
      <w:tr>
        <w:trPr>
          <w:cantSplit/>
        </w:trPr>
        <w:tc>
          <w:tcPr>
            <w:tcW w:type="dxa" w:w="221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Dr. Siegfried Isele — AI Without Illusions</w:t>
            </w:r>
          </w:p>
        </w:tc>
        <w:tc>
          <w:tcPr>
            <w:tcW w:type="dxa" w:w="201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CTO / author, AI governance</w:t>
            </w:r>
          </w:p>
        </w:tc>
        <w:tc>
          <w:tcPr>
            <w:tcW w:type="dxa" w:w="100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right"/>
            </w:pPr>
            <w:r>
              <w:rPr>
                <w:rFonts w:ascii="Calibri" w:cs="Calibri" w:eastAsia="Calibri" w:hAnsi="Calibri"/>
                <w:color w:val="3D4A5A"/>
                <w:sz w:val="18"/>
                <w:szCs w:val="18"/>
              </w:rPr>
              <w:t xml:space="preserve">99,400</w:t>
            </w:r>
          </w:p>
        </w:tc>
        <w:tc>
          <w:tcPr>
            <w:tcW w:type="dxa" w:w="80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right"/>
            </w:pPr>
            <w:r>
              <w:rPr>
                <w:rFonts w:ascii="Calibri" w:cs="Calibri" w:eastAsia="Calibri" w:hAnsi="Calibri"/>
                <w:color w:val="3D4A5A"/>
                <w:sz w:val="18"/>
                <w:szCs w:val="18"/>
              </w:rPr>
              <w:t xml:space="preserve">50</w:t>
            </w:r>
          </w:p>
        </w:tc>
        <w:tc>
          <w:tcPr>
            <w:tcW w:type="dxa" w:w="100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right"/>
            </w:pPr>
            <w:r>
              <w:rPr>
                <w:rFonts w:ascii="Calibri" w:cs="Calibri" w:eastAsia="Calibri" w:hAnsi="Calibri"/>
                <w:color w:val="3D4A5A"/>
                <w:sz w:val="18"/>
                <w:szCs w:val="18"/>
              </w:rPr>
              <w:t xml:space="preserve">34,715</w:t>
            </w:r>
          </w:p>
        </w:tc>
        <w:tc>
          <w:tcPr>
            <w:tcW w:type="dxa" w:w="3024"/>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Channel opened May 2026. The AI-governance window is live right now.</w:t>
            </w:r>
          </w:p>
        </w:tc>
      </w:tr>
      <w:tr>
        <w:trPr>
          <w:cantSplit/>
        </w:trPr>
        <w:tc>
          <w:tcPr>
            <w:tcW w:type="dxa" w:w="2218"/>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Nicole Enesse — GRC For Mere Mortals</w:t>
            </w:r>
          </w:p>
        </w:tc>
        <w:tc>
          <w:tcPr>
            <w:tcW w:type="dxa" w:w="2016"/>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Career educator</w:t>
            </w:r>
          </w:p>
        </w:tc>
        <w:tc>
          <w:tcPr>
            <w:tcW w:type="dxa" w:w="1008"/>
            <w:tcBorders>
              <w:top w:val="single" w:color="D3DCE6" w:sz="2"/>
              <w:left w:val="none"/>
              <w:bottom w:val="single" w:color="D3DCE6" w:sz="2"/>
              <w:right w:val="none"/>
            </w:tcBorders>
            <w:tcMar>
              <w:top w:type="dxa" w:w="70"/>
              <w:left w:type="dxa" w:w="100"/>
              <w:bottom w:type="dxa" w:w="70"/>
              <w:right w:type="dxa" w:w="100"/>
            </w:tcMar>
          </w:tcPr>
          <w:p>
            <w:pPr>
              <w:spacing w:after="0" w:before="0" w:line="250"/>
              <w:jc w:val="right"/>
            </w:pPr>
            <w:r>
              <w:rPr>
                <w:rFonts w:ascii="Calibri" w:cs="Calibri" w:eastAsia="Calibri" w:hAnsi="Calibri"/>
                <w:color w:val="3D4A5A"/>
                <w:sz w:val="18"/>
                <w:szCs w:val="18"/>
              </w:rPr>
              <w:t xml:space="preserve">67,300</w:t>
            </w:r>
          </w:p>
        </w:tc>
        <w:tc>
          <w:tcPr>
            <w:tcW w:type="dxa" w:w="806"/>
            <w:tcBorders>
              <w:top w:val="single" w:color="D3DCE6" w:sz="2"/>
              <w:left w:val="none"/>
              <w:bottom w:val="single" w:color="D3DCE6" w:sz="2"/>
              <w:right w:val="none"/>
            </w:tcBorders>
            <w:tcMar>
              <w:top w:type="dxa" w:w="70"/>
              <w:left w:type="dxa" w:w="100"/>
              <w:bottom w:type="dxa" w:w="70"/>
              <w:right w:type="dxa" w:w="100"/>
            </w:tcMar>
          </w:tcPr>
          <w:p>
            <w:pPr>
              <w:spacing w:after="0" w:before="0" w:line="250"/>
              <w:jc w:val="right"/>
            </w:pPr>
            <w:r>
              <w:rPr>
                <w:rFonts w:ascii="Calibri" w:cs="Calibri" w:eastAsia="Calibri" w:hAnsi="Calibri"/>
                <w:color w:val="3D4A5A"/>
                <w:sz w:val="18"/>
                <w:szCs w:val="18"/>
              </w:rPr>
              <w:t xml:space="preserve">196</w:t>
            </w:r>
          </w:p>
        </w:tc>
        <w:tc>
          <w:tcPr>
            <w:tcW w:type="dxa" w:w="1008"/>
            <w:tcBorders>
              <w:top w:val="single" w:color="D3DCE6" w:sz="2"/>
              <w:left w:val="none"/>
              <w:bottom w:val="single" w:color="D3DCE6" w:sz="2"/>
              <w:right w:val="none"/>
            </w:tcBorders>
            <w:tcMar>
              <w:top w:type="dxa" w:w="70"/>
              <w:left w:type="dxa" w:w="100"/>
              <w:bottom w:type="dxa" w:w="70"/>
              <w:right w:type="dxa" w:w="100"/>
            </w:tcMar>
          </w:tcPr>
          <w:p>
            <w:pPr>
              <w:spacing w:after="0" w:before="0" w:line="250"/>
              <w:jc w:val="right"/>
            </w:pPr>
            <w:r>
              <w:rPr>
                <w:rFonts w:ascii="Calibri" w:cs="Calibri" w:eastAsia="Calibri" w:hAnsi="Calibri"/>
                <w:color w:val="3D4A5A"/>
                <w:sz w:val="18"/>
                <w:szCs w:val="18"/>
              </w:rPr>
              <w:t xml:space="preserve">19,524</w:t>
            </w:r>
          </w:p>
        </w:tc>
        <w:tc>
          <w:tcPr>
            <w:tcW w:type="dxa" w:w="3024"/>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Proof the career lane is huge — and not ours.</w:t>
            </w:r>
          </w:p>
        </w:tc>
      </w:tr>
      <w:tr>
        <w:trPr>
          <w:cantSplit/>
        </w:trPr>
        <w:tc>
          <w:tcPr>
            <w:tcW w:type="dxa" w:w="221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A4462F"/>
                <w:sz w:val="18"/>
                <w:szCs w:val="18"/>
              </w:rPr>
              <w:t xml:space="preserve">François B. Arthanas</w:t>
            </w:r>
          </w:p>
        </w:tc>
        <w:tc>
          <w:tcPr>
            <w:tcW w:type="dxa" w:w="201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AI governance founder selling a cohort</w:t>
            </w:r>
          </w:p>
        </w:tc>
        <w:tc>
          <w:tcPr>
            <w:tcW w:type="dxa" w:w="100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right"/>
            </w:pPr>
            <w:r>
              <w:rPr>
                <w:rFonts w:ascii="Calibri" w:cs="Calibri" w:eastAsia="Calibri" w:hAnsi="Calibri"/>
                <w:color w:val="3D4A5A"/>
                <w:sz w:val="18"/>
                <w:szCs w:val="18"/>
              </w:rPr>
              <w:t xml:space="preserve">16,700</w:t>
            </w:r>
          </w:p>
        </w:tc>
        <w:tc>
          <w:tcPr>
            <w:tcW w:type="dxa" w:w="80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right"/>
            </w:pPr>
            <w:r>
              <w:rPr>
                <w:rFonts w:ascii="Calibri" w:cs="Calibri" w:eastAsia="Calibri" w:hAnsi="Calibri"/>
                <w:color w:val="3D4A5A"/>
                <w:sz w:val="18"/>
                <w:szCs w:val="18"/>
              </w:rPr>
              <w:t xml:space="preserve">103</w:t>
            </w:r>
          </w:p>
        </w:tc>
        <w:tc>
          <w:tcPr>
            <w:tcW w:type="dxa" w:w="100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right"/>
            </w:pPr>
            <w:r>
              <w:rPr>
                <w:rFonts w:ascii="Calibri" w:cs="Calibri" w:eastAsia="Calibri" w:hAnsi="Calibri"/>
                <w:color w:val="3D4A5A"/>
                <w:sz w:val="18"/>
                <w:szCs w:val="18"/>
              </w:rPr>
              <w:t xml:space="preserve">6,878</w:t>
            </w:r>
          </w:p>
        </w:tc>
        <w:tc>
          <w:tcPr>
            <w:tcW w:type="dxa" w:w="3024"/>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The warning. Built a training audience on CompTIA courses and now cannot reach it with the thing he sells: 190,553 views on Security+, 299 on his actual thesis.</w:t>
            </w:r>
          </w:p>
        </w:tc>
      </w:tr>
      <w:tr>
        <w:trPr>
          <w:cantSplit/>
        </w:trPr>
        <w:tc>
          <w:tcPr>
            <w:tcW w:type="dxa" w:w="2218"/>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Stuart Barker</w:t>
            </w:r>
          </w:p>
        </w:tc>
        <w:tc>
          <w:tcPr>
            <w:tcW w:type="dxa" w:w="2016"/>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Solo ISO 27001 consultant</w:t>
            </w:r>
          </w:p>
        </w:tc>
        <w:tc>
          <w:tcPr>
            <w:tcW w:type="dxa" w:w="1008"/>
            <w:tcBorders>
              <w:top w:val="single" w:color="D3DCE6" w:sz="2"/>
              <w:left w:val="none"/>
              <w:bottom w:val="single" w:color="D3DCE6" w:sz="2"/>
              <w:right w:val="none"/>
            </w:tcBorders>
            <w:tcMar>
              <w:top w:type="dxa" w:w="70"/>
              <w:left w:type="dxa" w:w="100"/>
              <w:bottom w:type="dxa" w:w="70"/>
              <w:right w:type="dxa" w:w="100"/>
            </w:tcMar>
          </w:tcPr>
          <w:p>
            <w:pPr>
              <w:spacing w:after="0" w:before="0" w:line="250"/>
              <w:jc w:val="right"/>
            </w:pPr>
            <w:r>
              <w:rPr>
                <w:rFonts w:ascii="Calibri" w:cs="Calibri" w:eastAsia="Calibri" w:hAnsi="Calibri"/>
                <w:color w:val="3D4A5A"/>
                <w:sz w:val="18"/>
                <w:szCs w:val="18"/>
              </w:rPr>
              <w:t xml:space="preserve">10,600</w:t>
            </w:r>
          </w:p>
        </w:tc>
        <w:tc>
          <w:tcPr>
            <w:tcW w:type="dxa" w:w="806"/>
            <w:tcBorders>
              <w:top w:val="single" w:color="D3DCE6" w:sz="2"/>
              <w:left w:val="none"/>
              <w:bottom w:val="single" w:color="D3DCE6" w:sz="2"/>
              <w:right w:val="none"/>
            </w:tcBorders>
            <w:tcMar>
              <w:top w:type="dxa" w:w="70"/>
              <w:left w:type="dxa" w:w="100"/>
              <w:bottom w:type="dxa" w:w="70"/>
              <w:right w:type="dxa" w:w="100"/>
            </w:tcMar>
          </w:tcPr>
          <w:p>
            <w:pPr>
              <w:spacing w:after="0" w:before="0" w:line="250"/>
              <w:jc w:val="right"/>
            </w:pPr>
            <w:r>
              <w:rPr>
                <w:rFonts w:ascii="Calibri" w:cs="Calibri" w:eastAsia="Calibri" w:hAnsi="Calibri"/>
                <w:color w:val="3D4A5A"/>
                <w:sz w:val="18"/>
                <w:szCs w:val="18"/>
              </w:rPr>
              <w:t xml:space="preserve">1,332</w:t>
            </w:r>
          </w:p>
        </w:tc>
        <w:tc>
          <w:tcPr>
            <w:tcW w:type="dxa" w:w="1008"/>
            <w:tcBorders>
              <w:top w:val="single" w:color="D3DCE6" w:sz="2"/>
              <w:left w:val="none"/>
              <w:bottom w:val="single" w:color="D3DCE6" w:sz="2"/>
              <w:right w:val="none"/>
            </w:tcBorders>
            <w:tcMar>
              <w:top w:type="dxa" w:w="70"/>
              <w:left w:type="dxa" w:w="100"/>
              <w:bottom w:type="dxa" w:w="70"/>
              <w:right w:type="dxa" w:w="100"/>
            </w:tcMar>
          </w:tcPr>
          <w:p>
            <w:pPr>
              <w:spacing w:after="0" w:before="0" w:line="250"/>
              <w:jc w:val="right"/>
            </w:pPr>
            <w:r>
              <w:rPr>
                <w:rFonts w:ascii="Calibri" w:cs="Calibri" w:eastAsia="Calibri" w:hAnsi="Calibri"/>
                <w:color w:val="3D4A5A"/>
                <w:sz w:val="18"/>
                <w:szCs w:val="18"/>
              </w:rPr>
              <w:t xml:space="preserve">1,008</w:t>
            </w:r>
          </w:p>
        </w:tc>
        <w:tc>
          <w:tcPr>
            <w:tcW w:type="dxa" w:w="3024"/>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388 Shorts averaged 975 views; 32 long-form averaged 11,928. Long-form outperformed Shorts 12× per video on the same channel.</w:t>
            </w:r>
          </w:p>
        </w:tc>
      </w:tr>
      <w:tr>
        <w:trPr>
          <w:cantSplit/>
        </w:trPr>
        <w:tc>
          <w:tcPr>
            <w:tcW w:type="dxa" w:w="221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Safeshield Training</w:t>
            </w:r>
          </w:p>
        </w:tc>
        <w:tc>
          <w:tcPr>
            <w:tcW w:type="dxa" w:w="201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ISO 42001 / 27001 training</w:t>
            </w:r>
          </w:p>
        </w:tc>
        <w:tc>
          <w:tcPr>
            <w:tcW w:type="dxa" w:w="100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right"/>
            </w:pPr>
            <w:r>
              <w:rPr>
                <w:rFonts w:ascii="Calibri" w:cs="Calibri" w:eastAsia="Calibri" w:hAnsi="Calibri"/>
                <w:color w:val="3D4A5A"/>
                <w:sz w:val="18"/>
                <w:szCs w:val="18"/>
              </w:rPr>
              <w:t xml:space="preserve">3,280</w:t>
            </w:r>
          </w:p>
        </w:tc>
        <w:tc>
          <w:tcPr>
            <w:tcW w:type="dxa" w:w="80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right"/>
            </w:pPr>
            <w:r>
              <w:rPr>
                <w:rFonts w:ascii="Calibri" w:cs="Calibri" w:eastAsia="Calibri" w:hAnsi="Calibri"/>
                <w:color w:val="3D4A5A"/>
                <w:sz w:val="18"/>
                <w:szCs w:val="18"/>
              </w:rPr>
              <w:t xml:space="preserve">19</w:t>
            </w:r>
          </w:p>
        </w:tc>
        <w:tc>
          <w:tcPr>
            <w:tcW w:type="dxa" w:w="100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right"/>
            </w:pPr>
            <w:r>
              <w:rPr>
                <w:rFonts w:ascii="Calibri" w:cs="Calibri" w:eastAsia="Calibri" w:hAnsi="Calibri"/>
                <w:color w:val="3D4A5A"/>
                <w:sz w:val="18"/>
                <w:szCs w:val="18"/>
              </w:rPr>
              <w:t xml:space="preserve">77,632</w:t>
            </w:r>
          </w:p>
        </w:tc>
        <w:tc>
          <w:tcPr>
            <w:tcW w:type="dxa" w:w="3024"/>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19 videos, 1.47M views. Tight topical focus beats volume.</w:t>
            </w:r>
          </w:p>
        </w:tc>
      </w:tr>
      <w:tr>
        <w:trPr>
          <w:cantSplit/>
        </w:trPr>
        <w:tc>
          <w:tcPr>
            <w:tcW w:type="dxa" w:w="2218"/>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A8781F"/>
                <w:sz w:val="18"/>
                <w:szCs w:val="18"/>
              </w:rPr>
              <w:t xml:space="preserve">BABL AI</w:t>
            </w:r>
          </w:p>
        </w:tc>
        <w:tc>
          <w:tcPr>
            <w:tcW w:type="dxa" w:w="2016"/>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Boutique responsible-AI audit firm</w:t>
            </w:r>
          </w:p>
        </w:tc>
        <w:tc>
          <w:tcPr>
            <w:tcW w:type="dxa" w:w="1008"/>
            <w:tcBorders>
              <w:top w:val="single" w:color="D3DCE6" w:sz="2"/>
              <w:left w:val="none"/>
              <w:bottom w:val="single" w:color="D3DCE6" w:sz="2"/>
              <w:right w:val="none"/>
            </w:tcBorders>
            <w:tcMar>
              <w:top w:type="dxa" w:w="70"/>
              <w:left w:type="dxa" w:w="100"/>
              <w:bottom w:type="dxa" w:w="70"/>
              <w:right w:type="dxa" w:w="100"/>
            </w:tcMar>
          </w:tcPr>
          <w:p>
            <w:pPr>
              <w:spacing w:after="0" w:before="0" w:line="250"/>
              <w:jc w:val="right"/>
            </w:pPr>
            <w:r>
              <w:rPr>
                <w:rFonts w:ascii="Calibri" w:cs="Calibri" w:eastAsia="Calibri" w:hAnsi="Calibri"/>
                <w:color w:val="3D4A5A"/>
                <w:sz w:val="18"/>
                <w:szCs w:val="18"/>
              </w:rPr>
              <w:t xml:space="preserve">2,900</w:t>
            </w:r>
          </w:p>
        </w:tc>
        <w:tc>
          <w:tcPr>
            <w:tcW w:type="dxa" w:w="806"/>
            <w:tcBorders>
              <w:top w:val="single" w:color="D3DCE6" w:sz="2"/>
              <w:left w:val="none"/>
              <w:bottom w:val="single" w:color="D3DCE6" w:sz="2"/>
              <w:right w:val="none"/>
            </w:tcBorders>
            <w:tcMar>
              <w:top w:type="dxa" w:w="70"/>
              <w:left w:type="dxa" w:w="100"/>
              <w:bottom w:type="dxa" w:w="70"/>
              <w:right w:type="dxa" w:w="100"/>
            </w:tcMar>
          </w:tcPr>
          <w:p>
            <w:pPr>
              <w:spacing w:after="0" w:before="0" w:line="250"/>
              <w:jc w:val="right"/>
            </w:pPr>
            <w:r>
              <w:rPr>
                <w:rFonts w:ascii="Calibri" w:cs="Calibri" w:eastAsia="Calibri" w:hAnsi="Calibri"/>
                <w:color w:val="3D4A5A"/>
                <w:sz w:val="18"/>
                <w:szCs w:val="18"/>
              </w:rPr>
              <w:t xml:space="preserve">181</w:t>
            </w:r>
          </w:p>
        </w:tc>
        <w:tc>
          <w:tcPr>
            <w:tcW w:type="dxa" w:w="1008"/>
            <w:tcBorders>
              <w:top w:val="single" w:color="D3DCE6" w:sz="2"/>
              <w:left w:val="none"/>
              <w:bottom w:val="single" w:color="D3DCE6" w:sz="2"/>
              <w:right w:val="none"/>
            </w:tcBorders>
            <w:tcMar>
              <w:top w:type="dxa" w:w="70"/>
              <w:left w:type="dxa" w:w="100"/>
              <w:bottom w:type="dxa" w:w="70"/>
              <w:right w:type="dxa" w:w="100"/>
            </w:tcMar>
          </w:tcPr>
          <w:p>
            <w:pPr>
              <w:spacing w:after="0" w:before="0" w:line="250"/>
              <w:jc w:val="right"/>
            </w:pPr>
            <w:r>
              <w:rPr>
                <w:rFonts w:ascii="Calibri" w:cs="Calibri" w:eastAsia="Calibri" w:hAnsi="Calibri"/>
                <w:color w:val="3D4A5A"/>
                <w:sz w:val="18"/>
                <w:szCs w:val="18"/>
              </w:rPr>
              <w:t xml:space="preserve">794</w:t>
            </w:r>
          </w:p>
        </w:tc>
        <w:tc>
          <w:tcPr>
            <w:tcW w:type="dxa" w:w="3024"/>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The closest structural twin to 3HUE. Averaged 794 views and stopped publishing in April 2026.</w:t>
            </w:r>
          </w:p>
        </w:tc>
      </w:tr>
      <w:tr>
        <w:trPr>
          <w:cantSplit/>
        </w:trPr>
        <w:tc>
          <w:tcPr>
            <w:tcW w:type="dxa" w:w="221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Responsible AI Studio</w:t>
            </w:r>
          </w:p>
        </w:tc>
        <w:tc>
          <w:tcPr>
            <w:tcW w:type="dxa" w:w="201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AI compliance tooling</w:t>
            </w:r>
          </w:p>
        </w:tc>
        <w:tc>
          <w:tcPr>
            <w:tcW w:type="dxa" w:w="100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right"/>
            </w:pPr>
            <w:r>
              <w:rPr>
                <w:rFonts w:ascii="Calibri" w:cs="Calibri" w:eastAsia="Calibri" w:hAnsi="Calibri"/>
                <w:color w:val="3D4A5A"/>
                <w:sz w:val="18"/>
                <w:szCs w:val="18"/>
              </w:rPr>
              <w:t xml:space="preserve">1,190</w:t>
            </w:r>
          </w:p>
        </w:tc>
        <w:tc>
          <w:tcPr>
            <w:tcW w:type="dxa" w:w="80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right"/>
            </w:pPr>
            <w:r>
              <w:rPr>
                <w:rFonts w:ascii="Calibri" w:cs="Calibri" w:eastAsia="Calibri" w:hAnsi="Calibri"/>
                <w:color w:val="3D4A5A"/>
                <w:sz w:val="18"/>
                <w:szCs w:val="18"/>
              </w:rPr>
              <w:t xml:space="preserve">279</w:t>
            </w:r>
          </w:p>
        </w:tc>
        <w:tc>
          <w:tcPr>
            <w:tcW w:type="dxa" w:w="100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right"/>
            </w:pPr>
            <w:r>
              <w:rPr>
                <w:rFonts w:ascii="Calibri" w:cs="Calibri" w:eastAsia="Calibri" w:hAnsi="Calibri"/>
                <w:color w:val="3D4A5A"/>
                <w:sz w:val="18"/>
                <w:szCs w:val="18"/>
              </w:rPr>
              <w:t xml:space="preserve">534</w:t>
            </w:r>
          </w:p>
        </w:tc>
        <w:tc>
          <w:tcPr>
            <w:tcW w:type="dxa" w:w="3024"/>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101 long uploads in a year for ~810 views each. Volume is not a strategy.</w:t>
            </w:r>
          </w:p>
        </w:tc>
      </w:tr>
      <w:tr>
        <w:trPr>
          <w:cantSplit/>
        </w:trPr>
        <w:tc>
          <w:tcPr>
            <w:tcW w:type="dxa" w:w="2218"/>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A4462F"/>
                <w:sz w:val="18"/>
                <w:szCs w:val="18"/>
              </w:rPr>
              <w:t xml:space="preserve">SecureGovernance</w:t>
            </w:r>
          </w:p>
        </w:tc>
        <w:tc>
          <w:tcPr>
            <w:tcW w:type="dxa" w:w="2016"/>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GRC education</w:t>
            </w:r>
          </w:p>
        </w:tc>
        <w:tc>
          <w:tcPr>
            <w:tcW w:type="dxa" w:w="1008"/>
            <w:tcBorders>
              <w:top w:val="single" w:color="D3DCE6" w:sz="2"/>
              <w:left w:val="none"/>
              <w:bottom w:val="single" w:color="D3DCE6" w:sz="2"/>
              <w:right w:val="none"/>
            </w:tcBorders>
            <w:tcMar>
              <w:top w:type="dxa" w:w="70"/>
              <w:left w:type="dxa" w:w="100"/>
              <w:bottom w:type="dxa" w:w="70"/>
              <w:right w:type="dxa" w:w="100"/>
            </w:tcMar>
          </w:tcPr>
          <w:p>
            <w:pPr>
              <w:spacing w:after="0" w:before="0" w:line="250"/>
              <w:jc w:val="right"/>
            </w:pPr>
            <w:r>
              <w:rPr>
                <w:rFonts w:ascii="Calibri" w:cs="Calibri" w:eastAsia="Calibri" w:hAnsi="Calibri"/>
                <w:color w:val="3D4A5A"/>
                <w:sz w:val="18"/>
                <w:szCs w:val="18"/>
              </w:rPr>
              <w:t xml:space="preserve">4,140</w:t>
            </w:r>
          </w:p>
        </w:tc>
        <w:tc>
          <w:tcPr>
            <w:tcW w:type="dxa" w:w="806"/>
            <w:tcBorders>
              <w:top w:val="single" w:color="D3DCE6" w:sz="2"/>
              <w:left w:val="none"/>
              <w:bottom w:val="single" w:color="D3DCE6" w:sz="2"/>
              <w:right w:val="none"/>
            </w:tcBorders>
            <w:tcMar>
              <w:top w:type="dxa" w:w="70"/>
              <w:left w:type="dxa" w:w="100"/>
              <w:bottom w:type="dxa" w:w="70"/>
              <w:right w:type="dxa" w:w="100"/>
            </w:tcMar>
          </w:tcPr>
          <w:p>
            <w:pPr>
              <w:spacing w:after="0" w:before="0" w:line="250"/>
              <w:jc w:val="right"/>
            </w:pPr>
            <w:r>
              <w:rPr>
                <w:rFonts w:ascii="Calibri" w:cs="Calibri" w:eastAsia="Calibri" w:hAnsi="Calibri"/>
                <w:color w:val="3D4A5A"/>
                <w:sz w:val="18"/>
                <w:szCs w:val="18"/>
              </w:rPr>
              <w:t xml:space="preserve">199</w:t>
            </w:r>
          </w:p>
        </w:tc>
        <w:tc>
          <w:tcPr>
            <w:tcW w:type="dxa" w:w="1008"/>
            <w:tcBorders>
              <w:top w:val="single" w:color="D3DCE6" w:sz="2"/>
              <w:left w:val="none"/>
              <w:bottom w:val="single" w:color="D3DCE6" w:sz="2"/>
              <w:right w:val="none"/>
            </w:tcBorders>
            <w:tcMar>
              <w:top w:type="dxa" w:w="70"/>
              <w:left w:type="dxa" w:w="100"/>
              <w:bottom w:type="dxa" w:w="70"/>
              <w:right w:type="dxa" w:w="100"/>
            </w:tcMar>
          </w:tcPr>
          <w:p>
            <w:pPr>
              <w:spacing w:after="0" w:before="0" w:line="250"/>
              <w:jc w:val="right"/>
            </w:pPr>
            <w:r>
              <w:rPr>
                <w:rFonts w:ascii="Calibri" w:cs="Calibri" w:eastAsia="Calibri" w:hAnsi="Calibri"/>
                <w:color w:val="3D4A5A"/>
                <w:sz w:val="18"/>
                <w:szCs w:val="18"/>
              </w:rPr>
              <w:t xml:space="preserve">159</w:t>
            </w:r>
          </w:p>
        </w:tc>
        <w:tc>
          <w:tcPr>
            <w:tcW w:type="dxa" w:w="3024"/>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118 long videos in a year, ~170 views each. The floor.</w:t>
            </w:r>
          </w:p>
        </w:tc>
      </w:tr>
    </w:tbl>
    <w:p>
      <w:pPr>
        <w:spacing w:after="180" w:before="0" w:line="276"/>
      </w:pPr>
      <w:r>
        <w:rPr>
          <w:rFonts w:ascii="Calibri" w:cs="Calibri" w:eastAsia="Calibri" w:hAnsi="Calibri"/>
          <w:color w:val="3D4A5A"/>
          <w:sz w:val="8"/>
          <w:szCs w:val="8"/>
        </w:rPr>
        <w:t xml:space="preserve"/>
      </w:r>
    </w:p>
    <w:p>
      <w:pPr>
        <w:spacing w:after="160" w:before="0" w:line="276"/>
      </w:pPr>
      <w:r>
        <w:rPr>
          <w:rFonts w:ascii="Calibri" w:cs="Calibri" w:eastAsia="Calibri" w:hAnsi="Calibri"/>
          <w:b/>
          <w:bCs/>
          <w:color w:val="6B7A8C"/>
          <w:sz w:val="16"/>
          <w:szCs w:val="16"/>
        </w:rPr>
        <w:t xml:space="preserve">Source: </w:t>
      </w:r>
      <w:r>
        <w:rPr>
          <w:rFonts w:ascii="Calibri" w:cs="Calibri" w:eastAsia="Calibri" w:hAnsi="Calibri"/>
          <w:color w:val="6B7A8C"/>
          <w:sz w:val="16"/>
          <w:szCs w:val="16"/>
        </w:rPr>
        <w:t xml:space="preserve">vidIQ channel data, 2–3 September 2026. “Avg views” is lifetime views ÷ lifetime videos and understates channels with recent momentum.</w:t>
      </w:r>
    </w:p>
    <w:p>
      <w:pPr>
        <w:pStyle w:val="Heading3"/>
        <w:keepNext/>
        <w:spacing w:after="80" w:before="240"/>
      </w:pPr>
      <w:r>
        <w:rPr>
          <w:rFonts w:ascii="Calibri" w:cs="Calibri" w:eastAsia="Calibri" w:hAnsi="Calibri"/>
          <w:b/>
          <w:bCs/>
          <w:color w:val="14202E"/>
          <w:sz w:val="22"/>
          <w:szCs w:val="22"/>
        </w:rPr>
        <w:t xml:space="preserve">29.4  The Summit 7 playbook, in detail</w:t>
      </w:r>
    </w:p>
    <w:p>
      <w:pPr>
        <w:spacing w:after="120" w:before="0" w:line="276"/>
      </w:pPr>
      <w:r>
        <w:rPr>
          <w:rFonts w:ascii="Calibri" w:cs="Calibri" w:eastAsia="Calibri" w:hAnsi="Calibri"/>
          <w:color w:val="3D4A5A"/>
          <w:sz w:val="20"/>
          <w:szCs w:val="20"/>
        </w:rPr>
        <w:t xml:space="preserve">Summit 7 is a compliance consulting firm — the closest business-model analogue in the set — and its top videos decompose into a seven-part pattern that 3HUE can copy directly.</w:t>
      </w:r>
    </w:p>
    <w:tbl>
      <w:tblPr>
        <w:tblW w:type="dxa" w:w="10080"/>
        <w:tblBorders>
          <w:top w:val="single" w:color="D3DCE6" w:sz="2"/>
          <w:left w:val="none"/>
          <w:bottom w:val="single" w:color="D3DCE6" w:sz="2"/>
          <w:right w:val="none"/>
          <w:insideH w:val="single" w:color="D3DCE6" w:sz="2"/>
          <w:insideV w:val="none"/>
        </w:tblBorders>
      </w:tblPr>
      <w:tblGrid>
        <w:gridCol w:w="2621"/>
        <w:gridCol w:w="7459"/>
      </w:tblGrid>
      <w:tr>
        <w:trPr>
          <w:cantSplit/>
          <w:tblHeader/>
        </w:trPr>
        <w:tc>
          <w:tcPr>
            <w:tcW w:type="dxa" w:w="2621"/>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Pattern</w:t>
            </w:r>
          </w:p>
        </w:tc>
        <w:tc>
          <w:tcPr>
            <w:tcW w:type="dxa" w:w="7459"/>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Evidence</w:t>
            </w:r>
          </w:p>
        </w:tc>
      </w:tr>
      <w:tr>
        <w:trPr>
          <w:cantSplit/>
        </w:trPr>
        <w:tc>
          <w:tcPr>
            <w:tcW w:type="dxa" w:w="262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1. Fast regulatory reaction</w:t>
            </w:r>
          </w:p>
        </w:tc>
        <w:tc>
          <w:tcPr>
            <w:tcW w:type="dxa" w:w="745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“Primes Can’t Waive CMMC” 297,798 · “BIG changes are coming to CPARS” 118,968 · “L3Harris Won a Big Contract, Now You Need CMMC By July” 97,337 · “CMMC Phase 2 Suspended… What Happens Next?” 70,623 · “The End of SPRS Scores (sort of)” 51,414</w:t>
            </w:r>
          </w:p>
        </w:tc>
      </w:tr>
      <w:tr>
        <w:trPr>
          <w:cantSplit/>
        </w:trPr>
        <w:tc>
          <w:tcPr>
            <w:tcW w:type="dxa" w:w="262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2. A recurring monthly franchise</w:t>
            </w:r>
          </w:p>
        </w:tc>
        <w:tc>
          <w:tcPr>
            <w:tcW w:type="dxa" w:w="7459"/>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“[Month] Cyber AB Town Hall Recap” — October 61,374 · April 55,334 · September 41,691</w:t>
            </w:r>
          </w:p>
        </w:tc>
      </w:tr>
      <w:tr>
        <w:trPr>
          <w:cantSplit/>
        </w:trPr>
        <w:tc>
          <w:tcPr>
            <w:tcW w:type="dxa" w:w="262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3. Proprietary data as content</w:t>
            </w:r>
          </w:p>
        </w:tc>
        <w:tc>
          <w:tcPr>
            <w:tcW w:type="dxa" w:w="745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“100 CMMC Assessments — What We Now Know” 43,778 · “We Mapped 130 Iranian Cyber Attacks to CMMC” 49,949</w:t>
            </w:r>
          </w:p>
        </w:tc>
      </w:tr>
      <w:tr>
        <w:trPr>
          <w:cantSplit/>
        </w:trPr>
        <w:tc>
          <w:tcPr>
            <w:tcW w:type="dxa" w:w="262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4. A prediction and accountability pair</w:t>
            </w:r>
          </w:p>
        </w:tc>
        <w:tc>
          <w:tcPr>
            <w:tcW w:type="dxa" w:w="7459"/>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“7 CMMC Predictions for 2026” 50,905 → “We Predicted 2026. What We Got Right (and Wrong)” 27,373</w:t>
            </w:r>
          </w:p>
        </w:tc>
      </w:tr>
      <w:tr>
        <w:trPr>
          <w:cantSplit/>
        </w:trPr>
        <w:tc>
          <w:tcPr>
            <w:tcW w:type="dxa" w:w="262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5. Customer story films (1–3 min)</w:t>
            </w:r>
          </w:p>
        </w:tc>
        <w:tc>
          <w:tcPr>
            <w:tcW w:type="dxa" w:w="745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RIB U.S. COST 123,348 · Clinkenbeard 98,041 · NMR Consulting 83,014 · United Aero Group 76,841 · Davidson 46,012 · Intrepid 41,521 · Blue Halo 30,404</w:t>
            </w:r>
          </w:p>
        </w:tc>
      </w:tr>
      <w:tr>
        <w:trPr>
          <w:cantSplit/>
        </w:trPr>
        <w:tc>
          <w:tcPr>
            <w:tcW w:type="dxa" w:w="262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6. A named-enterprise guest</w:t>
            </w:r>
          </w:p>
        </w:tc>
        <w:tc>
          <w:tcPr>
            <w:tcW w:type="dxa" w:w="7459"/>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“A CMMC Pause Deep-Dive with Brett Cox | Boeing” 93,377 — 108.9 views per hour, the highest velocity in the entire competitive set</w:t>
            </w:r>
          </w:p>
        </w:tc>
      </w:tr>
      <w:tr>
        <w:trPr>
          <w:cantSplit/>
        </w:trPr>
        <w:tc>
          <w:tcPr>
            <w:tcW w:type="dxa" w:w="262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7. A sales-objection explainer</w:t>
            </w:r>
          </w:p>
        </w:tc>
        <w:tc>
          <w:tcPr>
            <w:tcW w:type="dxa" w:w="745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“Does Summit 7 Offer Pen Testing?” 32,700</w:t>
            </w:r>
          </w:p>
        </w:tc>
      </w:tr>
    </w:tbl>
    <w:p>
      <w:pPr>
        <w:spacing w:after="180" w:before="0" w:line="276"/>
      </w:pPr>
      <w:r>
        <w:rPr>
          <w:rFonts w:ascii="Calibri" w:cs="Calibri" w:eastAsia="Calibri" w:hAnsi="Calibri"/>
          <w:color w:val="3D4A5A"/>
          <w:sz w:val="8"/>
          <w:szCs w:val="8"/>
        </w:rPr>
        <w:t xml:space="preserve"/>
      </w:r>
    </w:p>
    <w:p>
      <w:r>
        <w:br w:type="page"/>
      </w:r>
    </w:p>
    <w:p>
      <w:pPr>
        <w:spacing w:after="40" w:before="200"/>
      </w:pPr>
      <w:r>
        <w:rPr>
          <w:rFonts w:ascii="Calibri" w:cs="Calibri" w:eastAsia="Calibri" w:hAnsi="Calibri"/>
          <w:b/>
          <w:bCs/>
          <w:color w:val="44A8D9"/>
          <w:sz w:val="18"/>
          <w:szCs w:val="18"/>
        </w:rPr>
        <w:t xml:space="preserve">PART VI</w:t>
      </w:r>
    </w:p>
    <w:p>
      <w:pPr>
        <w:pStyle w:val="Heading1"/>
        <w:spacing w:after="120" w:before="0"/>
      </w:pPr>
      <w:r>
        <w:rPr>
          <w:rFonts w:ascii="Calibri" w:cs="Calibri" w:eastAsia="Calibri" w:hAnsi="Calibri"/>
          <w:b/>
          <w:bCs/>
          <w:color w:val="14202E"/>
          <w:sz w:val="40"/>
          <w:szCs w:val="40"/>
        </w:rPr>
        <w:t xml:space="preserve">The Channel Plan</w:t>
      </w:r>
    </w:p>
    <w:p>
      <w:pPr>
        <w:spacing w:after="200" w:before="0" w:line="276"/>
      </w:pPr>
      <w:r>
        <w:rPr>
          <w:rFonts w:ascii="Calibri" w:cs="Calibri" w:eastAsia="Calibri" w:hAnsi="Calibri"/>
          <w:color w:val="3D4A5A"/>
          <w:sz w:val="21"/>
          <w:szCs w:val="21"/>
        </w:rPr>
        <w:t xml:space="preserve">A YouTube channel for 3HUE, the twelve-week plan to launch it, and the map of how every video connects back to the site, LinkedIn, email, sales and AiVRIC.</w:t>
      </w:r>
    </w:p>
    <w:p>
      <w:pPr>
        <w:pBdr>
          <w:bottom w:val="single" w:color="D3DCE6" w:sz="6" w:space="1"/>
        </w:pBdr>
        <w:spacing w:after="160" w:before="0"/>
      </w:pPr>
      <w:r>
        <w:rPr>
          <w:rFonts w:ascii="Calibri" w:cs="Calibri" w:eastAsia="Calibri" w:hAnsi="Calibri"/>
          <w:color w:val="3D4A5A"/>
          <w:sz w:val="2"/>
          <w:szCs w:val="2"/>
        </w:rPr>
        <w:t xml:space="preserve"/>
      </w:r>
    </w:p>
    <w:p>
      <w:pPr>
        <w:pStyle w:val="Heading2"/>
        <w:keepNext/>
        <w:spacing w:after="40" w:before="340"/>
      </w:pPr>
      <w:r>
        <w:rPr>
          <w:rFonts w:ascii="Calibri" w:cs="Calibri" w:eastAsia="Calibri" w:hAnsi="Calibri"/>
          <w:b/>
          <w:bCs/>
          <w:color w:val="2F86B3"/>
          <w:sz w:val="28"/>
          <w:szCs w:val="28"/>
        </w:rPr>
        <w:t xml:space="preserve">30. The channel</w:t>
      </w:r>
    </w:p>
    <w:p>
      <w:pPr>
        <w:keepNext/>
        <w:spacing w:after="140" w:before="0" w:line="276"/>
      </w:pPr>
      <w:r>
        <w:rPr>
          <w:rFonts w:ascii="Calibri" w:cs="Calibri" w:eastAsia="Calibri" w:hAnsi="Calibri"/>
          <w:i/>
          <w:iCs/>
          <w:color w:val="6B7A8C"/>
          <w:sz w:val="19"/>
          <w:szCs w:val="19"/>
        </w:rPr>
        <w:t xml:space="preserve">3HUE, not AiVRIC, and not a personal channel.</w:t>
      </w:r>
    </w:p>
    <w:p>
      <w:pPr>
        <w:spacing w:after="120" w:before="0" w:line="276"/>
      </w:pPr>
      <w:r>
        <w:rPr>
          <w:rFonts w:ascii="Calibri" w:cs="Calibri" w:eastAsia="Calibri" w:hAnsi="Calibri"/>
          <w:color w:val="3D4A5A"/>
          <w:sz w:val="20"/>
          <w:szCs w:val="20"/>
        </w:rPr>
        <w:t xml:space="preserve">AiVRIC gets its own channel when it has a product-led motion to feed; today the buyer is buying an advisor, and splitting attention across two young channels halves both. AiVRIC content appears as cross-links out, never as 3HUE channel content.</w:t>
      </w:r>
    </w:p>
    <w:p>
      <w:pPr>
        <w:keepNext/>
        <w:spacing w:after="60" w:before="180"/>
      </w:pPr>
      <w:r>
        <w:rPr>
          <w:rFonts w:ascii="Calibri" w:cs="Calibri" w:eastAsia="Calibri" w:hAnsi="Calibri"/>
          <w:b/>
          <w:bCs/>
          <w:color w:val="3D4A5A"/>
          <w:sz w:val="20"/>
          <w:szCs w:val="20"/>
        </w:rPr>
        <w:t xml:space="preserve">Channel description — the first two lines, which is all YouTube shows</w:t>
      </w:r>
    </w:p>
    <w:tbl>
      <w:tblPr>
        <w:tblW w:type="dxa" w:w="10080"/>
        <w:tblBorders>
          <w:top w:val="none"/>
          <w:left w:val="single" w:color="2F86B3" w:sz="18"/>
          <w:bottom w:val="none"/>
          <w:right w:val="none"/>
          <w:insideH w:val="none"/>
          <w:insideV w:val="none"/>
        </w:tblBorders>
      </w:tblPr>
      <w:tblGrid>
        <w:gridCol w:w="10080"/>
      </w:tblGrid>
      <w:tr>
        <w:trPr>
          <w:cantSplit/>
        </w:trPr>
        <w:tc>
          <w:tcPr>
            <w:tcW w:type="dxa" w:w="10080"/>
            <w:tcBorders>
              <w:top w:val="none"/>
              <w:left w:val="none"/>
              <w:bottom w:val="none"/>
              <w:right w:val="none"/>
            </w:tcBorders>
            <w:shd w:fill="EEF4F9" w:color="auto" w:val="clear"/>
            <w:tcMar>
              <w:top w:type="dxa" w:w="130"/>
              <w:left w:type="dxa" w:w="180"/>
              <w:bottom w:type="dxa" w:w="130"/>
              <w:right w:type="dxa" w:w="160"/>
            </w:tcMar>
          </w:tcPr>
          <w:p>
            <w:pPr>
              <w:spacing w:after="40" w:before="0" w:line="265"/>
            </w:pPr>
            <w:r>
              <w:rPr>
                <w:rFonts w:ascii="Calibri" w:cs="Calibri" w:eastAsia="Calibri" w:hAnsi="Calibri"/>
                <w:color w:val="3D4A5A"/>
                <w:sz w:val="19"/>
                <w:szCs w:val="19"/>
              </w:rPr>
              <w:t xml:space="preserve">Governed AI and audit-ready security programs, explained by the people who build them. For risk, compliance and technology leaders at regulated and operationally complex companies.</w:t>
            </w:r>
          </w:p>
        </w:tc>
      </w:tr>
    </w:tbl>
    <w:p>
      <w:pPr>
        <w:pStyle w:val="Heading3"/>
        <w:keepNext/>
        <w:spacing w:after="80" w:before="240"/>
      </w:pPr>
      <w:r>
        <w:rPr>
          <w:rFonts w:ascii="Calibri" w:cs="Calibri" w:eastAsia="Calibri" w:hAnsi="Calibri"/>
          <w:b/>
          <w:bCs/>
          <w:color w:val="14202E"/>
          <w:sz w:val="22"/>
          <w:szCs w:val="22"/>
        </w:rPr>
        <w:t xml:space="preserve">30.1  Five franchises</w:t>
      </w:r>
    </w:p>
    <w:tbl>
      <w:tblPr>
        <w:tblW w:type="dxa" w:w="10080"/>
        <w:tblBorders>
          <w:top w:val="single" w:color="D3DCE6" w:sz="2"/>
          <w:left w:val="none"/>
          <w:bottom w:val="single" w:color="D3DCE6" w:sz="2"/>
          <w:right w:val="none"/>
          <w:insideH w:val="single" w:color="D3DCE6" w:sz="2"/>
          <w:insideV w:val="none"/>
        </w:tblBorders>
      </w:tblPr>
      <w:tblGrid>
        <w:gridCol w:w="1512"/>
        <w:gridCol w:w="1613"/>
        <w:gridCol w:w="1411"/>
        <w:gridCol w:w="3326"/>
        <w:gridCol w:w="2218"/>
      </w:tblGrid>
      <w:tr>
        <w:trPr>
          <w:cantSplit/>
          <w:tblHeader/>
        </w:trPr>
        <w:tc>
          <w:tcPr>
            <w:tcW w:type="dxa" w:w="1512"/>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Franchise</w:t>
            </w:r>
          </w:p>
        </w:tc>
        <w:tc>
          <w:tcPr>
            <w:tcW w:type="dxa" w:w="1613"/>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Cadence &amp; runtime</w:t>
            </w:r>
          </w:p>
        </w:tc>
        <w:tc>
          <w:tcPr>
            <w:tcW w:type="dxa" w:w="1411"/>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On camera</w:t>
            </w:r>
          </w:p>
        </w:tc>
        <w:tc>
          <w:tcPr>
            <w:tcW w:type="dxa" w:w="3326"/>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What it is</w:t>
            </w:r>
          </w:p>
        </w:tc>
        <w:tc>
          <w:tcPr>
            <w:tcW w:type="dxa" w:w="2218"/>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Evidence for the format</w:t>
            </w:r>
          </w:p>
        </w:tc>
      </w:tr>
      <w:tr>
        <w:trPr>
          <w:cantSplit/>
        </w:trPr>
        <w:tc>
          <w:tcPr>
            <w:tcW w:type="dxa" w:w="1512"/>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The Snapshot</w:t>
            </w:r>
          </w:p>
        </w:tc>
        <w:tc>
          <w:tcPr>
            <w:tcW w:type="dxa" w:w="1613"/>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Weekly · 15–20 min</w:t>
            </w:r>
          </w:p>
        </w:tc>
        <w:tc>
          <w:tcPr>
            <w:tcW w:type="dxa" w:w="141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Andrew, rotating</w:t>
            </w:r>
          </w:p>
        </w:tc>
        <w:tc>
          <w:tcPr>
            <w:tcW w:type="dxa" w:w="332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One governance problem, taken apart and put back together. Whiteboard or screen-share, no slides. Ends with the artifact — a template, checklist or control mapping — linked in the description.</w:t>
            </w:r>
          </w:p>
        </w:tc>
        <w:tc>
          <w:tcPr>
            <w:tcW w:type="dxa" w:w="221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ControlCase: 19 long uploads in a year → 4.1M views. Depth beats frequency.</w:t>
            </w:r>
          </w:p>
        </w:tc>
      </w:tr>
      <w:tr>
        <w:trPr>
          <w:cantSplit/>
        </w:trPr>
        <w:tc>
          <w:tcPr>
            <w:tcW w:type="dxa" w:w="1512"/>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The Filing</w:t>
            </w:r>
          </w:p>
        </w:tc>
        <w:tc>
          <w:tcPr>
            <w:tcW w:type="dxa" w:w="1613"/>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Event-driven · 10–20 min · within 72 hrs</w:t>
            </w:r>
          </w:p>
        </w:tc>
        <w:tc>
          <w:tcPr>
            <w:tcW w:type="dxa" w:w="141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Whoever knows the rule</w:t>
            </w:r>
          </w:p>
        </w:tc>
        <w:tc>
          <w:tcPr>
            <w:tcW w:type="dxa" w:w="3326"/>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A regulator, standards body or major buyer moves — we explain what it means by Friday. EU AI Act milestones, ISO 42001 amendments, SEC and FFIEC guidance, DORA deadlines. Speed is the entire product.</w:t>
            </w:r>
          </w:p>
        </w:tc>
        <w:tc>
          <w:tcPr>
            <w:tcW w:type="dxa" w:w="2218"/>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Summit 7’s four highest-view videos are all this format: 297,798 · 118,968 · 97,337 · 70,623.</w:t>
            </w:r>
          </w:p>
        </w:tc>
      </w:tr>
      <w:tr>
        <w:trPr>
          <w:cantSplit/>
        </w:trPr>
        <w:tc>
          <w:tcPr>
            <w:tcW w:type="dxa" w:w="1512"/>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The Findings</w:t>
            </w:r>
          </w:p>
        </w:tc>
        <w:tc>
          <w:tcPr>
            <w:tcW w:type="dxa" w:w="1613"/>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Monthly · 15–25 min</w:t>
            </w:r>
          </w:p>
        </w:tc>
        <w:tc>
          <w:tcPr>
            <w:tcW w:type="dxa" w:w="141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Andrew + Shay</w:t>
            </w:r>
          </w:p>
        </w:tc>
        <w:tc>
          <w:tcPr>
            <w:tcW w:type="dxa" w:w="332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What we actually see across the programs we run. Anonymised and aggregated: the controls that fail most often, the questions that stall a questionnaire, what AiVRIC flags across cloud estates.</w:t>
            </w:r>
          </w:p>
        </w:tc>
        <w:tc>
          <w:tcPr>
            <w:tcW w:type="dxa" w:w="221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Summit 7’s “100 CMMC Assessments” (43,778) and “We Mapped 130 Iranian Cyber Attacks” (49,949).</w:t>
            </w:r>
          </w:p>
        </w:tc>
      </w:tr>
      <w:tr>
        <w:trPr>
          <w:cantSplit/>
        </w:trPr>
        <w:tc>
          <w:tcPr>
            <w:tcW w:type="dxa" w:w="1512"/>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The Room</w:t>
            </w:r>
          </w:p>
        </w:tc>
        <w:tc>
          <w:tcPr>
            <w:tcW w:type="dxa" w:w="1613"/>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Monthly · 30–50 min</w:t>
            </w:r>
          </w:p>
        </w:tc>
        <w:tc>
          <w:tcPr>
            <w:tcW w:type="dxa" w:w="141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Andrew hosts</w:t>
            </w:r>
          </w:p>
        </w:tc>
        <w:tc>
          <w:tcPr>
            <w:tcW w:type="dxa" w:w="3326"/>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A conversation with someone who has been audited, breached, or asked to certify on a deadline. Practitioners over vendors. The guest’s network is the distribution.</w:t>
            </w:r>
          </w:p>
        </w:tc>
        <w:tc>
          <w:tcPr>
            <w:tcW w:type="dxa" w:w="2218"/>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Summit 7’s Boeing episode hit 108.9 views/hour — the fastest-accelerating video in the set.</w:t>
            </w:r>
          </w:p>
        </w:tc>
      </w:tr>
      <w:tr>
        <w:trPr>
          <w:cantSplit/>
        </w:trPr>
        <w:tc>
          <w:tcPr>
            <w:tcW w:type="dxa" w:w="1512"/>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The Bench</w:t>
            </w:r>
          </w:p>
        </w:tc>
        <w:tc>
          <w:tcPr>
            <w:tcW w:type="dxa" w:w="1613"/>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Biweekly · 6–10 min</w:t>
            </w:r>
          </w:p>
        </w:tc>
        <w:tc>
          <w:tcPr>
            <w:tcW w:type="dxa" w:w="141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Shay · Ariel · Teriah</w:t>
            </w:r>
          </w:p>
        </w:tc>
        <w:tc>
          <w:tcPr>
            <w:tcW w:type="dxa" w:w="332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One mechanism, explained by the person who operates it. Shay on incident response and monitoring; Ariel on Power Platform governance; Teriah on turning a business idea into a controlled AI use case.</w:t>
            </w:r>
          </w:p>
        </w:tc>
        <w:tc>
          <w:tcPr>
            <w:tcW w:type="dxa" w:w="221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The franchise that makes the channel survive a month when the founder is unavailable.</w:t>
            </w:r>
          </w:p>
        </w:tc>
      </w:tr>
    </w:tbl>
    <w:p>
      <w:pPr>
        <w:spacing w:after="180" w:before="0" w:line="276"/>
      </w:pPr>
      <w:r>
        <w:rPr>
          <w:rFonts w:ascii="Calibri" w:cs="Calibri" w:eastAsia="Calibri" w:hAnsi="Calibri"/>
          <w:color w:val="3D4A5A"/>
          <w:sz w:val="8"/>
          <w:szCs w:val="8"/>
        </w:rPr>
        <w:t xml:space="preserve"/>
      </w:r>
    </w:p>
    <w:tbl>
      <w:tblPr>
        <w:tblW w:type="dxa" w:w="10080"/>
        <w:tblBorders>
          <w:top w:val="none"/>
          <w:left w:val="single" w:color="A8781F" w:sz="18"/>
          <w:bottom w:val="none"/>
          <w:right w:val="none"/>
          <w:insideH w:val="none"/>
          <w:insideV w:val="none"/>
        </w:tblBorders>
      </w:tblPr>
      <w:tblGrid>
        <w:gridCol w:w="10080"/>
      </w:tblGrid>
      <w:tr>
        <w:trPr>
          <w:cantSplit/>
        </w:trPr>
        <w:tc>
          <w:tcPr>
            <w:tcW w:type="dxa" w:w="10080"/>
            <w:tcBorders>
              <w:top w:val="none"/>
              <w:left w:val="none"/>
              <w:bottom w:val="none"/>
              <w:right w:val="none"/>
            </w:tcBorders>
            <w:shd w:fill="FBF4E6" w:color="auto" w:val="clear"/>
            <w:tcMar>
              <w:top w:type="dxa" w:w="130"/>
              <w:left w:type="dxa" w:w="180"/>
              <w:bottom w:type="dxa" w:w="130"/>
              <w:right w:type="dxa" w:w="160"/>
            </w:tcMar>
          </w:tcPr>
          <w:p>
            <w:pPr>
              <w:keepNext/>
              <w:spacing w:after="60" w:before="0" w:line="260"/>
            </w:pPr>
            <w:r>
              <w:rPr>
                <w:rFonts w:ascii="Calibri" w:cs="Calibri" w:eastAsia="Calibri" w:hAnsi="Calibri"/>
                <w:b/>
                <w:bCs/>
                <w:color w:val="A8781F"/>
                <w:sz w:val="19"/>
                <w:szCs w:val="19"/>
              </w:rPr>
              <w:t xml:space="preserve">On runtime — reconciling with the GTM deck</w:t>
            </w:r>
          </w:p>
          <w:p>
            <w:pPr>
              <w:spacing w:after="40" w:before="0" w:line="265"/>
            </w:pPr>
            <w:r>
              <w:rPr>
                <w:rFonts w:ascii="Calibri" w:cs="Calibri" w:eastAsia="Calibri" w:hAnsi="Calibri"/>
                <w:color w:val="3D4A5A"/>
                <w:sz w:val="19"/>
                <w:szCs w:val="19"/>
              </w:rPr>
              <w:t xml:space="preserve">The 2026–2027 GTM deck specifies 6–10 minute explainers. That is right for The Bench, where the job is one mechanism explained cleanly. It is too short for the rest: ControlCase’s long-form averages roughly 22 minutes and drew 4.1M views from 19 uploads; Summit 7’s averages about 16; the highest-velocity video in the whole competitive set is a 51-minute guest episode. Length follows the franchise, not a single house rule.</w:t>
            </w:r>
          </w:p>
        </w:tc>
      </w:tr>
    </w:tbl>
    <w:p>
      <w:pPr>
        <w:spacing w:after="120" w:before="0" w:line="276"/>
      </w:pPr>
      <w:r>
        <w:rPr>
          <w:rFonts w:ascii="Calibri" w:cs="Calibri" w:eastAsia="Calibri" w:hAnsi="Calibri"/>
          <w:b/>
          <w:bCs/>
          <w:color w:val="14202E"/>
          <w:sz w:val="20"/>
          <w:szCs w:val="20"/>
        </w:rPr>
        <w:t xml:space="preserve">Shorts run three a week, cut from footage already shot. </w:t>
      </w:r>
      <w:r>
        <w:rPr>
          <w:rFonts w:ascii="Calibri" w:cs="Calibri" w:eastAsia="Calibri" w:hAnsi="Calibri"/>
          <w:color w:val="3D4A5A"/>
          <w:sz w:val="20"/>
          <w:szCs w:val="20"/>
        </w:rPr>
        <w:t xml:space="preserve">Their only job is reach and their only CTA is the long-form video — never the website. Stuart Barker’s channel is the evidence: his Shorts averaged 975 views while his long-form averaged 11,928.</w:t>
      </w:r>
    </w:p>
    <w:p>
      <w:pPr>
        <w:pStyle w:val="Heading2"/>
        <w:keepNext/>
        <w:spacing w:after="40" w:before="340"/>
      </w:pPr>
      <w:r>
        <w:rPr>
          <w:rFonts w:ascii="Calibri" w:cs="Calibri" w:eastAsia="Calibri" w:hAnsi="Calibri"/>
          <w:b/>
          <w:bCs/>
          <w:color w:val="2F86B3"/>
          <w:sz w:val="28"/>
          <w:szCs w:val="28"/>
        </w:rPr>
        <w:t xml:space="preserve">31. The launch slate</w:t>
      </w:r>
    </w:p>
    <w:p>
      <w:pPr>
        <w:keepNext/>
        <w:spacing w:after="140" w:before="0" w:line="276"/>
      </w:pPr>
      <w:r>
        <w:rPr>
          <w:rFonts w:ascii="Calibri" w:cs="Calibri" w:eastAsia="Calibri" w:hAnsi="Calibri"/>
          <w:i/>
          <w:iCs/>
          <w:color w:val="6B7A8C"/>
          <w:sz w:val="19"/>
          <w:szCs w:val="19"/>
        </w:rPr>
        <w:t xml:space="preserve">Twelve videos in publish order. Titles were scored for click-through potential before selection; the scores are measured, not estimated.</w:t>
      </w:r>
    </w:p>
    <w:tbl>
      <w:tblPr>
        <w:tblW w:type="dxa" w:w="10080"/>
        <w:tblBorders>
          <w:top w:val="single" w:color="D3DCE6" w:sz="2"/>
          <w:left w:val="none"/>
          <w:bottom w:val="single" w:color="D3DCE6" w:sz="2"/>
          <w:right w:val="none"/>
          <w:insideH w:val="single" w:color="D3DCE6" w:sz="2"/>
          <w:insideV w:val="none"/>
        </w:tblBorders>
      </w:tblPr>
      <w:tblGrid>
        <w:gridCol w:w="403"/>
        <w:gridCol w:w="3427"/>
        <w:gridCol w:w="706"/>
        <w:gridCol w:w="1210"/>
        <w:gridCol w:w="2218"/>
        <w:gridCol w:w="2117"/>
      </w:tblGrid>
      <w:tr>
        <w:trPr>
          <w:cantSplit/>
          <w:tblHeader/>
        </w:trPr>
        <w:tc>
          <w:tcPr>
            <w:tcW w:type="dxa" w:w="403"/>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w:t>
            </w:r>
          </w:p>
        </w:tc>
        <w:tc>
          <w:tcPr>
            <w:tcW w:type="dxa" w:w="3427"/>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Title</w:t>
            </w:r>
          </w:p>
        </w:tc>
        <w:tc>
          <w:tcPr>
            <w:tcW w:type="dxa" w:w="706"/>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CTR</w:t>
            </w:r>
          </w:p>
        </w:tc>
        <w:tc>
          <w:tcPr>
            <w:tcW w:type="dxa" w:w="1210"/>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Franchise</w:t>
            </w:r>
          </w:p>
        </w:tc>
        <w:tc>
          <w:tcPr>
            <w:tcW w:type="dxa" w:w="2218"/>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Target keyword</w:t>
            </w:r>
          </w:p>
        </w:tc>
        <w:tc>
          <w:tcPr>
            <w:tcW w:type="dxa" w:w="2117"/>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Ships with</w:t>
            </w:r>
          </w:p>
        </w:tc>
      </w:tr>
      <w:tr>
        <w:trPr>
          <w:cantSplit/>
        </w:trPr>
        <w:tc>
          <w:tcPr>
            <w:tcW w:type="dxa" w:w="403"/>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01</w:t>
            </w:r>
          </w:p>
        </w:tc>
        <w:tc>
          <w:tcPr>
            <w:tcW w:type="dxa" w:w="3427"/>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Who Owns AI Governance? (Nobody — And That’s the Problem)</w:t>
            </w:r>
          </w:p>
        </w:tc>
        <w:tc>
          <w:tcPr>
            <w:tcW w:type="dxa" w:w="70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right"/>
            </w:pPr>
            <w:r>
              <w:rPr>
                <w:rFonts w:ascii="Calibri" w:cs="Calibri" w:eastAsia="Calibri" w:hAnsi="Calibri"/>
                <w:b/>
                <w:bCs/>
                <w:color w:val="2F8562"/>
                <w:sz w:val="18"/>
                <w:szCs w:val="18"/>
              </w:rPr>
              <w:t xml:space="preserve">96</w:t>
            </w:r>
          </w:p>
        </w:tc>
        <w:tc>
          <w:tcPr>
            <w:tcW w:type="dxa" w:w="121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Snapshot</w:t>
            </w:r>
          </w:p>
        </w:tc>
        <w:tc>
          <w:tcPr>
            <w:tcW w:type="dxa" w:w="221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who owns ai governance</w:t>
            </w:r>
          </w:p>
        </w:tc>
        <w:tc>
          <w:tcPr>
            <w:tcW w:type="dxa" w:w="2117"/>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RACI template for AI decision rights</w:t>
            </w:r>
          </w:p>
        </w:tc>
      </w:tr>
      <w:tr>
        <w:trPr>
          <w:cantSplit/>
        </w:trPr>
        <w:tc>
          <w:tcPr>
            <w:tcW w:type="dxa" w:w="403"/>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02</w:t>
            </w:r>
          </w:p>
        </w:tc>
        <w:tc>
          <w:tcPr>
            <w:tcW w:type="dxa" w:w="3427"/>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The 10-Day AI Risk Snapshot: What We Find in Week One</w:t>
            </w:r>
          </w:p>
        </w:tc>
        <w:tc>
          <w:tcPr>
            <w:tcW w:type="dxa" w:w="706"/>
            <w:tcBorders>
              <w:top w:val="single" w:color="D3DCE6" w:sz="2"/>
              <w:left w:val="none"/>
              <w:bottom w:val="single" w:color="D3DCE6" w:sz="2"/>
              <w:right w:val="none"/>
            </w:tcBorders>
            <w:tcMar>
              <w:top w:type="dxa" w:w="70"/>
              <w:left w:type="dxa" w:w="100"/>
              <w:bottom w:type="dxa" w:w="70"/>
              <w:right w:type="dxa" w:w="100"/>
            </w:tcMar>
          </w:tcPr>
          <w:p>
            <w:pPr>
              <w:spacing w:after="0" w:before="0" w:line="250"/>
              <w:jc w:val="right"/>
            </w:pPr>
            <w:r>
              <w:rPr>
                <w:rFonts w:ascii="Calibri" w:cs="Calibri" w:eastAsia="Calibri" w:hAnsi="Calibri"/>
                <w:b/>
                <w:bCs/>
                <w:color w:val="2F8562"/>
                <w:sz w:val="18"/>
                <w:szCs w:val="18"/>
              </w:rPr>
              <w:t xml:space="preserve">96</w:t>
            </w:r>
          </w:p>
        </w:tc>
        <w:tc>
          <w:tcPr>
            <w:tcW w:type="dxa" w:w="1210"/>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Snapshot</w:t>
            </w:r>
          </w:p>
        </w:tc>
        <w:tc>
          <w:tcPr>
            <w:tcW w:type="dxa" w:w="2218"/>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ai governance framework</w:t>
            </w:r>
          </w:p>
        </w:tc>
        <w:tc>
          <w:tcPr>
            <w:tcW w:type="dxa" w:w="2117"/>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The Snapshot scope document</w:t>
            </w:r>
          </w:p>
        </w:tc>
      </w:tr>
      <w:tr>
        <w:trPr>
          <w:cantSplit/>
        </w:trPr>
        <w:tc>
          <w:tcPr>
            <w:tcW w:type="dxa" w:w="403"/>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03</w:t>
            </w:r>
          </w:p>
        </w:tc>
        <w:tc>
          <w:tcPr>
            <w:tcW w:type="dxa" w:w="3427"/>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We Certified 1,000+ Systems at a Bank. Here’s What Actually Fails an Audit.</w:t>
            </w:r>
          </w:p>
        </w:tc>
        <w:tc>
          <w:tcPr>
            <w:tcW w:type="dxa" w:w="70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right"/>
            </w:pPr>
            <w:r>
              <w:rPr>
                <w:rFonts w:ascii="Calibri" w:cs="Calibri" w:eastAsia="Calibri" w:hAnsi="Calibri"/>
                <w:b/>
                <w:bCs/>
                <w:color w:val="2F8562"/>
                <w:sz w:val="18"/>
                <w:szCs w:val="18"/>
              </w:rPr>
              <w:t xml:space="preserve">96</w:t>
            </w:r>
          </w:p>
        </w:tc>
        <w:tc>
          <w:tcPr>
            <w:tcW w:type="dxa" w:w="121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Findings</w:t>
            </w:r>
          </w:p>
        </w:tc>
        <w:tc>
          <w:tcPr>
            <w:tcW w:type="dxa" w:w="221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iso 27001 implementation</w:t>
            </w:r>
          </w:p>
        </w:tc>
        <w:tc>
          <w:tcPr>
            <w:tcW w:type="dxa" w:w="2117"/>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Top-20 failed-control list</w:t>
            </w:r>
          </w:p>
        </w:tc>
      </w:tr>
      <w:tr>
        <w:trPr>
          <w:cantSplit/>
        </w:trPr>
        <w:tc>
          <w:tcPr>
            <w:tcW w:type="dxa" w:w="403"/>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04</w:t>
            </w:r>
          </w:p>
        </w:tc>
        <w:tc>
          <w:tcPr>
            <w:tcW w:type="dxa" w:w="3427"/>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Your Biggest Customer Just Sent a Security Questionnaire. Now What?</w:t>
            </w:r>
          </w:p>
        </w:tc>
        <w:tc>
          <w:tcPr>
            <w:tcW w:type="dxa" w:w="706"/>
            <w:tcBorders>
              <w:top w:val="single" w:color="D3DCE6" w:sz="2"/>
              <w:left w:val="none"/>
              <w:bottom w:val="single" w:color="D3DCE6" w:sz="2"/>
              <w:right w:val="none"/>
            </w:tcBorders>
            <w:tcMar>
              <w:top w:type="dxa" w:w="70"/>
              <w:left w:type="dxa" w:w="100"/>
              <w:bottom w:type="dxa" w:w="70"/>
              <w:right w:type="dxa" w:w="100"/>
            </w:tcMar>
          </w:tcPr>
          <w:p>
            <w:pPr>
              <w:spacing w:after="0" w:before="0" w:line="250"/>
              <w:jc w:val="right"/>
            </w:pPr>
            <w:r>
              <w:rPr>
                <w:rFonts w:ascii="Calibri" w:cs="Calibri" w:eastAsia="Calibri" w:hAnsi="Calibri"/>
                <w:b/>
                <w:bCs/>
                <w:color w:val="2F8562"/>
                <w:sz w:val="18"/>
                <w:szCs w:val="18"/>
              </w:rPr>
              <w:t xml:space="preserve">95</w:t>
            </w:r>
          </w:p>
        </w:tc>
        <w:tc>
          <w:tcPr>
            <w:tcW w:type="dxa" w:w="1210"/>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Snapshot</w:t>
            </w:r>
          </w:p>
        </w:tc>
        <w:tc>
          <w:tcPr>
            <w:tcW w:type="dxa" w:w="2218"/>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soc 2 audit</w:t>
            </w:r>
          </w:p>
        </w:tc>
        <w:tc>
          <w:tcPr>
            <w:tcW w:type="dxa" w:w="2117"/>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Questionnaire triage sheet</w:t>
            </w:r>
          </w:p>
        </w:tc>
      </w:tr>
      <w:tr>
        <w:trPr>
          <w:cantSplit/>
        </w:trPr>
        <w:tc>
          <w:tcPr>
            <w:tcW w:type="dxa" w:w="403"/>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05</w:t>
            </w:r>
          </w:p>
        </w:tc>
        <w:tc>
          <w:tcPr>
            <w:tcW w:type="dxa" w:w="3427"/>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Why Your SOC 2 Passed and Your Security Still Failed</w:t>
            </w:r>
          </w:p>
        </w:tc>
        <w:tc>
          <w:tcPr>
            <w:tcW w:type="dxa" w:w="70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right"/>
            </w:pPr>
            <w:r>
              <w:rPr>
                <w:rFonts w:ascii="Calibri" w:cs="Calibri" w:eastAsia="Calibri" w:hAnsi="Calibri"/>
                <w:color w:val="2F8562"/>
                <w:sz w:val="18"/>
                <w:szCs w:val="18"/>
              </w:rPr>
              <w:t xml:space="preserve">91</w:t>
            </w:r>
          </w:p>
        </w:tc>
        <w:tc>
          <w:tcPr>
            <w:tcW w:type="dxa" w:w="121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Snapshot</w:t>
            </w:r>
          </w:p>
        </w:tc>
        <w:tc>
          <w:tcPr>
            <w:tcW w:type="dxa" w:w="221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soc 2 type 2</w:t>
            </w:r>
          </w:p>
        </w:tc>
        <w:tc>
          <w:tcPr>
            <w:tcW w:type="dxa" w:w="2117"/>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Continuous-evidence checklist</w:t>
            </w:r>
          </w:p>
        </w:tc>
      </w:tr>
      <w:tr>
        <w:trPr>
          <w:cantSplit/>
        </w:trPr>
        <w:tc>
          <w:tcPr>
            <w:tcW w:type="dxa" w:w="403"/>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06</w:t>
            </w:r>
          </w:p>
        </w:tc>
        <w:tc>
          <w:tcPr>
            <w:tcW w:type="dxa" w:w="3427"/>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How to Write an AI Governance Audit Report (Step by Step)</w:t>
            </w:r>
          </w:p>
        </w:tc>
        <w:tc>
          <w:tcPr>
            <w:tcW w:type="dxa" w:w="706"/>
            <w:tcBorders>
              <w:top w:val="single" w:color="D3DCE6" w:sz="2"/>
              <w:left w:val="none"/>
              <w:bottom w:val="single" w:color="D3DCE6" w:sz="2"/>
              <w:right w:val="none"/>
            </w:tcBorders>
            <w:tcMar>
              <w:top w:type="dxa" w:w="70"/>
              <w:left w:type="dxa" w:w="100"/>
              <w:bottom w:type="dxa" w:w="70"/>
              <w:right w:type="dxa" w:w="100"/>
            </w:tcMar>
          </w:tcPr>
          <w:p>
            <w:pPr>
              <w:spacing w:after="0" w:before="0" w:line="250"/>
              <w:jc w:val="right"/>
            </w:pPr>
            <w:r>
              <w:rPr>
                <w:rFonts w:ascii="Calibri" w:cs="Calibri" w:eastAsia="Calibri" w:hAnsi="Calibri"/>
                <w:color w:val="3D4A5A"/>
                <w:sz w:val="18"/>
                <w:szCs w:val="18"/>
              </w:rPr>
              <w:t xml:space="preserve">82</w:t>
            </w:r>
          </w:p>
        </w:tc>
        <w:tc>
          <w:tcPr>
            <w:tcW w:type="dxa" w:w="1210"/>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Snapshot</w:t>
            </w:r>
          </w:p>
        </w:tc>
        <w:tc>
          <w:tcPr>
            <w:tcW w:type="dxa" w:w="2218"/>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how to do an ai governance audit report</w:t>
            </w:r>
          </w:p>
        </w:tc>
        <w:tc>
          <w:tcPr>
            <w:tcW w:type="dxa" w:w="2117"/>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Report template — the gated asset</w:t>
            </w:r>
          </w:p>
        </w:tc>
      </w:tr>
      <w:tr>
        <w:trPr>
          <w:cantSplit/>
        </w:trPr>
        <w:tc>
          <w:tcPr>
            <w:tcW w:type="dxa" w:w="403"/>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07</w:t>
            </w:r>
          </w:p>
        </w:tc>
        <w:tc>
          <w:tcPr>
            <w:tcW w:type="dxa" w:w="3427"/>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ISO 42001 Explained for People Who Actually Have to Implement It</w:t>
            </w:r>
          </w:p>
        </w:tc>
        <w:tc>
          <w:tcPr>
            <w:tcW w:type="dxa" w:w="70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right"/>
            </w:pPr>
            <w:r>
              <w:rPr>
                <w:rFonts w:ascii="Calibri" w:cs="Calibri" w:eastAsia="Calibri" w:hAnsi="Calibri"/>
                <w:color w:val="3D4A5A"/>
                <w:sz w:val="18"/>
                <w:szCs w:val="18"/>
              </w:rPr>
              <w:t xml:space="preserve">78</w:t>
            </w:r>
          </w:p>
        </w:tc>
        <w:tc>
          <w:tcPr>
            <w:tcW w:type="dxa" w:w="121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Snapshot</w:t>
            </w:r>
          </w:p>
        </w:tc>
        <w:tc>
          <w:tcPr>
            <w:tcW w:type="dxa" w:w="221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iso 42001</w:t>
            </w:r>
          </w:p>
        </w:tc>
        <w:tc>
          <w:tcPr>
            <w:tcW w:type="dxa" w:w="2117"/>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Clause-to-evidence map</w:t>
            </w:r>
          </w:p>
        </w:tc>
      </w:tr>
      <w:tr>
        <w:trPr>
          <w:cantSplit/>
        </w:trPr>
        <w:tc>
          <w:tcPr>
            <w:tcW w:type="dxa" w:w="403"/>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08</w:t>
            </w:r>
          </w:p>
        </w:tc>
        <w:tc>
          <w:tcPr>
            <w:tcW w:type="dxa" w:w="3427"/>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What ISO 42001 Certification Really Costs (and How Long It Takes)</w:t>
            </w:r>
          </w:p>
        </w:tc>
        <w:tc>
          <w:tcPr>
            <w:tcW w:type="dxa" w:w="706"/>
            <w:tcBorders>
              <w:top w:val="single" w:color="D3DCE6" w:sz="2"/>
              <w:left w:val="none"/>
              <w:bottom w:val="single" w:color="D3DCE6" w:sz="2"/>
              <w:right w:val="none"/>
            </w:tcBorders>
            <w:tcMar>
              <w:top w:type="dxa" w:w="70"/>
              <w:left w:type="dxa" w:w="100"/>
              <w:bottom w:type="dxa" w:w="70"/>
              <w:right w:type="dxa" w:w="100"/>
            </w:tcMar>
          </w:tcPr>
          <w:p>
            <w:pPr>
              <w:spacing w:after="0" w:before="0" w:line="250"/>
              <w:jc w:val="right"/>
            </w:pPr>
            <w:r>
              <w:rPr>
                <w:rFonts w:ascii="Calibri" w:cs="Calibri" w:eastAsia="Calibri" w:hAnsi="Calibri"/>
                <w:color w:val="3D4A5A"/>
                <w:sz w:val="18"/>
                <w:szCs w:val="18"/>
              </w:rPr>
              <w:t xml:space="preserve">—</w:t>
            </w:r>
          </w:p>
        </w:tc>
        <w:tc>
          <w:tcPr>
            <w:tcW w:type="dxa" w:w="1210"/>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Snapshot</w:t>
            </w:r>
          </w:p>
        </w:tc>
        <w:tc>
          <w:tcPr>
            <w:tcW w:type="dxa" w:w="2218"/>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iso 42001 certification</w:t>
            </w:r>
          </w:p>
        </w:tc>
        <w:tc>
          <w:tcPr>
            <w:tcW w:type="dxa" w:w="2117"/>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Timeline and cost worksheet</w:t>
            </w:r>
          </w:p>
        </w:tc>
      </w:tr>
      <w:tr>
        <w:trPr>
          <w:cantSplit/>
        </w:trPr>
        <w:tc>
          <w:tcPr>
            <w:tcW w:type="dxa" w:w="403"/>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09</w:t>
            </w:r>
          </w:p>
        </w:tc>
        <w:tc>
          <w:tcPr>
            <w:tcW w:type="dxa" w:w="3427"/>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[The Filing — slot reserved for whatever moves]</w:t>
            </w:r>
          </w:p>
        </w:tc>
        <w:tc>
          <w:tcPr>
            <w:tcW w:type="dxa" w:w="70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right"/>
            </w:pPr>
            <w:r>
              <w:rPr>
                <w:rFonts w:ascii="Calibri" w:cs="Calibri" w:eastAsia="Calibri" w:hAnsi="Calibri"/>
                <w:color w:val="3D4A5A"/>
                <w:sz w:val="18"/>
                <w:szCs w:val="18"/>
              </w:rPr>
              <w:t xml:space="preserve">—</w:t>
            </w:r>
          </w:p>
        </w:tc>
        <w:tc>
          <w:tcPr>
            <w:tcW w:type="dxa" w:w="121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Filing</w:t>
            </w:r>
          </w:p>
        </w:tc>
        <w:tc>
          <w:tcPr>
            <w:tcW w:type="dxa" w:w="221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reactive</w:t>
            </w:r>
          </w:p>
        </w:tc>
        <w:tc>
          <w:tcPr>
            <w:tcW w:type="dxa" w:w="2117"/>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One-page implications memo</w:t>
            </w:r>
          </w:p>
        </w:tc>
      </w:tr>
      <w:tr>
        <w:trPr>
          <w:cantSplit/>
        </w:trPr>
        <w:tc>
          <w:tcPr>
            <w:tcW w:type="dxa" w:w="403"/>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10</w:t>
            </w:r>
          </w:p>
        </w:tc>
        <w:tc>
          <w:tcPr>
            <w:tcW w:type="dxa" w:w="3427"/>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The Controls That Fail Most Often (First 90 Days of Findings)</w:t>
            </w:r>
          </w:p>
        </w:tc>
        <w:tc>
          <w:tcPr>
            <w:tcW w:type="dxa" w:w="706"/>
            <w:tcBorders>
              <w:top w:val="single" w:color="D3DCE6" w:sz="2"/>
              <w:left w:val="none"/>
              <w:bottom w:val="single" w:color="D3DCE6" w:sz="2"/>
              <w:right w:val="none"/>
            </w:tcBorders>
            <w:tcMar>
              <w:top w:type="dxa" w:w="70"/>
              <w:left w:type="dxa" w:w="100"/>
              <w:bottom w:type="dxa" w:w="70"/>
              <w:right w:type="dxa" w:w="100"/>
            </w:tcMar>
          </w:tcPr>
          <w:p>
            <w:pPr>
              <w:spacing w:after="0" w:before="0" w:line="250"/>
              <w:jc w:val="right"/>
            </w:pPr>
            <w:r>
              <w:rPr>
                <w:rFonts w:ascii="Calibri" w:cs="Calibri" w:eastAsia="Calibri" w:hAnsi="Calibri"/>
                <w:color w:val="3D4A5A"/>
                <w:sz w:val="18"/>
                <w:szCs w:val="18"/>
              </w:rPr>
              <w:t xml:space="preserve">—</w:t>
            </w:r>
          </w:p>
        </w:tc>
        <w:tc>
          <w:tcPr>
            <w:tcW w:type="dxa" w:w="1210"/>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Findings</w:t>
            </w:r>
          </w:p>
        </w:tc>
        <w:tc>
          <w:tcPr>
            <w:tcW w:type="dxa" w:w="2218"/>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iso 42001 implementation</w:t>
            </w:r>
          </w:p>
        </w:tc>
        <w:tc>
          <w:tcPr>
            <w:tcW w:type="dxa" w:w="2117"/>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Aggregate findings summary</w:t>
            </w:r>
          </w:p>
        </w:tc>
      </w:tr>
      <w:tr>
        <w:trPr>
          <w:cantSplit/>
        </w:trPr>
        <w:tc>
          <w:tcPr>
            <w:tcW w:type="dxa" w:w="403"/>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11</w:t>
            </w:r>
          </w:p>
        </w:tc>
        <w:tc>
          <w:tcPr>
            <w:tcW w:type="dxa" w:w="3427"/>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[The Room — first guest episode]</w:t>
            </w:r>
          </w:p>
        </w:tc>
        <w:tc>
          <w:tcPr>
            <w:tcW w:type="dxa" w:w="70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right"/>
            </w:pPr>
            <w:r>
              <w:rPr>
                <w:rFonts w:ascii="Calibri" w:cs="Calibri" w:eastAsia="Calibri" w:hAnsi="Calibri"/>
                <w:color w:val="3D4A5A"/>
                <w:sz w:val="18"/>
                <w:szCs w:val="18"/>
              </w:rPr>
              <w:t xml:space="preserve">—</w:t>
            </w:r>
          </w:p>
        </w:tc>
        <w:tc>
          <w:tcPr>
            <w:tcW w:type="dxa" w:w="121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Room</w:t>
            </w:r>
          </w:p>
        </w:tc>
        <w:tc>
          <w:tcPr>
            <w:tcW w:type="dxa" w:w="221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brand</w:t>
            </w:r>
          </w:p>
        </w:tc>
        <w:tc>
          <w:tcPr>
            <w:tcW w:type="dxa" w:w="2117"/>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Guest clip pack</w:t>
            </w:r>
          </w:p>
        </w:tc>
      </w:tr>
      <w:tr>
        <w:trPr>
          <w:cantSplit/>
        </w:trPr>
        <w:tc>
          <w:tcPr>
            <w:tcW w:type="dxa" w:w="403"/>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12</w:t>
            </w:r>
          </w:p>
        </w:tc>
        <w:tc>
          <w:tcPr>
            <w:tcW w:type="dxa" w:w="3427"/>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A4462F"/>
                <w:sz w:val="18"/>
                <w:szCs w:val="18"/>
              </w:rPr>
              <w:t xml:space="preserve">AI Governance Best Practices for Enterprise Organizations</w:t>
            </w:r>
          </w:p>
        </w:tc>
        <w:tc>
          <w:tcPr>
            <w:tcW w:type="dxa" w:w="706"/>
            <w:tcBorders>
              <w:top w:val="single" w:color="D3DCE6" w:sz="2"/>
              <w:left w:val="none"/>
              <w:bottom w:val="single" w:color="D3DCE6" w:sz="2"/>
              <w:right w:val="none"/>
            </w:tcBorders>
            <w:tcMar>
              <w:top w:type="dxa" w:w="70"/>
              <w:left w:type="dxa" w:w="100"/>
              <w:bottom w:type="dxa" w:w="70"/>
              <w:right w:type="dxa" w:w="100"/>
            </w:tcMar>
          </w:tcPr>
          <w:p>
            <w:pPr>
              <w:spacing w:after="0" w:before="0" w:line="250"/>
              <w:jc w:val="right"/>
            </w:pPr>
            <w:r>
              <w:rPr>
                <w:rFonts w:ascii="Calibri" w:cs="Calibri" w:eastAsia="Calibri" w:hAnsi="Calibri"/>
                <w:color w:val="A4462F"/>
                <w:sz w:val="18"/>
                <w:szCs w:val="18"/>
              </w:rPr>
              <w:t xml:space="preserve">84 ✕</w:t>
            </w:r>
          </w:p>
        </w:tc>
        <w:tc>
          <w:tcPr>
            <w:tcW w:type="dxa" w:w="1210"/>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w:t>
            </w:r>
          </w:p>
        </w:tc>
        <w:tc>
          <w:tcPr>
            <w:tcW w:type="dxa" w:w="2218"/>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w:t>
            </w:r>
          </w:p>
        </w:tc>
        <w:tc>
          <w:tcPr>
            <w:tcW w:type="dxa" w:w="2117"/>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A4462F"/>
                <w:sz w:val="18"/>
                <w:szCs w:val="18"/>
              </w:rPr>
              <w:t xml:space="preserve">CUT. Kept as the control case.</w:t>
            </w:r>
          </w:p>
        </w:tc>
      </w:tr>
    </w:tbl>
    <w:p>
      <w:pPr>
        <w:spacing w:after="180" w:before="0" w:line="276"/>
      </w:pPr>
      <w:r>
        <w:rPr>
          <w:rFonts w:ascii="Calibri" w:cs="Calibri" w:eastAsia="Calibri" w:hAnsi="Calibri"/>
          <w:color w:val="3D4A5A"/>
          <w:sz w:val="8"/>
          <w:szCs w:val="8"/>
        </w:rPr>
        <w:t xml:space="preserve"/>
      </w:r>
    </w:p>
    <w:tbl>
      <w:tblPr>
        <w:tblW w:type="dxa" w:w="10080"/>
        <w:tblBorders>
          <w:top w:val="none"/>
          <w:left w:val="single" w:color="2F86B3" w:sz="18"/>
          <w:bottom w:val="none"/>
          <w:right w:val="none"/>
          <w:insideH w:val="none"/>
          <w:insideV w:val="none"/>
        </w:tblBorders>
      </w:tblPr>
      <w:tblGrid>
        <w:gridCol w:w="10080"/>
      </w:tblGrid>
      <w:tr>
        <w:trPr>
          <w:cantSplit/>
        </w:trPr>
        <w:tc>
          <w:tcPr>
            <w:tcW w:type="dxa" w:w="10080"/>
            <w:tcBorders>
              <w:top w:val="none"/>
              <w:left w:val="none"/>
              <w:bottom w:val="none"/>
              <w:right w:val="none"/>
            </w:tcBorders>
            <w:shd w:fill="EEF4F9" w:color="auto" w:val="clear"/>
            <w:tcMar>
              <w:top w:type="dxa" w:w="130"/>
              <w:left w:type="dxa" w:w="180"/>
              <w:bottom w:type="dxa" w:w="130"/>
              <w:right w:type="dxa" w:w="160"/>
            </w:tcMar>
          </w:tcPr>
          <w:p>
            <w:pPr>
              <w:keepNext/>
              <w:spacing w:after="60" w:before="0" w:line="260"/>
            </w:pPr>
            <w:r>
              <w:rPr>
                <w:rFonts w:ascii="Calibri" w:cs="Calibri" w:eastAsia="Calibri" w:hAnsi="Calibri"/>
                <w:b/>
                <w:bCs/>
                <w:color w:val="2F86B3"/>
                <w:sz w:val="19"/>
                <w:szCs w:val="19"/>
              </w:rPr>
              <w:t xml:space="preserve">The house rule on titles</w:t>
            </w:r>
          </w:p>
          <w:p>
            <w:pPr>
              <w:spacing w:after="40" w:before="0" w:line="265"/>
            </w:pPr>
            <w:r>
              <w:rPr>
                <w:rFonts w:ascii="Calibri" w:cs="Calibri" w:eastAsia="Calibri" w:hAnsi="Calibri"/>
                <w:color w:val="3D4A5A"/>
                <w:sz w:val="19"/>
                <w:szCs w:val="19"/>
              </w:rPr>
              <w:t xml:space="preserve">Read row 12 against rows 1–4. “AI Governance Best Practices for Enterprise Organizations” is the most conventional B2B title on the list and it scores below every specific one. “Who Owns AI Governance? (Nobody — And That’s the Problem)” scores 96. The rule that follows: a title must name a person, a number, a moment or a consequence. Category nouns strung together are not a title.</w:t>
            </w:r>
          </w:p>
        </w:tc>
      </w:tr>
    </w:tbl>
    <w:p>
      <w:pPr>
        <w:spacing w:after="160" w:before="0" w:line="276"/>
      </w:pPr>
      <w:r>
        <w:rPr>
          <w:rFonts w:ascii="Calibri" w:cs="Calibri" w:eastAsia="Calibri" w:hAnsi="Calibri"/>
          <w:b/>
          <w:bCs/>
          <w:color w:val="6B7A8C"/>
          <w:sz w:val="16"/>
          <w:szCs w:val="16"/>
        </w:rPr>
        <w:t xml:space="preserve">Source: </w:t>
      </w:r>
      <w:r>
        <w:rPr>
          <w:rFonts w:ascii="Calibri" w:cs="Calibri" w:eastAsia="Calibri" w:hAnsi="Calibri"/>
          <w:color w:val="6B7A8C"/>
          <w:sz w:val="16"/>
          <w:szCs w:val="16"/>
        </w:rPr>
        <w:t xml:space="preserve">vidIQ title scoring, 0–100, 2 September 2026.</w:t>
      </w:r>
    </w:p>
    <w:p>
      <w:pPr>
        <w:pStyle w:val="Heading2"/>
        <w:keepNext/>
        <w:spacing w:after="40" w:before="340"/>
      </w:pPr>
      <w:r>
        <w:rPr>
          <w:rFonts w:ascii="Calibri" w:cs="Calibri" w:eastAsia="Calibri" w:hAnsi="Calibri"/>
          <w:b/>
          <w:bCs/>
          <w:color w:val="2F86B3"/>
          <w:sz w:val="28"/>
          <w:szCs w:val="28"/>
        </w:rPr>
        <w:t xml:space="preserve">32. The twelve-week rollout</w:t>
      </w:r>
    </w:p>
    <w:p>
      <w:pPr>
        <w:keepNext/>
        <w:spacing w:after="140" w:before="0" w:line="276"/>
      </w:pPr>
      <w:r>
        <w:rPr>
          <w:rFonts w:ascii="Calibri" w:cs="Calibri" w:eastAsia="Calibri" w:hAnsi="Calibri"/>
          <w:i/>
          <w:iCs/>
          <w:color w:val="6B7A8C"/>
          <w:sz w:val="19"/>
          <w:szCs w:val="19"/>
        </w:rPr>
        <w:t xml:space="preserve">Four weeks of build, four of launch, four of proving the cadence holds. Nothing publishes until the destinations work. Dates assume a start on Monday 7 September 2026.</w:t>
      </w:r>
    </w:p>
    <w:p>
      <w:pPr>
        <w:pStyle w:val="Heading3"/>
        <w:keepNext/>
        <w:spacing w:after="80" w:before="240"/>
      </w:pPr>
      <w:r>
        <w:rPr>
          <w:rFonts w:ascii="Calibri" w:cs="Calibri" w:eastAsia="Calibri" w:hAnsi="Calibri"/>
          <w:b/>
          <w:bCs/>
          <w:color w:val="14202E"/>
          <w:sz w:val="22"/>
          <w:szCs w:val="22"/>
        </w:rPr>
        <w:t xml:space="preserve">32.1  Phase 0 — Build · 7 September – 4 October</w:t>
      </w:r>
    </w:p>
    <w:tbl>
      <w:tblPr>
        <w:tblW w:type="dxa" w:w="10080"/>
        <w:tblBorders>
          <w:top w:val="single" w:color="D3DCE6" w:sz="2"/>
          <w:left w:val="none"/>
          <w:bottom w:val="single" w:color="D3DCE6" w:sz="2"/>
          <w:right w:val="none"/>
          <w:insideH w:val="single" w:color="D3DCE6" w:sz="2"/>
          <w:insideV w:val="none"/>
        </w:tblBorders>
      </w:tblPr>
      <w:tblGrid>
        <w:gridCol w:w="1411"/>
        <w:gridCol w:w="8669"/>
      </w:tblGrid>
      <w:tr>
        <w:trPr>
          <w:cantSplit/>
          <w:tblHeader/>
        </w:trPr>
        <w:tc>
          <w:tcPr>
            <w:tcW w:type="dxa" w:w="1411"/>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Week</w:t>
            </w:r>
          </w:p>
        </w:tc>
        <w:tc>
          <w:tcPr>
            <w:tcW w:type="dxa" w:w="8669"/>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What happens</w:t>
            </w:r>
          </w:p>
        </w:tc>
      </w:tr>
      <w:tr>
        <w:trPr>
          <w:cantSplit/>
        </w:trPr>
        <w:tc>
          <w:tcPr>
            <w:tcW w:type="dxa" w:w="141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Week 1
7–13 Sep</w:t>
            </w:r>
          </w:p>
        </w:tc>
        <w:tc>
          <w:tcPr>
            <w:tcW w:type="dxa" w:w="866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Fix the site first — this blocks everything. Redirect www to apex, publish a sitemap, add canonicals, add Organization and Person structured data, and strip every “Q2 2026” availability string. Stand up the landing page the videos point to. Create the YouTube channel, claim the handle, verify the account. Confirm the four-person on-camera bench and book the first shoot day into four calendars.</w:t>
            </w:r>
          </w:p>
        </w:tc>
      </w:tr>
      <w:tr>
        <w:trPr>
          <w:cantSplit/>
        </w:trPr>
        <w:tc>
          <w:tcPr>
            <w:tcW w:type="dxa" w:w="141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Week 2
14–20 Sep</w:t>
            </w:r>
          </w:p>
        </w:tc>
        <w:tc>
          <w:tcPr>
            <w:tcW w:type="dxa" w:w="8669"/>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Script videos 01–04 from the Message Stack — no new claims; every assertion must already exist in the claims library. Build the four artifacts that ship with them. Design the thumbnail system: one template, three variants, six words maximum, tested at 210px wide. Set up tracking: the UTM convention, a YouTube traffic segment, and a first-touch field on the lead record.</w:t>
            </w:r>
          </w:p>
        </w:tc>
      </w:tr>
      <w:tr>
        <w:trPr>
          <w:cantSplit/>
        </w:trPr>
        <w:tc>
          <w:tcPr>
            <w:tcW w:type="dxa" w:w="141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Week 3
21–27 Sep</w:t>
            </w:r>
          </w:p>
        </w:tc>
        <w:tc>
          <w:tcPr>
            <w:tcW w:type="dxa" w:w="866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Shoot day one: videos 01–04 in a single session, plus twelve Shorts’ worth of material. Edit 01 and 02 to final; cut six Shorts. Write the blog versions for /insights — which doubles as the fix for nine articles all dated 20 January 2026. Warm the LinkedIn audience: Andrew posts twice a week on the same themes, no mention of a channel yet.</w:t>
            </w:r>
          </w:p>
        </w:tc>
      </w:tr>
      <w:tr>
        <w:trPr>
          <w:cantSplit/>
        </w:trPr>
        <w:tc>
          <w:tcPr>
            <w:tcW w:type="dxa" w:w="141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Week 4
28 Sep – 4 Oct</w:t>
            </w:r>
          </w:p>
        </w:tc>
        <w:tc>
          <w:tcPr>
            <w:tcW w:type="dxa" w:w="8669"/>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Edit 03 and 04. All four scheduled, thumbnails A/B ready, chapters and end screens set. Dry-run the full linking chain end to end: description link → landing page → form → CRM → follow-up email. Click every link yourself. Brief sales on the slate. Line up guest #1 for The Room and confirm clip rights.</w:t>
            </w:r>
          </w:p>
        </w:tc>
      </w:tr>
    </w:tbl>
    <w:p>
      <w:pPr>
        <w:spacing w:after="180" w:before="0" w:line="276"/>
      </w:pPr>
      <w:r>
        <w:rPr>
          <w:rFonts w:ascii="Calibri" w:cs="Calibri" w:eastAsia="Calibri" w:hAnsi="Calibri"/>
          <w:color w:val="3D4A5A"/>
          <w:sz w:val="8"/>
          <w:szCs w:val="8"/>
        </w:rPr>
        <w:t xml:space="preserve"/>
      </w:r>
    </w:p>
    <w:p>
      <w:pPr>
        <w:pStyle w:val="Heading3"/>
        <w:keepNext/>
        <w:spacing w:after="80" w:before="240"/>
      </w:pPr>
      <w:r>
        <w:rPr>
          <w:rFonts w:ascii="Calibri" w:cs="Calibri" w:eastAsia="Calibri" w:hAnsi="Calibri"/>
          <w:b/>
          <w:bCs/>
          <w:color w:val="14202E"/>
          <w:sz w:val="22"/>
          <w:szCs w:val="22"/>
        </w:rPr>
        <w:t xml:space="preserve">32.2  Phase 1 — Launch · 5 October – 1 November</w:t>
      </w:r>
    </w:p>
    <w:tbl>
      <w:tblPr>
        <w:tblW w:type="dxa" w:w="10080"/>
        <w:tblBorders>
          <w:top w:val="single" w:color="D3DCE6" w:sz="2"/>
          <w:left w:val="none"/>
          <w:bottom w:val="single" w:color="D3DCE6" w:sz="2"/>
          <w:right w:val="none"/>
          <w:insideH w:val="single" w:color="D3DCE6" w:sz="2"/>
          <w:insideV w:val="none"/>
        </w:tblBorders>
      </w:tblPr>
      <w:tblGrid>
        <w:gridCol w:w="1210"/>
        <w:gridCol w:w="8870"/>
      </w:tblGrid>
      <w:tr>
        <w:trPr>
          <w:cantSplit/>
          <w:tblHeader/>
        </w:trPr>
        <w:tc>
          <w:tcPr>
            <w:tcW w:type="dxa" w:w="1210"/>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Week</w:t>
            </w:r>
          </w:p>
        </w:tc>
        <w:tc>
          <w:tcPr>
            <w:tcW w:type="dxa" w:w="8870"/>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What happens</w:t>
            </w:r>
          </w:p>
        </w:tc>
      </w:tr>
      <w:tr>
        <w:trPr>
          <w:cantSplit/>
        </w:trPr>
        <w:tc>
          <w:tcPr>
            <w:tcW w:type="dxa" w:w="121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Week 5</w:t>
            </w:r>
          </w:p>
        </w:tc>
        <w:tc>
          <w:tcPr>
            <w:tcW w:type="dxa" w:w="887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Video 01 publishes Tuesday 09:00 ET. Same day: Andrew posts the native cut to LinkedIn with the YouTube link in the first comment; the company page reposts; the blog version goes live with the player embedded. Two Shorts Wednesday and Friday. Email the house list — link to the blog post, not to YouTube. Answer every comment within 24 hours.</w:t>
            </w:r>
          </w:p>
        </w:tc>
      </w:tr>
      <w:tr>
        <w:trPr>
          <w:cantSplit/>
        </w:trPr>
        <w:tc>
          <w:tcPr>
            <w:tcW w:type="dxa" w:w="1210"/>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Week 6</w:t>
            </w:r>
          </w:p>
        </w:tc>
        <w:tc>
          <w:tcPr>
            <w:tcW w:type="dxa" w:w="8870"/>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Video 02 publishes. First read on 01: click-through rate, average view duration, traffic sources. Do not touch the title before 72 hours of data. Sales starts sending timestamp deep-links in follow-ups.</w:t>
            </w:r>
          </w:p>
        </w:tc>
      </w:tr>
      <w:tr>
        <w:trPr>
          <w:cantSplit/>
        </w:trPr>
        <w:tc>
          <w:tcPr>
            <w:tcW w:type="dxa" w:w="121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Week 7</w:t>
            </w:r>
          </w:p>
        </w:tc>
        <w:tc>
          <w:tcPr>
            <w:tcW w:type="dxa" w:w="887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Video 03 publishes — the first Findings episode, and the first thing on the channel a competitor cannot copy. Swap the thumbnail on video 01 if CTR is under 4%. Shoot day two: videos 05–08.</w:t>
            </w:r>
          </w:p>
        </w:tc>
      </w:tr>
      <w:tr>
        <w:trPr>
          <w:cantSplit/>
        </w:trPr>
        <w:tc>
          <w:tcPr>
            <w:tcW w:type="dxa" w:w="1210"/>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Week 8</w:t>
            </w:r>
          </w:p>
        </w:tc>
        <w:tc>
          <w:tcPr>
            <w:tcW w:type="dxa" w:w="8870"/>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Video 04 publishes. 30-day review — not “did we get views,” but did anyone we want to talk to watch, and did any of them reply. Pull the companies from the landing-page fills and score them against the fit model. If a franchise produced nothing in four weeks, it does not get a fifth.</w:t>
            </w:r>
          </w:p>
        </w:tc>
      </w:tr>
    </w:tbl>
    <w:p>
      <w:pPr>
        <w:spacing w:after="180" w:before="0" w:line="276"/>
      </w:pPr>
      <w:r>
        <w:rPr>
          <w:rFonts w:ascii="Calibri" w:cs="Calibri" w:eastAsia="Calibri" w:hAnsi="Calibri"/>
          <w:color w:val="3D4A5A"/>
          <w:sz w:val="8"/>
          <w:szCs w:val="8"/>
        </w:rPr>
        <w:t xml:space="preserve"/>
      </w:r>
    </w:p>
    <w:p>
      <w:pPr>
        <w:pStyle w:val="Heading3"/>
        <w:keepNext/>
        <w:spacing w:after="80" w:before="240"/>
      </w:pPr>
      <w:r>
        <w:rPr>
          <w:rFonts w:ascii="Calibri" w:cs="Calibri" w:eastAsia="Calibri" w:hAnsi="Calibri"/>
          <w:b/>
          <w:bCs/>
          <w:color w:val="14202E"/>
          <w:sz w:val="22"/>
          <w:szCs w:val="22"/>
        </w:rPr>
        <w:t xml:space="preserve">32.3  Phase 2 — Sustain · 2 November – 27 December</w:t>
      </w:r>
    </w:p>
    <w:tbl>
      <w:tblPr>
        <w:tblW w:type="dxa" w:w="10080"/>
        <w:tblBorders>
          <w:top w:val="single" w:color="D3DCE6" w:sz="2"/>
          <w:left w:val="none"/>
          <w:bottom w:val="single" w:color="D3DCE6" w:sz="2"/>
          <w:right w:val="none"/>
          <w:insideH w:val="single" w:color="D3DCE6" w:sz="2"/>
          <w:insideV w:val="none"/>
        </w:tblBorders>
      </w:tblPr>
      <w:tblGrid>
        <w:gridCol w:w="1008"/>
        <w:gridCol w:w="9072"/>
      </w:tblGrid>
      <w:tr>
        <w:trPr>
          <w:cantSplit/>
          <w:tblHeader/>
        </w:trPr>
        <w:tc>
          <w:tcPr>
            <w:tcW w:type="dxa" w:w="1008"/>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Weeks</w:t>
            </w:r>
          </w:p>
        </w:tc>
        <w:tc>
          <w:tcPr>
            <w:tcW w:type="dxa" w:w="9072"/>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What happens</w:t>
            </w:r>
          </w:p>
        </w:tc>
      </w:tr>
      <w:tr>
        <w:trPr>
          <w:cantSplit/>
        </w:trPr>
        <w:tc>
          <w:tcPr>
            <w:tcW w:type="dxa" w:w="100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9–10</w:t>
            </w:r>
          </w:p>
        </w:tc>
        <w:tc>
          <w:tcPr>
            <w:tcW w:type="dxa" w:w="9072"/>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Videos 05 and 06. The Filing slot goes live: one reserved editing day a week, held for whatever moves. First guest recorded for The Room, with a ready-made clip pack so distribution costs them nothing. Start the retargeting audience from video viewers.</w:t>
            </w:r>
          </w:p>
        </w:tc>
      </w:tr>
      <w:tr>
        <w:trPr>
          <w:cantSplit/>
        </w:trPr>
        <w:tc>
          <w:tcPr>
            <w:tcW w:type="dxa" w:w="1008"/>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11–12</w:t>
            </w:r>
          </w:p>
        </w:tc>
        <w:tc>
          <w:tcPr>
            <w:tcW w:type="dxa" w:w="9072"/>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Videos 07 and 08. First Room episode publishes. Refresh the two weakest thumbnails and titles from the launch slate — old videos improve, and this is where compounding starts. Shoot day three.</w:t>
            </w:r>
          </w:p>
        </w:tc>
      </w:tr>
      <w:tr>
        <w:trPr>
          <w:cantSplit/>
        </w:trPr>
        <w:tc>
          <w:tcPr>
            <w:tcW w:type="dxa" w:w="100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13–16</w:t>
            </w:r>
          </w:p>
        </w:tc>
        <w:tc>
          <w:tcPr>
            <w:tcW w:type="dxa" w:w="9072"/>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Videos 09–12. Findings episode two, with a full quarter of aggregate data behind it. The 90-day decision: continue, change lane, or stop. Stopping in December is a legitimate outcome and far cheaper than drifting for a year. Rebuild the slate for Q1 from what the comments actually asked for.</w:t>
            </w:r>
          </w:p>
        </w:tc>
      </w:tr>
    </w:tbl>
    <w:p>
      <w:pPr>
        <w:spacing w:after="180" w:before="0" w:line="276"/>
      </w:pPr>
      <w:r>
        <w:rPr>
          <w:rFonts w:ascii="Calibri" w:cs="Calibri" w:eastAsia="Calibri" w:hAnsi="Calibri"/>
          <w:color w:val="3D4A5A"/>
          <w:sz w:val="8"/>
          <w:szCs w:val="8"/>
        </w:rPr>
        <w:t xml:space="preserve"/>
      </w:r>
    </w:p>
    <w:p>
      <w:pPr>
        <w:pStyle w:val="Heading2"/>
        <w:keepNext/>
        <w:spacing w:after="40" w:before="340"/>
      </w:pPr>
      <w:r>
        <w:rPr>
          <w:rFonts w:ascii="Calibri" w:cs="Calibri" w:eastAsia="Calibri" w:hAnsi="Calibri"/>
          <w:b/>
          <w:bCs/>
          <w:color w:val="2F86B3"/>
          <w:sz w:val="28"/>
          <w:szCs w:val="28"/>
        </w:rPr>
        <w:t xml:space="preserve">33. One shoot, nine assets</w:t>
      </w:r>
    </w:p>
    <w:p>
      <w:pPr>
        <w:keepNext/>
        <w:spacing w:after="140" w:before="0" w:line="276"/>
      </w:pPr>
      <w:r>
        <w:rPr>
          <w:rFonts w:ascii="Calibri" w:cs="Calibri" w:eastAsia="Calibri" w:hAnsi="Calibri"/>
          <w:i/>
          <w:iCs/>
          <w:color w:val="6B7A8C"/>
          <w:sz w:val="19"/>
          <w:szCs w:val="19"/>
        </w:rPr>
        <w:t xml:space="preserve">The unit of production is not “make a video.” It is “run one topic through the whole chain.”</w:t>
      </w:r>
    </w:p>
    <w:tbl>
      <w:tblPr>
        <w:tblW w:type="dxa" w:w="10080"/>
        <w:tblBorders>
          <w:top w:val="single" w:color="D3DCE6" w:sz="2"/>
          <w:left w:val="none"/>
          <w:bottom w:val="single" w:color="D3DCE6" w:sz="2"/>
          <w:right w:val="none"/>
          <w:insideH w:val="single" w:color="D3DCE6" w:sz="2"/>
          <w:insideV w:val="none"/>
        </w:tblBorders>
      </w:tblPr>
      <w:tblGrid>
        <w:gridCol w:w="605"/>
        <w:gridCol w:w="2621"/>
        <w:gridCol w:w="6854"/>
      </w:tblGrid>
      <w:tr>
        <w:trPr>
          <w:cantSplit/>
          <w:tblHeader/>
        </w:trPr>
        <w:tc>
          <w:tcPr>
            <w:tcW w:type="dxa" w:w="605"/>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w:t>
            </w:r>
          </w:p>
        </w:tc>
        <w:tc>
          <w:tcPr>
            <w:tcW w:type="dxa" w:w="2621"/>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Asset</w:t>
            </w:r>
          </w:p>
        </w:tc>
        <w:tc>
          <w:tcPr>
            <w:tcW w:type="dxa" w:w="6854"/>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What it is</w:t>
            </w:r>
          </w:p>
        </w:tc>
      </w:tr>
      <w:tr>
        <w:trPr>
          <w:cantSplit/>
        </w:trPr>
        <w:tc>
          <w:tcPr>
            <w:tcW w:type="dxa" w:w="605"/>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01</w:t>
            </w:r>
          </w:p>
        </w:tc>
        <w:tc>
          <w:tcPr>
            <w:tcW w:type="dxa" w:w="262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YouTube long-form</w:t>
            </w:r>
          </w:p>
        </w:tc>
        <w:tc>
          <w:tcPr>
            <w:tcW w:type="dxa" w:w="6854"/>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12–20 min, chapters, artifact linked in the description — the anchor asset</w:t>
            </w:r>
          </w:p>
        </w:tc>
      </w:tr>
      <w:tr>
        <w:trPr>
          <w:cantSplit/>
        </w:trPr>
        <w:tc>
          <w:tcPr>
            <w:tcW w:type="dxa" w:w="605"/>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02</w:t>
            </w:r>
          </w:p>
        </w:tc>
        <w:tc>
          <w:tcPr>
            <w:tcW w:type="dxa" w:w="262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Three to five Shorts</w:t>
            </w:r>
          </w:p>
        </w:tc>
        <w:tc>
          <w:tcPr>
            <w:tcW w:type="dxa" w:w="6854"/>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Cut from the same footage; the only CTA is the long-form video</w:t>
            </w:r>
          </w:p>
        </w:tc>
      </w:tr>
      <w:tr>
        <w:trPr>
          <w:cantSplit/>
        </w:trPr>
        <w:tc>
          <w:tcPr>
            <w:tcW w:type="dxa" w:w="605"/>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03</w:t>
            </w:r>
          </w:p>
        </w:tc>
        <w:tc>
          <w:tcPr>
            <w:tcW w:type="dxa" w:w="262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LinkedIn native video</w:t>
            </w:r>
          </w:p>
        </w:tc>
        <w:tc>
          <w:tcPr>
            <w:tcW w:type="dxa" w:w="6854"/>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Posted from Andrew’s profile, YouTube link in the first comment</w:t>
            </w:r>
          </w:p>
        </w:tc>
      </w:tr>
      <w:tr>
        <w:trPr>
          <w:cantSplit/>
        </w:trPr>
        <w:tc>
          <w:tcPr>
            <w:tcW w:type="dxa" w:w="605"/>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04</w:t>
            </w:r>
          </w:p>
        </w:tc>
        <w:tc>
          <w:tcPr>
            <w:tcW w:type="dxa" w:w="262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LinkedIn post + carousel</w:t>
            </w:r>
          </w:p>
        </w:tc>
        <w:tc>
          <w:tcPr>
            <w:tcW w:type="dxa" w:w="6854"/>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Written from the transcript, not from scratch</w:t>
            </w:r>
          </w:p>
        </w:tc>
      </w:tr>
      <w:tr>
        <w:trPr>
          <w:cantSplit/>
        </w:trPr>
        <w:tc>
          <w:tcPr>
            <w:tcW w:type="dxa" w:w="605"/>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05</w:t>
            </w:r>
          </w:p>
        </w:tc>
        <w:tc>
          <w:tcPr>
            <w:tcW w:type="dxa" w:w="262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Blog post on /insights</w:t>
            </w:r>
          </w:p>
        </w:tc>
        <w:tc>
          <w:tcPr>
            <w:tcW w:type="dxa" w:w="6854"/>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The edited transcript with the player embedded — fixes thin site content</w:t>
            </w:r>
          </w:p>
        </w:tc>
      </w:tr>
      <w:tr>
        <w:trPr>
          <w:cantSplit/>
        </w:trPr>
        <w:tc>
          <w:tcPr>
            <w:tcW w:type="dxa" w:w="605"/>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06</w:t>
            </w:r>
          </w:p>
        </w:tc>
        <w:tc>
          <w:tcPr>
            <w:tcW w:type="dxa" w:w="262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Nurture email</w:t>
            </w:r>
          </w:p>
        </w:tc>
        <w:tc>
          <w:tcPr>
            <w:tcW w:type="dxa" w:w="6854"/>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Links to the blog post, keeping the click in owned property</w:t>
            </w:r>
          </w:p>
        </w:tc>
      </w:tr>
      <w:tr>
        <w:trPr>
          <w:cantSplit/>
        </w:trPr>
        <w:tc>
          <w:tcPr>
            <w:tcW w:type="dxa" w:w="605"/>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07</w:t>
            </w:r>
          </w:p>
        </w:tc>
        <w:tc>
          <w:tcPr>
            <w:tcW w:type="dxa" w:w="262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Sales deep-link</w:t>
            </w:r>
          </w:p>
        </w:tc>
        <w:tc>
          <w:tcPr>
            <w:tcW w:type="dxa" w:w="6854"/>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A timestamp that answers one specific objection, sent by a rep</w:t>
            </w:r>
          </w:p>
        </w:tc>
      </w:tr>
      <w:tr>
        <w:trPr>
          <w:cantSplit/>
        </w:trPr>
        <w:tc>
          <w:tcPr>
            <w:tcW w:type="dxa" w:w="605"/>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08</w:t>
            </w:r>
          </w:p>
        </w:tc>
        <w:tc>
          <w:tcPr>
            <w:tcW w:type="dxa" w:w="262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The shipped artifact</w:t>
            </w:r>
          </w:p>
        </w:tc>
        <w:tc>
          <w:tcPr>
            <w:tcW w:type="dxa" w:w="6854"/>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Template, checklist or control map — the thing people actually keep</w:t>
            </w:r>
          </w:p>
        </w:tc>
      </w:tr>
      <w:tr>
        <w:trPr>
          <w:cantSplit/>
        </w:trPr>
        <w:tc>
          <w:tcPr>
            <w:tcW w:type="dxa" w:w="605"/>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09</w:t>
            </w:r>
          </w:p>
        </w:tc>
        <w:tc>
          <w:tcPr>
            <w:tcW w:type="dxa" w:w="262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Retargeting audience</w:t>
            </w:r>
          </w:p>
        </w:tc>
        <w:tc>
          <w:tcPr>
            <w:tcW w:type="dxa" w:w="6854"/>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Everyone who watched past 30 seconds, refreshed weekly</w:t>
            </w:r>
          </w:p>
        </w:tc>
      </w:tr>
    </w:tbl>
    <w:p>
      <w:pPr>
        <w:spacing w:after="180" w:before="0" w:line="276"/>
      </w:pPr>
      <w:r>
        <w:rPr>
          <w:rFonts w:ascii="Calibri" w:cs="Calibri" w:eastAsia="Calibri" w:hAnsi="Calibri"/>
          <w:color w:val="3D4A5A"/>
          <w:sz w:val="8"/>
          <w:szCs w:val="8"/>
        </w:rPr>
        <w:t xml:space="preserve"/>
      </w:r>
    </w:p>
    <w:tbl>
      <w:tblPr>
        <w:tblW w:type="dxa" w:w="10080"/>
        <w:tblBorders>
          <w:top w:val="none"/>
          <w:left w:val="single" w:color="2F8562" w:sz="18"/>
          <w:bottom w:val="none"/>
          <w:right w:val="none"/>
          <w:insideH w:val="none"/>
          <w:insideV w:val="none"/>
        </w:tblBorders>
      </w:tblPr>
      <w:tblGrid>
        <w:gridCol w:w="10080"/>
      </w:tblGrid>
      <w:tr>
        <w:trPr>
          <w:cantSplit/>
        </w:trPr>
        <w:tc>
          <w:tcPr>
            <w:tcW w:type="dxa" w:w="10080"/>
            <w:tcBorders>
              <w:top w:val="none"/>
              <w:left w:val="none"/>
              <w:bottom w:val="none"/>
              <w:right w:val="none"/>
            </w:tcBorders>
            <w:shd w:fill="EAF4EF" w:color="auto" w:val="clear"/>
            <w:tcMar>
              <w:top w:type="dxa" w:w="130"/>
              <w:left w:type="dxa" w:w="180"/>
              <w:bottom w:type="dxa" w:w="130"/>
              <w:right w:type="dxa" w:w="160"/>
            </w:tcMar>
          </w:tcPr>
          <w:p>
            <w:pPr>
              <w:keepNext/>
              <w:spacing w:after="60" w:before="0" w:line="260"/>
            </w:pPr>
            <w:r>
              <w:rPr>
                <w:rFonts w:ascii="Calibri" w:cs="Calibri" w:eastAsia="Calibri" w:hAnsi="Calibri"/>
                <w:b/>
                <w:bCs/>
                <w:color w:val="2F8562"/>
                <w:sz w:val="19"/>
                <w:szCs w:val="19"/>
              </w:rPr>
              <w:t xml:space="preserve">The return path most teams skip</w:t>
            </w:r>
          </w:p>
          <w:p>
            <w:pPr>
              <w:spacing w:after="40" w:before="0" w:line="265"/>
            </w:pPr>
            <w:r>
              <w:rPr>
                <w:rFonts w:ascii="Calibri" w:cs="Calibri" w:eastAsia="Calibri" w:hAnsi="Calibri"/>
                <w:color w:val="3D4A5A"/>
                <w:sz w:val="19"/>
                <w:szCs w:val="19"/>
              </w:rPr>
              <w:t xml:space="preserve">The questions people ask in comments and replies become next month’s slate. A channel that does not mine them is publishing blind — and it is the cheapest customer research available from exactly the audience 3HUE wants.</w:t>
            </w:r>
          </w:p>
        </w:tc>
      </w:tr>
    </w:tbl>
    <w:p>
      <w:pPr>
        <w:pStyle w:val="Heading2"/>
        <w:keepNext/>
        <w:spacing w:after="40" w:before="340"/>
      </w:pPr>
      <w:r>
        <w:rPr>
          <w:rFonts w:ascii="Calibri" w:cs="Calibri" w:eastAsia="Calibri" w:hAnsi="Calibri"/>
          <w:b/>
          <w:bCs/>
          <w:color w:val="2F86B3"/>
          <w:sz w:val="28"/>
          <w:szCs w:val="28"/>
        </w:rPr>
        <w:t xml:space="preserve">34. The linking map</w:t>
      </w:r>
    </w:p>
    <w:p>
      <w:pPr>
        <w:keepNext/>
        <w:spacing w:after="140" w:before="0" w:line="276"/>
      </w:pPr>
      <w:r>
        <w:rPr>
          <w:rFonts w:ascii="Calibri" w:cs="Calibri" w:eastAsia="Calibri" w:hAnsi="Calibri"/>
          <w:i/>
          <w:iCs/>
          <w:color w:val="6B7A8C"/>
          <w:sz w:val="19"/>
          <w:szCs w:val="19"/>
        </w:rPr>
        <w:t xml:space="preserve">Where every asset points, how it is tracked, and which document governs the copy. If a row has no destination, the asset does not get made.</w:t>
      </w:r>
    </w:p>
    <w:tbl>
      <w:tblPr>
        <w:tblW w:type="dxa" w:w="10080"/>
        <w:tblBorders>
          <w:top w:val="single" w:color="D3DCE6" w:sz="2"/>
          <w:left w:val="none"/>
          <w:bottom w:val="single" w:color="D3DCE6" w:sz="2"/>
          <w:right w:val="none"/>
          <w:insideH w:val="single" w:color="D3DCE6" w:sz="2"/>
          <w:insideV w:val="none"/>
        </w:tblBorders>
      </w:tblPr>
      <w:tblGrid>
        <w:gridCol w:w="2218"/>
        <w:gridCol w:w="3226"/>
        <w:gridCol w:w="2621"/>
        <w:gridCol w:w="2016"/>
      </w:tblGrid>
      <w:tr>
        <w:trPr>
          <w:cantSplit/>
          <w:tblHeader/>
        </w:trPr>
        <w:tc>
          <w:tcPr>
            <w:tcW w:type="dxa" w:w="2218"/>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Asset</w:t>
            </w:r>
          </w:p>
        </w:tc>
        <w:tc>
          <w:tcPr>
            <w:tcW w:type="dxa" w:w="3226"/>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Points to</w:t>
            </w:r>
          </w:p>
        </w:tc>
        <w:tc>
          <w:tcPr>
            <w:tcW w:type="dxa" w:w="2621"/>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Tracking</w:t>
            </w:r>
          </w:p>
        </w:tc>
        <w:tc>
          <w:tcPr>
            <w:tcW w:type="dxa" w:w="2016"/>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Governed by</w:t>
            </w:r>
          </w:p>
        </w:tc>
      </w:tr>
      <w:tr>
        <w:trPr>
          <w:cantSplit/>
        </w:trPr>
        <w:tc>
          <w:tcPr>
            <w:tcW w:type="dxa" w:w="221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YouTube description, first two lines</w:t>
            </w:r>
          </w:p>
        </w:tc>
        <w:tc>
          <w:tcPr>
            <w:tcW w:type="dxa" w:w="322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A4462F"/>
                <w:sz w:val="18"/>
                <w:szCs w:val="18"/>
              </w:rPr>
              <w:t xml:space="preserve">3hue.net/ai-risk-snapshot — does not exist yet; the site CTA currently goes straight to Calendly</w:t>
            </w:r>
          </w:p>
        </w:tc>
        <w:tc>
          <w:tcPr>
            <w:tcW w:type="dxa" w:w="262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utm_source=youtube · utm_medium=description · utm_campaign={video-slug}</w:t>
            </w:r>
          </w:p>
        </w:tc>
        <w:tc>
          <w:tcPr>
            <w:tcW w:type="dxa" w:w="201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Message Stack · Ship List</w:t>
            </w:r>
          </w:p>
        </w:tc>
      </w:tr>
      <w:tr>
        <w:trPr>
          <w:cantSplit/>
        </w:trPr>
        <w:tc>
          <w:tcPr>
            <w:tcW w:type="dxa" w:w="2218"/>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Pinned comment</w:t>
            </w:r>
          </w:p>
        </w:tc>
        <w:tc>
          <w:tcPr>
            <w:tcW w:type="dxa" w:w="3226"/>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The artifact for that video (template / checklist)</w:t>
            </w:r>
          </w:p>
        </w:tc>
        <w:tc>
          <w:tcPr>
            <w:tcW w:type="dxa" w:w="262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utm_medium=pinned</w:t>
            </w:r>
          </w:p>
        </w:tc>
        <w:tc>
          <w:tcPr>
            <w:tcW w:type="dxa" w:w="2016"/>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Ship List</w:t>
            </w:r>
          </w:p>
        </w:tc>
      </w:tr>
      <w:tr>
        <w:trPr>
          <w:cantSplit/>
        </w:trPr>
        <w:tc>
          <w:tcPr>
            <w:tcW w:type="dxa" w:w="221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End screen, final 20 sec</w:t>
            </w:r>
          </w:p>
        </w:tc>
        <w:tc>
          <w:tcPr>
            <w:tcW w:type="dxa" w:w="322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Next video in the same franchise + subscribe</w:t>
            </w:r>
          </w:p>
        </w:tc>
        <w:tc>
          <w:tcPr>
            <w:tcW w:type="dxa" w:w="262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YouTube end-screen report</w:t>
            </w:r>
          </w:p>
        </w:tc>
        <w:tc>
          <w:tcPr>
            <w:tcW w:type="dxa" w:w="201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w:t>
            </w:r>
          </w:p>
        </w:tc>
      </w:tr>
      <w:tr>
        <w:trPr>
          <w:cantSplit/>
        </w:trPr>
        <w:tc>
          <w:tcPr>
            <w:tcW w:type="dxa" w:w="2218"/>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Shorts</w:t>
            </w:r>
          </w:p>
        </w:tc>
        <w:tc>
          <w:tcPr>
            <w:tcW w:type="dxa" w:w="3226"/>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The long-form video only — never the website</w:t>
            </w:r>
          </w:p>
        </w:tc>
        <w:tc>
          <w:tcPr>
            <w:tcW w:type="dxa" w:w="262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n/a — measured on long-form lift</w:t>
            </w:r>
          </w:p>
        </w:tc>
        <w:tc>
          <w:tcPr>
            <w:tcW w:type="dxa" w:w="2016"/>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w:t>
            </w:r>
          </w:p>
        </w:tc>
      </w:tr>
      <w:tr>
        <w:trPr>
          <w:cantSplit/>
        </w:trPr>
        <w:tc>
          <w:tcPr>
            <w:tcW w:type="dxa" w:w="221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Andrew’s LinkedIn — native video</w:t>
            </w:r>
          </w:p>
        </w:tc>
        <w:tc>
          <w:tcPr>
            <w:tcW w:type="dxa" w:w="322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3hue.net/about; YouTube link in the first comment</w:t>
            </w:r>
          </w:p>
        </w:tc>
        <w:tc>
          <w:tcPr>
            <w:tcW w:type="dxa" w:w="262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utm_source=linkedin · utm_medium=founder</w:t>
            </w:r>
          </w:p>
        </w:tc>
        <w:tc>
          <w:tcPr>
            <w:tcW w:type="dxa" w:w="201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Message Stack — Pillar 03</w:t>
            </w:r>
          </w:p>
        </w:tc>
      </w:tr>
      <w:tr>
        <w:trPr>
          <w:cantSplit/>
        </w:trPr>
        <w:tc>
          <w:tcPr>
            <w:tcW w:type="dxa" w:w="2218"/>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3HUE company page repost</w:t>
            </w:r>
          </w:p>
        </w:tc>
        <w:tc>
          <w:tcPr>
            <w:tcW w:type="dxa" w:w="3226"/>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The blog version of the video</w:t>
            </w:r>
          </w:p>
        </w:tc>
        <w:tc>
          <w:tcPr>
            <w:tcW w:type="dxa" w:w="262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utm_medium=companypage</w:t>
            </w:r>
          </w:p>
        </w:tc>
        <w:tc>
          <w:tcPr>
            <w:tcW w:type="dxa" w:w="2016"/>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Brand standard</w:t>
            </w:r>
          </w:p>
        </w:tc>
      </w:tr>
      <w:tr>
        <w:trPr>
          <w:cantSplit/>
        </w:trPr>
        <w:tc>
          <w:tcPr>
            <w:tcW w:type="dxa" w:w="221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Blog post on /insights</w:t>
            </w:r>
          </w:p>
        </w:tc>
        <w:tc>
          <w:tcPr>
            <w:tcW w:type="dxa" w:w="322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The Snapshot booking page; embeds the YouTube player</w:t>
            </w:r>
          </w:p>
        </w:tc>
        <w:tc>
          <w:tcPr>
            <w:tcW w:type="dxa" w:w="262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Internal link + watch-time credit</w:t>
            </w:r>
          </w:p>
        </w:tc>
        <w:tc>
          <w:tcPr>
            <w:tcW w:type="dxa" w:w="201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Keyword Map</w:t>
            </w:r>
          </w:p>
        </w:tc>
      </w:tr>
      <w:tr>
        <w:trPr>
          <w:cantSplit/>
        </w:trPr>
        <w:tc>
          <w:tcPr>
            <w:tcW w:type="dxa" w:w="2218"/>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Nurture email</w:t>
            </w:r>
          </w:p>
        </w:tc>
        <w:tc>
          <w:tcPr>
            <w:tcW w:type="dxa" w:w="3226"/>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The blog post — not YouTube; keep the click owned</w:t>
            </w:r>
          </w:p>
        </w:tc>
        <w:tc>
          <w:tcPr>
            <w:tcW w:type="dxa" w:w="262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utm_source=email · utm_campaign=nurture-{n}</w:t>
            </w:r>
          </w:p>
        </w:tc>
        <w:tc>
          <w:tcPr>
            <w:tcW w:type="dxa" w:w="2016"/>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Trigger and nurture program</w:t>
            </w:r>
          </w:p>
        </w:tc>
      </w:tr>
      <w:tr>
        <w:trPr>
          <w:cantSplit/>
        </w:trPr>
        <w:tc>
          <w:tcPr>
            <w:tcW w:type="dxa" w:w="221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Sales follow-up</w:t>
            </w:r>
          </w:p>
        </w:tc>
        <w:tc>
          <w:tcPr>
            <w:tcW w:type="dxa" w:w="322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A timestamp deep-link answering that buyer’s objection</w:t>
            </w:r>
          </w:p>
        </w:tc>
        <w:tc>
          <w:tcPr>
            <w:tcW w:type="dxa" w:w="262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Logged on the opportunity record</w:t>
            </w:r>
          </w:p>
        </w:tc>
        <w:tc>
          <w:tcPr>
            <w:tcW w:type="dxa" w:w="201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Sales enablement</w:t>
            </w:r>
          </w:p>
        </w:tc>
      </w:tr>
      <w:tr>
        <w:trPr>
          <w:cantSplit/>
        </w:trPr>
        <w:tc>
          <w:tcPr>
            <w:tcW w:type="dxa" w:w="2218"/>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Gated asset (one only)</w:t>
            </w:r>
          </w:p>
        </w:tc>
        <w:tc>
          <w:tcPr>
            <w:tcW w:type="dxa" w:w="3226"/>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AI governance audit report template</w:t>
            </w:r>
          </w:p>
        </w:tc>
        <w:tc>
          <w:tcPr>
            <w:tcW w:type="dxa" w:w="262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Form fill → CRM → ICP fit score</w:t>
            </w:r>
          </w:p>
        </w:tc>
        <w:tc>
          <w:tcPr>
            <w:tcW w:type="dxa" w:w="2016"/>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The fit model</w:t>
            </w:r>
          </w:p>
        </w:tc>
      </w:tr>
      <w:tr>
        <w:trPr>
          <w:cantSplit/>
        </w:trPr>
        <w:tc>
          <w:tcPr>
            <w:tcW w:type="dxa" w:w="221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AiVRIC cross-link</w:t>
            </w:r>
          </w:p>
        </w:tc>
        <w:tc>
          <w:tcPr>
            <w:tcW w:type="dxa" w:w="322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Platform demo clip on AiVRIC’s own property; the 3HUE video links out, not in</w:t>
            </w:r>
          </w:p>
        </w:tc>
        <w:tc>
          <w:tcPr>
            <w:tcW w:type="dxa" w:w="262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utm_source=3hue-yt</w:t>
            </w:r>
          </w:p>
        </w:tc>
        <w:tc>
          <w:tcPr>
            <w:tcW w:type="dxa" w:w="201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Naming architecture</w:t>
            </w:r>
          </w:p>
        </w:tc>
      </w:tr>
      <w:tr>
        <w:trPr>
          <w:cantSplit/>
        </w:trPr>
        <w:tc>
          <w:tcPr>
            <w:tcW w:type="dxa" w:w="2218"/>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Retargeting audience</w:t>
            </w:r>
          </w:p>
        </w:tc>
        <w:tc>
          <w:tcPr>
            <w:tcW w:type="dxa" w:w="3226"/>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Everyone who watched more than 30 seconds</w:t>
            </w:r>
          </w:p>
        </w:tc>
        <w:tc>
          <w:tcPr>
            <w:tcW w:type="dxa" w:w="262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Custom audience, refreshed weekly</w:t>
            </w:r>
          </w:p>
        </w:tc>
        <w:tc>
          <w:tcPr>
            <w:tcW w:type="dxa" w:w="2016"/>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Campaign kit</w:t>
            </w:r>
          </w:p>
        </w:tc>
      </w:tr>
    </w:tbl>
    <w:p>
      <w:pPr>
        <w:spacing w:after="180" w:before="0" w:line="276"/>
      </w:pPr>
      <w:r>
        <w:rPr>
          <w:rFonts w:ascii="Calibri" w:cs="Calibri" w:eastAsia="Calibri" w:hAnsi="Calibri"/>
          <w:color w:val="3D4A5A"/>
          <w:sz w:val="8"/>
          <w:szCs w:val="8"/>
        </w:rPr>
        <w:t xml:space="preserve"/>
      </w:r>
    </w:p>
    <w:tbl>
      <w:tblPr>
        <w:tblW w:type="dxa" w:w="10080"/>
        <w:tblBorders>
          <w:top w:val="none"/>
          <w:left w:val="single" w:color="A4462F" w:sz="18"/>
          <w:bottom w:val="none"/>
          <w:right w:val="none"/>
          <w:insideH w:val="none"/>
          <w:insideV w:val="none"/>
        </w:tblBorders>
      </w:tblPr>
      <w:tblGrid>
        <w:gridCol w:w="10080"/>
      </w:tblGrid>
      <w:tr>
        <w:trPr>
          <w:cantSplit/>
        </w:trPr>
        <w:tc>
          <w:tcPr>
            <w:tcW w:type="dxa" w:w="10080"/>
            <w:tcBorders>
              <w:top w:val="none"/>
              <w:left w:val="none"/>
              <w:bottom w:val="none"/>
              <w:right w:val="none"/>
            </w:tcBorders>
            <w:shd w:fill="FBEEEA" w:color="auto" w:val="clear"/>
            <w:tcMar>
              <w:top w:type="dxa" w:w="130"/>
              <w:left w:type="dxa" w:w="180"/>
              <w:bottom w:type="dxa" w:w="130"/>
              <w:right w:type="dxa" w:w="160"/>
            </w:tcMar>
          </w:tcPr>
          <w:p>
            <w:pPr>
              <w:keepNext/>
              <w:spacing w:after="60" w:before="0" w:line="260"/>
            </w:pPr>
            <w:r>
              <w:rPr>
                <w:rFonts w:ascii="Calibri" w:cs="Calibri" w:eastAsia="Calibri" w:hAnsi="Calibri"/>
                <w:b/>
                <w:bCs/>
                <w:color w:val="A4462F"/>
                <w:sz w:val="19"/>
                <w:szCs w:val="19"/>
              </w:rPr>
              <w:t xml:space="preserve">The blocking dependency, stated plainly</w:t>
            </w:r>
          </w:p>
          <w:p>
            <w:pPr>
              <w:spacing w:after="40" w:before="0" w:line="265"/>
            </w:pPr>
            <w:r>
              <w:rPr>
                <w:rFonts w:ascii="Calibri" w:cs="Calibri" w:eastAsia="Calibri" w:hAnsi="Calibri"/>
                <w:color w:val="3D4A5A"/>
                <w:sz w:val="19"/>
                <w:szCs w:val="19"/>
              </w:rPr>
              <w:t xml:space="preserve">Half this table points at 3hue.net. The apex and www still serve two different websites, there is no sitemap, no canonical tag and no structured data anywhere on the site. Publishing videos that drive traffic into that is spending attention that cannot be banked. Week 1 of the rollout is the site, not the studio.</w:t>
            </w:r>
          </w:p>
        </w:tc>
      </w:tr>
    </w:tbl>
    <w:p>
      <w:pPr>
        <w:pStyle w:val="Heading2"/>
        <w:keepNext/>
        <w:spacing w:after="40" w:before="340"/>
      </w:pPr>
      <w:r>
        <w:rPr>
          <w:rFonts w:ascii="Calibri" w:cs="Calibri" w:eastAsia="Calibri" w:hAnsi="Calibri"/>
          <w:b/>
          <w:bCs/>
          <w:color w:val="2F86B3"/>
          <w:sz w:val="28"/>
          <w:szCs w:val="28"/>
        </w:rPr>
        <w:t xml:space="preserve">35. What “working” looks like</w:t>
      </w:r>
    </w:p>
    <w:p>
      <w:pPr>
        <w:keepNext/>
        <w:spacing w:after="140" w:before="0" w:line="276"/>
      </w:pPr>
      <w:r>
        <w:rPr>
          <w:rFonts w:ascii="Calibri" w:cs="Calibri" w:eastAsia="Calibri" w:hAnsi="Calibri"/>
          <w:i/>
          <w:iCs/>
          <w:color w:val="6B7A8C"/>
          <w:sz w:val="19"/>
          <w:szCs w:val="19"/>
        </w:rPr>
        <w:t xml:space="preserve">Targets built from what comparable channels actually do, not from what a plan would like to promise.</w:t>
      </w:r>
    </w:p>
    <w:tbl>
      <w:tblPr>
        <w:tblW w:type="dxa" w:w="10080"/>
        <w:tblBorders>
          <w:top w:val="single" w:color="D3DCE6" w:sz="2"/>
          <w:left w:val="none"/>
          <w:bottom w:val="single" w:color="D3DCE6" w:sz="2"/>
          <w:right w:val="none"/>
          <w:insideH w:val="single" w:color="D3DCE6" w:sz="2"/>
          <w:insideV w:val="none"/>
        </w:tblBorders>
      </w:tblPr>
      <w:tblGrid>
        <w:gridCol w:w="1210"/>
        <w:gridCol w:w="2621"/>
        <w:gridCol w:w="2218"/>
        <w:gridCol w:w="4032"/>
      </w:tblGrid>
      <w:tr>
        <w:trPr>
          <w:cantSplit/>
          <w:tblHeader/>
        </w:trPr>
        <w:tc>
          <w:tcPr>
            <w:tcW w:type="dxa" w:w="1210"/>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Horizon</w:t>
            </w:r>
          </w:p>
        </w:tc>
        <w:tc>
          <w:tcPr>
            <w:tcW w:type="dxa" w:w="2621"/>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What we measure</w:t>
            </w:r>
          </w:p>
        </w:tc>
        <w:tc>
          <w:tcPr>
            <w:tcW w:type="dxa" w:w="2218"/>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Target</w:t>
            </w:r>
          </w:p>
        </w:tc>
        <w:tc>
          <w:tcPr>
            <w:tcW w:type="dxa" w:w="4032"/>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Why that number</w:t>
            </w:r>
          </w:p>
        </w:tc>
      </w:tr>
      <w:tr>
        <w:trPr>
          <w:cantSplit/>
        </w:trPr>
        <w:tc>
          <w:tcPr>
            <w:tcW w:type="dxa" w:w="121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30 days
by 1 Nov</w:t>
            </w:r>
          </w:p>
        </w:tc>
        <w:tc>
          <w:tcPr>
            <w:tcW w:type="dxa" w:w="262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Videos shipped on schedule · click-through rate · average view duration</w:t>
            </w:r>
          </w:p>
        </w:tc>
        <w:tc>
          <w:tcPr>
            <w:tcW w:type="dxa" w:w="221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4 of 4 videos · CTR above 4% · AVD above 40%</w:t>
            </w:r>
          </w:p>
        </w:tc>
        <w:tc>
          <w:tcPr>
            <w:tcW w:type="dxa" w:w="4032"/>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Shipping on time is the only thing fully in our control in month one. CTR and retention tell us whether the titles and the first 30 seconds are right — long before view counts mean anything.</w:t>
            </w:r>
          </w:p>
        </w:tc>
      </w:tr>
      <w:tr>
        <w:trPr>
          <w:cantSplit/>
        </w:trPr>
        <w:tc>
          <w:tcPr>
            <w:tcW w:type="dxa" w:w="1210"/>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60 days
by 1 Dec</w:t>
            </w:r>
          </w:p>
        </w:tc>
        <w:tc>
          <w:tcPr>
            <w:tcW w:type="dxa" w:w="262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Views per video · subscribers · landing-page sessions from YouTube · ICP-qualified form fills</w:t>
            </w:r>
          </w:p>
        </w:tc>
        <w:tc>
          <w:tcPr>
            <w:tcW w:type="dxa" w:w="2218"/>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200–800 per video · 100–400 subs · 3 or more qualified</w:t>
            </w:r>
          </w:p>
        </w:tc>
        <w:tc>
          <w:tcPr>
            <w:tcW w:type="dxa" w:w="4032"/>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BABL AI — the closest structural twin to 3HUE — averages 794 views per video after 181 uploads. SecureGovernance averages 159. Landing in that band on twelve videos is a normal, healthy start.</w:t>
            </w:r>
          </w:p>
        </w:tc>
      </w:tr>
      <w:tr>
        <w:trPr>
          <w:cantSplit/>
        </w:trPr>
        <w:tc>
          <w:tcPr>
            <w:tcW w:type="dxa" w:w="121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2F8562"/>
                <w:sz w:val="18"/>
                <w:szCs w:val="18"/>
              </w:rPr>
              <w:t xml:space="preserve">90 days
by 27 Dec</w:t>
            </w:r>
          </w:p>
        </w:tc>
        <w:tc>
          <w:tcPr>
            <w:tcW w:type="dxa" w:w="262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Qualified conversations sourced or assisted by the channel</w:t>
            </w:r>
          </w:p>
        </w:tc>
        <w:tc>
          <w:tcPr>
            <w:tcW w:type="dxa" w:w="221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3–10</w:t>
            </w:r>
          </w:p>
        </w:tc>
        <w:tc>
          <w:tcPr>
            <w:tcW w:type="dxa" w:w="4032"/>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The only number that decides whether the channel continues. Everything above it is a leading indicator. At 3HUE’s deal size, three conversations pays for the entire quarter of production.</w:t>
            </w:r>
          </w:p>
        </w:tc>
      </w:tr>
      <w:tr>
        <w:trPr>
          <w:cantSplit/>
        </w:trPr>
        <w:tc>
          <w:tcPr>
            <w:tcW w:type="dxa" w:w="1210"/>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Ongoing</w:t>
            </w:r>
          </w:p>
        </w:tc>
        <w:tc>
          <w:tcPr>
            <w:tcW w:type="dxa" w:w="262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Comment questions logged into the next slate</w:t>
            </w:r>
          </w:p>
        </w:tc>
        <w:tc>
          <w:tcPr>
            <w:tcW w:type="dxa" w:w="2218"/>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Every episode</w:t>
            </w:r>
          </w:p>
        </w:tc>
        <w:tc>
          <w:tcPr>
            <w:tcW w:type="dxa" w:w="4032"/>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The comments are free customer research from exactly the audience we are trying to reach. A channel that does not mine them is publishing blind.</w:t>
            </w:r>
          </w:p>
        </w:tc>
      </w:tr>
    </w:tbl>
    <w:p>
      <w:pPr>
        <w:spacing w:after="180" w:before="0" w:line="276"/>
      </w:pPr>
      <w:r>
        <w:rPr>
          <w:rFonts w:ascii="Calibri" w:cs="Calibri" w:eastAsia="Calibri" w:hAnsi="Calibri"/>
          <w:color w:val="3D4A5A"/>
          <w:sz w:val="8"/>
          <w:szCs w:val="8"/>
        </w:rPr>
        <w:t xml:space="preserve"/>
      </w:r>
    </w:p>
    <w:tbl>
      <w:tblPr>
        <w:tblW w:type="dxa" w:w="10080"/>
        <w:tblBorders>
          <w:top w:val="none"/>
          <w:left w:val="single" w:color="A8781F" w:sz="18"/>
          <w:bottom w:val="none"/>
          <w:right w:val="none"/>
          <w:insideH w:val="none"/>
          <w:insideV w:val="none"/>
        </w:tblBorders>
      </w:tblPr>
      <w:tblGrid>
        <w:gridCol w:w="10080"/>
      </w:tblGrid>
      <w:tr>
        <w:trPr>
          <w:cantSplit/>
        </w:trPr>
        <w:tc>
          <w:tcPr>
            <w:tcW w:type="dxa" w:w="10080"/>
            <w:tcBorders>
              <w:top w:val="none"/>
              <w:left w:val="none"/>
              <w:bottom w:val="none"/>
              <w:right w:val="none"/>
            </w:tcBorders>
            <w:shd w:fill="FBF4E6" w:color="auto" w:val="clear"/>
            <w:tcMar>
              <w:top w:type="dxa" w:w="130"/>
              <w:left w:type="dxa" w:w="180"/>
              <w:bottom w:type="dxa" w:w="130"/>
              <w:right w:type="dxa" w:w="160"/>
            </w:tcMar>
          </w:tcPr>
          <w:p>
            <w:pPr>
              <w:keepNext/>
              <w:spacing w:after="60" w:before="0" w:line="260"/>
            </w:pPr>
            <w:r>
              <w:rPr>
                <w:rFonts w:ascii="Calibri" w:cs="Calibri" w:eastAsia="Calibri" w:hAnsi="Calibri"/>
                <w:b/>
                <w:bCs/>
                <w:color w:val="A8781F"/>
                <w:sz w:val="19"/>
                <w:szCs w:val="19"/>
              </w:rPr>
              <w:t xml:space="preserve">The metric we are explicitly not optimising</w:t>
            </w:r>
          </w:p>
          <w:p>
            <w:pPr>
              <w:spacing w:after="40" w:before="0" w:line="265"/>
            </w:pPr>
            <w:r>
              <w:rPr>
                <w:rFonts w:ascii="Calibri" w:cs="Calibri" w:eastAsia="Calibri" w:hAnsi="Calibri"/>
                <w:color w:val="3D4A5A"/>
                <w:sz w:val="19"/>
                <w:szCs w:val="19"/>
              </w:rPr>
              <w:t xml:space="preserve">Subscribers. The career-intent keywords would grow subscribers fastest and would make the channel less valuable, not more — that is precisely the trap. If subscriber growth and qualified-conversation growth ever point in different directions, we follow the conversations.</w:t>
            </w:r>
          </w:p>
        </w:tc>
      </w:tr>
    </w:tbl>
    <w:p>
      <w:r>
        <w:br w:type="page"/>
      </w:r>
    </w:p>
    <w:p>
      <w:pPr>
        <w:spacing w:after="40" w:before="200"/>
      </w:pPr>
      <w:r>
        <w:rPr>
          <w:rFonts w:ascii="Calibri" w:cs="Calibri" w:eastAsia="Calibri" w:hAnsi="Calibri"/>
          <w:b/>
          <w:bCs/>
          <w:color w:val="44A8D9"/>
          <w:sz w:val="18"/>
          <w:szCs w:val="18"/>
        </w:rPr>
        <w:t xml:space="preserve">PART VII</w:t>
      </w:r>
    </w:p>
    <w:p>
      <w:pPr>
        <w:pStyle w:val="Heading1"/>
        <w:spacing w:after="120" w:before="0"/>
      </w:pPr>
      <w:r>
        <w:rPr>
          <w:rFonts w:ascii="Calibri" w:cs="Calibri" w:eastAsia="Calibri" w:hAnsi="Calibri"/>
          <w:b/>
          <w:bCs/>
          <w:color w:val="14202E"/>
          <w:sz w:val="40"/>
          <w:szCs w:val="40"/>
        </w:rPr>
        <w:t xml:space="preserve">Execution</w:t>
      </w:r>
    </w:p>
    <w:p>
      <w:pPr>
        <w:spacing w:after="200" w:before="0" w:line="276"/>
      </w:pPr>
      <w:r>
        <w:rPr>
          <w:rFonts w:ascii="Calibri" w:cs="Calibri" w:eastAsia="Calibri" w:hAnsi="Calibri"/>
          <w:color w:val="3D4A5A"/>
          <w:sz w:val="21"/>
          <w:szCs w:val="21"/>
        </w:rPr>
        <w:t xml:space="preserve">Everything that turns the research into pipeline — written to be copied, not admired. Copy blocks are ready to paste; everything outside them is direction.</w:t>
      </w:r>
    </w:p>
    <w:p>
      <w:pPr>
        <w:pBdr>
          <w:bottom w:val="single" w:color="D3DCE6" w:sz="6" w:space="1"/>
        </w:pBdr>
        <w:spacing w:after="160" w:before="0"/>
      </w:pPr>
      <w:r>
        <w:rPr>
          <w:rFonts w:ascii="Calibri" w:cs="Calibri" w:eastAsia="Calibri" w:hAnsi="Calibri"/>
          <w:color w:val="3D4A5A"/>
          <w:sz w:val="2"/>
          <w:szCs w:val="2"/>
        </w:rPr>
        <w:t xml:space="preserve"/>
      </w:r>
    </w:p>
    <w:p>
      <w:pPr>
        <w:pStyle w:val="Heading2"/>
        <w:keepNext/>
        <w:spacing w:after="40" w:before="340"/>
      </w:pPr>
      <w:r>
        <w:rPr>
          <w:rFonts w:ascii="Calibri" w:cs="Calibri" w:eastAsia="Calibri" w:hAnsi="Calibri"/>
          <w:b/>
          <w:bCs/>
          <w:color w:val="2F86B3"/>
          <w:sz w:val="28"/>
          <w:szCs w:val="28"/>
        </w:rPr>
        <w:t xml:space="preserve">36. What ships first</w:t>
      </w:r>
    </w:p>
    <w:p>
      <w:pPr>
        <w:keepNext/>
        <w:spacing w:after="140" w:before="0" w:line="276"/>
      </w:pPr>
      <w:r>
        <w:rPr>
          <w:rFonts w:ascii="Calibri" w:cs="Calibri" w:eastAsia="Calibri" w:hAnsi="Calibri"/>
          <w:i/>
          <w:iCs/>
          <w:color w:val="6B7A8C"/>
          <w:sz w:val="19"/>
          <w:szCs w:val="19"/>
        </w:rPr>
        <w:t xml:space="preserve">A 90-day sequence ordered by what unblocks what. The campaign is built around one trigger — a deal frozen behind a security review — because it is the most common, the most urgent, and the one where 3HUE’s proof is strongest.</w:t>
      </w:r>
    </w:p>
    <w:tbl>
      <w:tblPr>
        <w:tblW w:type="dxa" w:w="10080"/>
        <w:tblBorders>
          <w:top w:val="single" w:color="D3DCE6" w:sz="2"/>
          <w:left w:val="none"/>
          <w:bottom w:val="single" w:color="D3DCE6" w:sz="2"/>
          <w:right w:val="none"/>
          <w:insideH w:val="single" w:color="D3DCE6" w:sz="2"/>
          <w:insideV w:val="none"/>
        </w:tblBorders>
      </w:tblPr>
      <w:tblGrid>
        <w:gridCol w:w="1210"/>
        <w:gridCol w:w="2621"/>
        <w:gridCol w:w="6250"/>
      </w:tblGrid>
      <w:tr>
        <w:trPr>
          <w:cantSplit/>
          <w:tblHeader/>
        </w:trPr>
        <w:tc>
          <w:tcPr>
            <w:tcW w:type="dxa" w:w="1210"/>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When</w:t>
            </w:r>
          </w:p>
        </w:tc>
        <w:tc>
          <w:tcPr>
            <w:tcW w:type="dxa" w:w="2621"/>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What</w:t>
            </w:r>
          </w:p>
        </w:tc>
        <w:tc>
          <w:tcPr>
            <w:tcW w:type="dxa" w:w="6250"/>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Owner and dependency</w:t>
            </w:r>
          </w:p>
        </w:tc>
      </w:tr>
      <w:tr>
        <w:trPr>
          <w:cantSplit/>
        </w:trPr>
        <w:tc>
          <w:tcPr>
            <w:tcW w:type="dxa" w:w="121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2F86B3"/>
                <w:sz w:val="18"/>
                <w:szCs w:val="18"/>
              </w:rPr>
              <w:t xml:space="preserve">Days 1–14</w:t>
            </w:r>
          </w:p>
        </w:tc>
        <w:tc>
          <w:tcPr>
            <w:tcW w:type="dxa" w:w="262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The trust page and the questionnaire teardown</w:t>
            </w:r>
          </w:p>
        </w:tc>
        <w:tc>
          <w:tcPr>
            <w:tcW w:type="dxa" w:w="625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A firm that sells provability has no public security page. Fix that first — it is simultaneously a credibility repair, an SEO asset and the exact artifact the Hue 01 buyer asks for. Build the lead magnet alongside it. Owner: marketing. Blocks: the landing page and the outreach sequence.</w:t>
            </w:r>
          </w:p>
        </w:tc>
      </w:tr>
      <w:tr>
        <w:trPr>
          <w:cantSplit/>
        </w:trPr>
        <w:tc>
          <w:tcPr>
            <w:tcW w:type="dxa" w:w="1210"/>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2F86B3"/>
                <w:sz w:val="18"/>
                <w:szCs w:val="18"/>
              </w:rPr>
              <w:t xml:space="preserve">Days 7–21</w:t>
            </w:r>
          </w:p>
        </w:tc>
        <w:tc>
          <w:tcPr>
            <w:tcW w:type="dxa" w:w="262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Landing page and website framework fix</w:t>
            </w:r>
          </w:p>
        </w:tc>
        <w:tc>
          <w:tcPr>
            <w:tcW w:type="dxa" w:w="6250"/>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Publish the campaign page, and in the same pass add the framework names to the services pages. NIST, ISO 27001, CIS, SOC 2 and FFIEC currently appear nowhere public, which makes a whole category of intent traffic unable to find the firm. Owner: marketing.</w:t>
            </w:r>
          </w:p>
        </w:tc>
      </w:tr>
      <w:tr>
        <w:trPr>
          <w:cantSplit/>
        </w:trPr>
        <w:tc>
          <w:tcPr>
            <w:tcW w:type="dxa" w:w="121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2F86B3"/>
                <w:sz w:val="18"/>
                <w:szCs w:val="18"/>
              </w:rPr>
              <w:t xml:space="preserve">Days 14–90</w:t>
            </w:r>
          </w:p>
        </w:tc>
        <w:tc>
          <w:tcPr>
            <w:tcW w:type="dxa" w:w="262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Founder posting cadence</w:t>
            </w:r>
          </w:p>
        </w:tc>
        <w:tc>
          <w:tcPr>
            <w:tcW w:type="dxa" w:w="625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Weekly, from Andrew’s profile, not the company page. His profile has roughly three and a half times the following and all of the reach; the company page has no visible posts. Distribution is the constraint, not content. Owner: Andrew, with drafting support.</w:t>
            </w:r>
          </w:p>
        </w:tc>
      </w:tr>
      <w:tr>
        <w:trPr>
          <w:cantSplit/>
        </w:trPr>
        <w:tc>
          <w:tcPr>
            <w:tcW w:type="dxa" w:w="1210"/>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2F86B3"/>
                <w:sz w:val="18"/>
                <w:szCs w:val="18"/>
              </w:rPr>
              <w:t xml:space="preserve">Days 21–45</w:t>
            </w:r>
          </w:p>
        </w:tc>
        <w:tc>
          <w:tcPr>
            <w:tcW w:type="dxa" w:w="262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Discovery script and one-pagers</w:t>
            </w:r>
          </w:p>
        </w:tc>
        <w:tc>
          <w:tcPr>
            <w:tcW w:type="dxa" w:w="6250"/>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Nothing converts if the call after the click is improvised. Script first, then the four offer one-pagers, so the same argument survives from ad to close. Owner: sales, with Andrew.</w:t>
            </w:r>
          </w:p>
        </w:tc>
      </w:tr>
      <w:tr>
        <w:trPr>
          <w:cantSplit/>
        </w:trPr>
        <w:tc>
          <w:tcPr>
            <w:tcW w:type="dxa" w:w="121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2F86B3"/>
                <w:sz w:val="18"/>
                <w:szCs w:val="18"/>
              </w:rPr>
              <w:t xml:space="preserve">Days 30–60</w:t>
            </w:r>
          </w:p>
        </w:tc>
        <w:tc>
          <w:tcPr>
            <w:tcW w:type="dxa" w:w="262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Case study rebuild</w:t>
            </w:r>
          </w:p>
        </w:tc>
        <w:tc>
          <w:tcPr>
            <w:tcW w:type="dxa" w:w="625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Three published stories with strong outcomes, no quotes, no timeframes, no named references. Rebuilt properly they are the strongest proof the firm owns. Owner: marketing. Requires client consent, which is the long pole.</w:t>
            </w:r>
          </w:p>
        </w:tc>
      </w:tr>
      <w:tr>
        <w:trPr>
          <w:cantSplit/>
        </w:trPr>
        <w:tc>
          <w:tcPr>
            <w:tcW w:type="dxa" w:w="1210"/>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2F86B3"/>
                <w:sz w:val="18"/>
                <w:szCs w:val="18"/>
              </w:rPr>
              <w:t xml:space="preserve">Ongoing</w:t>
            </w:r>
          </w:p>
        </w:tc>
        <w:tc>
          <w:tcPr>
            <w:tcW w:type="dxa" w:w="262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Outreach to the target list</w:t>
            </w:r>
          </w:p>
        </w:tc>
        <w:tc>
          <w:tcPr>
            <w:tcW w:type="dxa" w:w="6250"/>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Small, precise, trigger-aware. Volume is not the play — a hundred well-chosen companies where a trigger is visible beats two thousand cold. Owner: sales.</w:t>
            </w:r>
          </w:p>
        </w:tc>
      </w:tr>
    </w:tbl>
    <w:p>
      <w:pPr>
        <w:spacing w:after="180" w:before="0" w:line="276"/>
      </w:pPr>
      <w:r>
        <w:rPr>
          <w:rFonts w:ascii="Calibri" w:cs="Calibri" w:eastAsia="Calibri" w:hAnsi="Calibri"/>
          <w:color w:val="3D4A5A"/>
          <w:sz w:val="8"/>
          <w:szCs w:val="8"/>
        </w:rPr>
        <w:t xml:space="preserve"/>
      </w:r>
    </w:p>
    <w:p>
      <w:pPr>
        <w:spacing w:after="160" w:before="0" w:line="276"/>
      </w:pPr>
      <w:r>
        <w:rPr>
          <w:rFonts w:ascii="Calibri" w:cs="Calibri" w:eastAsia="Calibri" w:hAnsi="Calibri"/>
          <w:i/>
          <w:iCs/>
          <w:color w:val="6B7A8C"/>
          <w:sz w:val="16"/>
          <w:szCs w:val="16"/>
        </w:rPr>
        <w:t xml:space="preserve">Two things deliberately not on this list, because they are decisions rather than tasks: whether to publish pricing, and who owns distribution long-term. Both belong to Andrew, and both change what this campaign can promise.</w:t>
      </w:r>
    </w:p>
    <w:p>
      <w:pPr>
        <w:pStyle w:val="Heading2"/>
        <w:keepNext/>
        <w:spacing w:after="40" w:before="340"/>
      </w:pPr>
      <w:r>
        <w:rPr>
          <w:rFonts w:ascii="Calibri" w:cs="Calibri" w:eastAsia="Calibri" w:hAnsi="Calibri"/>
          <w:b/>
          <w:bCs/>
          <w:color w:val="2F86B3"/>
          <w:sz w:val="28"/>
          <w:szCs w:val="28"/>
        </w:rPr>
        <w:t xml:space="preserve">37. The lead magnet</w:t>
      </w:r>
    </w:p>
    <w:p>
      <w:pPr>
        <w:keepNext/>
        <w:spacing w:after="140" w:before="0" w:line="276"/>
      </w:pPr>
      <w:r>
        <w:rPr>
          <w:rFonts w:ascii="Calibri" w:cs="Calibri" w:eastAsia="Calibri" w:hAnsi="Calibri"/>
          <w:i/>
          <w:iCs/>
          <w:color w:val="6B7A8C"/>
          <w:sz w:val="19"/>
          <w:szCs w:val="19"/>
        </w:rPr>
        <w:t xml:space="preserve">Not a whitepaper.</w:t>
      </w:r>
    </w:p>
    <w:p>
      <w:pPr>
        <w:spacing w:after="120" w:before="0" w:line="276"/>
      </w:pPr>
      <w:r>
        <w:rPr>
          <w:rFonts w:ascii="Calibri" w:cs="Calibri" w:eastAsia="Calibri" w:hAnsi="Calibri"/>
          <w:color w:val="3D4A5A"/>
          <w:sz w:val="20"/>
          <w:szCs w:val="20"/>
        </w:rPr>
        <w:t xml:space="preserve">The most quantified pain in the entire research corpus is the security questionnaire — buyers report 200+ questions, five to ten arriving per week at scale, and roughly $2 of internal cost per question answered. That is a problem with a number attached, which makes it the right thing to lead with.</w:t>
      </w:r>
    </w:p>
    <w:tbl>
      <w:tblPr>
        <w:tblW w:type="dxa" w:w="10080"/>
        <w:tblBorders>
          <w:top w:val="none"/>
          <w:left w:val="single" w:color="2F8562" w:sz="18"/>
          <w:bottom w:val="none"/>
          <w:right w:val="none"/>
          <w:insideH w:val="none"/>
          <w:insideV w:val="none"/>
        </w:tblBorders>
      </w:tblPr>
      <w:tblGrid>
        <w:gridCol w:w="10080"/>
      </w:tblGrid>
      <w:tr>
        <w:trPr>
          <w:cantSplit/>
        </w:trPr>
        <w:tc>
          <w:tcPr>
            <w:tcW w:type="dxa" w:w="10080"/>
            <w:tcBorders>
              <w:top w:val="none"/>
              <w:left w:val="none"/>
              <w:bottom w:val="none"/>
              <w:right w:val="none"/>
            </w:tcBorders>
            <w:shd w:fill="EAF4EF" w:color="auto" w:val="clear"/>
            <w:tcMar>
              <w:top w:type="dxa" w:w="130"/>
              <w:left w:type="dxa" w:w="180"/>
              <w:bottom w:type="dxa" w:w="130"/>
              <w:right w:type="dxa" w:w="160"/>
            </w:tcMar>
          </w:tcPr>
          <w:p>
            <w:pPr>
              <w:keepNext/>
              <w:spacing w:after="60" w:before="0" w:line="260"/>
            </w:pPr>
            <w:r>
              <w:rPr>
                <w:rFonts w:ascii="Calibri" w:cs="Calibri" w:eastAsia="Calibri" w:hAnsi="Calibri"/>
                <w:b/>
                <w:bCs/>
                <w:color w:val="2F8562"/>
                <w:sz w:val="19"/>
                <w:szCs w:val="19"/>
              </w:rPr>
              <w:t xml:space="preserve">Security Questionnaire Teardown</w:t>
            </w:r>
          </w:p>
          <w:p>
            <w:pPr>
              <w:spacing w:after="40" w:before="0" w:line="265"/>
            </w:pPr>
            <w:r>
              <w:rPr>
                <w:rFonts w:ascii="Calibri" w:cs="Calibri" w:eastAsia="Calibri" w:hAnsi="Calibri"/>
                <w:color w:val="3D4A5A"/>
                <w:sz w:val="19"/>
                <w:szCs w:val="19"/>
              </w:rPr>
              <w:t xml:space="preserve">Send us the questionnaire that is currently sitting on someone’s desk. Within three business days you get back: which questions you can answer today, which ones you cannot and why, which are asking the same thing three different ways, and which two or three genuinely require work before you can answer honestly.</w:t>
            </w:r>
          </w:p>
        </w:tc>
      </w:tr>
    </w:tbl>
    <w:p>
      <w:pPr>
        <w:keepNext/>
        <w:spacing w:after="60" w:before="180"/>
      </w:pPr>
      <w:r>
        <w:rPr>
          <w:rFonts w:ascii="Calibri" w:cs="Calibri" w:eastAsia="Calibri" w:hAnsi="Calibri"/>
          <w:b/>
          <w:bCs/>
          <w:color w:val="3D4A5A"/>
          <w:sz w:val="20"/>
          <w:szCs w:val="20"/>
        </w:rPr>
        <w:t xml:space="preserve">Why it works</w:t>
      </w:r>
    </w:p>
    <w:p>
      <w:pPr>
        <w:pStyle w:val="ListParagraph"/>
        <w:numPr>
          <w:ilvl w:val="0"/>
          <w:numId w:val="1"/>
        </w:numPr>
        <w:spacing w:after="70" w:line="270"/>
      </w:pPr>
      <w:r>
        <w:rPr>
          <w:rFonts w:ascii="Calibri" w:cs="Calibri" w:eastAsia="Calibri" w:hAnsi="Calibri"/>
          <w:color w:val="3D4A5A"/>
          <w:sz w:val="20"/>
          <w:szCs w:val="20"/>
        </w:rPr>
        <w:t xml:space="preserve">It is free, it takes the prospect ten minutes, and it removes an actual burden the same week.</w:t>
      </w:r>
    </w:p>
    <w:p>
      <w:pPr>
        <w:pStyle w:val="ListParagraph"/>
        <w:numPr>
          <w:ilvl w:val="0"/>
          <w:numId w:val="1"/>
        </w:numPr>
        <w:spacing w:after="70" w:line="270"/>
      </w:pPr>
      <w:r>
        <w:rPr>
          <w:rFonts w:ascii="Calibri" w:cs="Calibri" w:eastAsia="Calibri" w:hAnsi="Calibri"/>
          <w:color w:val="3D4A5A"/>
          <w:sz w:val="20"/>
          <w:szCs w:val="20"/>
        </w:rPr>
        <w:t xml:space="preserve">It hands 3HUE a complete picture of their control gaps — which is a scoped Snapshot proposal in everything but name.</w:t>
      </w:r>
    </w:p>
    <w:p>
      <w:pPr>
        <w:pStyle w:val="ListParagraph"/>
        <w:numPr>
          <w:ilvl w:val="0"/>
          <w:numId w:val="1"/>
        </w:numPr>
        <w:spacing w:after="70" w:line="270"/>
      </w:pPr>
      <w:r>
        <w:rPr>
          <w:rFonts w:ascii="Calibri" w:cs="Calibri" w:eastAsia="Calibri" w:hAnsi="Calibri"/>
          <w:color w:val="3D4A5A"/>
          <w:sz w:val="20"/>
          <w:szCs w:val="20"/>
        </w:rPr>
        <w:t xml:space="preserve">It demonstrates the core differentiator (scope negotiation — telling them what they don’t have to do) instead of describing it.</w:t>
      </w:r>
    </w:p>
    <w:p>
      <w:pPr>
        <w:pStyle w:val="ListParagraph"/>
        <w:numPr>
          <w:ilvl w:val="0"/>
          <w:numId w:val="1"/>
        </w:numPr>
        <w:spacing w:after="70" w:line="270"/>
      </w:pPr>
      <w:r>
        <w:rPr>
          <w:rFonts w:ascii="Calibri" w:cs="Calibri" w:eastAsia="Calibri" w:hAnsi="Calibri"/>
          <w:color w:val="3D4A5A"/>
          <w:sz w:val="20"/>
          <w:szCs w:val="20"/>
        </w:rPr>
        <w:t xml:space="preserve">It qualifies hard: a company with a live questionnaire has a live trigger by definition, which is 25 of the 100 points on the fit model.</w:t>
      </w:r>
    </w:p>
    <w:p>
      <w:pPr>
        <w:keepNext/>
        <w:spacing w:after="60" w:before="180"/>
      </w:pPr>
      <w:r>
        <w:rPr>
          <w:rFonts w:ascii="Calibri" w:cs="Calibri" w:eastAsia="Calibri" w:hAnsi="Calibri"/>
          <w:b/>
          <w:bCs/>
          <w:color w:val="3D4A5A"/>
          <w:sz w:val="20"/>
          <w:szCs w:val="20"/>
        </w:rPr>
        <w:t xml:space="preserve">Why not a whitepaper</w:t>
      </w:r>
    </w:p>
    <w:p>
      <w:pPr>
        <w:pStyle w:val="ListParagraph"/>
        <w:numPr>
          <w:ilvl w:val="0"/>
          <w:numId w:val="1"/>
        </w:numPr>
        <w:spacing w:after="70" w:line="270"/>
      </w:pPr>
      <w:r>
        <w:rPr>
          <w:rFonts w:ascii="Calibri" w:cs="Calibri" w:eastAsia="Calibri" w:hAnsi="Calibri"/>
          <w:color w:val="3D4A5A"/>
          <w:sz w:val="20"/>
          <w:szCs w:val="20"/>
        </w:rPr>
        <w:t xml:space="preserve">The market is saturated with compliance content and the buyer is not reading it.</w:t>
      </w:r>
    </w:p>
    <w:p>
      <w:pPr>
        <w:pStyle w:val="ListParagraph"/>
        <w:numPr>
          <w:ilvl w:val="0"/>
          <w:numId w:val="1"/>
        </w:numPr>
        <w:spacing w:after="70" w:line="270"/>
      </w:pPr>
      <w:r>
        <w:rPr>
          <w:rFonts w:ascii="Calibri" w:cs="Calibri" w:eastAsia="Calibri" w:hAnsi="Calibri"/>
          <w:color w:val="3D4A5A"/>
          <w:sz w:val="20"/>
          <w:szCs w:val="20"/>
        </w:rPr>
        <w:t xml:space="preserve">A teardown produces a conversation with an artifact in it; a download produces an email address.</w:t>
      </w:r>
    </w:p>
    <w:p>
      <w:pPr>
        <w:spacing w:after="160" w:before="0" w:line="276"/>
      </w:pPr>
      <w:r>
        <w:rPr>
          <w:rFonts w:ascii="Calibri" w:cs="Calibri" w:eastAsia="Calibri" w:hAnsi="Calibri"/>
          <w:i/>
          <w:iCs/>
          <w:color w:val="6B7A8C"/>
          <w:sz w:val="16"/>
          <w:szCs w:val="16"/>
        </w:rPr>
        <w:t xml:space="preserve">Guardrail: cap it at three per week, first come. Free work that is unlimited stops reading as generous and starts reading as idle.</w:t>
      </w:r>
    </w:p>
    <w:p>
      <w:pPr>
        <w:pStyle w:val="Heading2"/>
        <w:keepNext/>
        <w:spacing w:after="40" w:before="340"/>
      </w:pPr>
      <w:r>
        <w:rPr>
          <w:rFonts w:ascii="Calibri" w:cs="Calibri" w:eastAsia="Calibri" w:hAnsi="Calibri"/>
          <w:b/>
          <w:bCs/>
          <w:color w:val="2F86B3"/>
          <w:sz w:val="28"/>
          <w:szCs w:val="28"/>
        </w:rPr>
        <w:t xml:space="preserve">38. Landing page copy</w:t>
      </w:r>
    </w:p>
    <w:p>
      <w:pPr>
        <w:keepNext/>
        <w:spacing w:after="140" w:before="0" w:line="276"/>
      </w:pPr>
      <w:r>
        <w:rPr>
          <w:rFonts w:ascii="Calibri" w:cs="Calibri" w:eastAsia="Calibri" w:hAnsi="Calibri"/>
          <w:i/>
          <w:iCs/>
          <w:color w:val="6B7A8C"/>
          <w:sz w:val="19"/>
          <w:szCs w:val="19"/>
        </w:rPr>
        <w:t xml:space="preserve">Complete and ready to publish. Written for the Hue 01 buyer at the moment a deal freezes.</w:t>
      </w:r>
    </w:p>
    <w:p>
      <w:pPr>
        <w:spacing w:after="120" w:before="0" w:line="276"/>
      </w:pPr>
      <w:r>
        <w:rPr>
          <w:rFonts w:ascii="Calibri" w:cs="Calibri" w:eastAsia="Calibri" w:hAnsi="Calibri"/>
          <w:color w:val="3D4A5A"/>
          <w:sz w:val="20"/>
          <w:szCs w:val="20"/>
        </w:rPr>
        <w:t xml:space="preserve">Note what it does not do: it does not open with a breach statistic, it does not say “compliance is not security,” and it names no number that is not in the claims library.</w:t>
      </w:r>
    </w:p>
    <w:p>
      <w:pPr>
        <w:keepNext/>
        <w:spacing w:after="60" w:before="180"/>
      </w:pPr>
      <w:r>
        <w:rPr>
          <w:rFonts w:ascii="Calibri" w:cs="Calibri" w:eastAsia="Calibri" w:hAnsi="Calibri"/>
          <w:b/>
          <w:bCs/>
          <w:color w:val="3D4A5A"/>
          <w:sz w:val="20"/>
          <w:szCs w:val="20"/>
        </w:rPr>
        <w:t xml:space="preserve">Hero</w:t>
      </w:r>
    </w:p>
    <w:tbl>
      <w:tblPr>
        <w:tblW w:type="dxa" w:w="10080"/>
        <w:tblBorders>
          <w:top w:val="none"/>
          <w:left w:val="single" w:color="2F86B3" w:sz="18"/>
          <w:bottom w:val="none"/>
          <w:right w:val="none"/>
          <w:insideH w:val="none"/>
          <w:insideV w:val="none"/>
        </w:tblBorders>
      </w:tblPr>
      <w:tblGrid>
        <w:gridCol w:w="10080"/>
      </w:tblGrid>
      <w:tr>
        <w:trPr>
          <w:cantSplit/>
        </w:trPr>
        <w:tc>
          <w:tcPr>
            <w:tcW w:type="dxa" w:w="10080"/>
            <w:tcBorders>
              <w:top w:val="none"/>
              <w:left w:val="none"/>
              <w:bottom w:val="none"/>
              <w:right w:val="none"/>
            </w:tcBorders>
            <w:shd w:fill="EEF4F9" w:color="auto" w:val="clear"/>
            <w:tcMar>
              <w:top w:type="dxa" w:w="130"/>
              <w:left w:type="dxa" w:w="180"/>
              <w:bottom w:type="dxa" w:w="130"/>
              <w:right w:type="dxa" w:w="160"/>
            </w:tcMar>
          </w:tcPr>
          <w:p>
            <w:pPr>
              <w:spacing w:after="40" w:before="0" w:line="265"/>
            </w:pPr>
            <w:r>
              <w:rPr>
                <w:rFonts w:ascii="Calibri" w:cs="Calibri" w:eastAsia="Calibri" w:hAnsi="Calibri"/>
                <w:color w:val="3D4A5A"/>
                <w:sz w:val="19"/>
                <w:szCs w:val="19"/>
              </w:rPr>
              <w:t xml:space="preserve">Your buyer isn’t asking whether you’re secure. They’re asking whether you can prove it.</w:t>
            </w:r>
          </w:p>
          <w:p>
            <w:pPr>
              <w:spacing w:after="40" w:before="0" w:line="265"/>
            </w:pPr>
            <w:r>
              <w:rPr>
                <w:rFonts w:ascii="Calibri" w:cs="Calibri" w:eastAsia="Calibri" w:hAnsi="Calibri"/>
                <w:color w:val="3D4A5A"/>
                <w:sz w:val="19"/>
                <w:szCs w:val="19"/>
              </w:rPr>
              <w:t xml:space="preserve">We build the security program your enterprise deal is waiting on — and then we run it, so the evidence is still there next quarter.</w:t>
            </w:r>
          </w:p>
          <w:p>
            <w:pPr>
              <w:spacing w:after="40" w:before="0" w:line="265"/>
            </w:pPr>
            <w:r>
              <w:rPr>
                <w:rFonts w:ascii="Calibri" w:cs="Calibri" w:eastAsia="Calibri" w:hAnsi="Calibri"/>
                <w:color w:val="3D4A5A"/>
                <w:sz w:val="19"/>
                <w:szCs w:val="19"/>
              </w:rPr>
              <w:t xml:space="preserve">[Book the Snapshot — 10 business days]</w:t>
            </w:r>
          </w:p>
        </w:tc>
      </w:tr>
    </w:tbl>
    <w:p>
      <w:pPr>
        <w:keepNext/>
        <w:spacing w:after="60" w:before="180"/>
      </w:pPr>
      <w:r>
        <w:rPr>
          <w:rFonts w:ascii="Calibri" w:cs="Calibri" w:eastAsia="Calibri" w:hAnsi="Calibri"/>
          <w:b/>
          <w:bCs/>
          <w:color w:val="3D4A5A"/>
          <w:sz w:val="20"/>
          <w:szCs w:val="20"/>
        </w:rPr>
        <w:t xml:space="preserve">The problem — three short blocks</w:t>
      </w:r>
    </w:p>
    <w:tbl>
      <w:tblPr>
        <w:tblW w:type="dxa" w:w="10080"/>
        <w:tblBorders>
          <w:top w:val="none"/>
          <w:left w:val="single" w:color="2F86B3" w:sz="18"/>
          <w:bottom w:val="none"/>
          <w:right w:val="none"/>
          <w:insideH w:val="none"/>
          <w:insideV w:val="none"/>
        </w:tblBorders>
      </w:tblPr>
      <w:tblGrid>
        <w:gridCol w:w="10080"/>
      </w:tblGrid>
      <w:tr>
        <w:trPr>
          <w:cantSplit/>
        </w:trPr>
        <w:tc>
          <w:tcPr>
            <w:tcW w:type="dxa" w:w="10080"/>
            <w:tcBorders>
              <w:top w:val="none"/>
              <w:left w:val="none"/>
              <w:bottom w:val="none"/>
              <w:right w:val="none"/>
            </w:tcBorders>
            <w:shd w:fill="EEF4F9" w:color="auto" w:val="clear"/>
            <w:tcMar>
              <w:top w:type="dxa" w:w="130"/>
              <w:left w:type="dxa" w:w="180"/>
              <w:bottom w:type="dxa" w:w="130"/>
              <w:right w:type="dxa" w:w="160"/>
            </w:tcMar>
          </w:tcPr>
          <w:p>
            <w:pPr>
              <w:spacing w:after="40" w:before="0" w:line="265"/>
            </w:pPr>
            <w:r>
              <w:rPr>
                <w:rFonts w:ascii="Calibri" w:cs="Calibri" w:eastAsia="Calibri" w:hAnsi="Calibri"/>
                <w:color w:val="3D4A5A"/>
                <w:sz w:val="19"/>
                <w:szCs w:val="19"/>
              </w:rPr>
              <w:t xml:space="preserve">The contract is sitting in someone’s security review. They have asked for a SOC 2 Type II, or an ISO 27001 certificate, or sent a 200-question review with a due date. You are not going to talk your way past it. Sixty-one percent of companies were required to hold a certification to win or renew a contract, and thirty-eight percent had already lost revenue over it before they acted.</w:t>
            </w:r>
          </w:p>
          <w:p>
            <w:pPr>
              <w:spacing w:after="40" w:before="0" w:line="265"/>
            </w:pPr>
            <w:r>
              <w:rPr>
                <w:rFonts w:ascii="Calibri" w:cs="Calibri" w:eastAsia="Calibri" w:hAnsi="Calibri"/>
                <w:color w:val="3D4A5A"/>
                <w:sz w:val="19"/>
                <w:szCs w:val="19"/>
              </w:rPr>
              <w:t xml:space="preserve">You know what needs doing. You don’t have anyone to do it. That is not a failure of seriousness — sixty-eight percent of organizations have one or fewer full-time security people while ninety-three percent call security a top priority. The framework is public and free. The person to run it is neither.</w:t>
            </w:r>
          </w:p>
          <w:p>
            <w:pPr>
              <w:spacing w:after="40" w:before="0" w:line="265"/>
            </w:pPr>
            <w:r>
              <w:rPr>
                <w:rFonts w:ascii="Calibri" w:cs="Calibri" w:eastAsia="Calibri" w:hAnsi="Calibri"/>
                <w:color w:val="3D4A5A"/>
                <w:sz w:val="19"/>
                <w:szCs w:val="19"/>
              </w:rPr>
              <w:t xml:space="preserve">And the tool you already bought hasn’t finished the job. A compliance platform tells you what is wrong. It does not close the gap, answer the questionnaire, or negotiate scope with your auditor. Keep it — we work on top of it.</w:t>
            </w:r>
          </w:p>
        </w:tc>
      </w:tr>
    </w:tbl>
    <w:p>
      <w:pPr>
        <w:keepNext/>
        <w:spacing w:after="60" w:before="180"/>
      </w:pPr>
      <w:r>
        <w:rPr>
          <w:rFonts w:ascii="Calibri" w:cs="Calibri" w:eastAsia="Calibri" w:hAnsi="Calibri"/>
          <w:b/>
          <w:bCs/>
          <w:color w:val="3D4A5A"/>
          <w:sz w:val="20"/>
          <w:szCs w:val="20"/>
        </w:rPr>
        <w:t xml:space="preserve">What you get</w:t>
      </w:r>
    </w:p>
    <w:tbl>
      <w:tblPr>
        <w:tblW w:type="dxa" w:w="10080"/>
        <w:tblBorders>
          <w:top w:val="none"/>
          <w:left w:val="single" w:color="2F86B3" w:sz="18"/>
          <w:bottom w:val="none"/>
          <w:right w:val="none"/>
          <w:insideH w:val="none"/>
          <w:insideV w:val="none"/>
        </w:tblBorders>
      </w:tblPr>
      <w:tblGrid>
        <w:gridCol w:w="10080"/>
      </w:tblGrid>
      <w:tr>
        <w:trPr>
          <w:cantSplit/>
        </w:trPr>
        <w:tc>
          <w:tcPr>
            <w:tcW w:type="dxa" w:w="10080"/>
            <w:tcBorders>
              <w:top w:val="none"/>
              <w:left w:val="none"/>
              <w:bottom w:val="none"/>
              <w:right w:val="none"/>
            </w:tcBorders>
            <w:shd w:fill="EEF4F9" w:color="auto" w:val="clear"/>
            <w:tcMar>
              <w:top w:type="dxa" w:w="130"/>
              <w:left w:type="dxa" w:w="180"/>
              <w:bottom w:type="dxa" w:w="130"/>
              <w:right w:type="dxa" w:w="160"/>
            </w:tcMar>
          </w:tcPr>
          <w:p>
            <w:pPr>
              <w:keepNext/>
              <w:spacing w:after="60" w:before="0" w:line="260"/>
            </w:pPr>
            <w:r>
              <w:rPr>
                <w:rFonts w:ascii="Calibri" w:cs="Calibri" w:eastAsia="Calibri" w:hAnsi="Calibri"/>
                <w:b/>
                <w:bCs/>
                <w:color w:val="2F86B3"/>
                <w:sz w:val="19"/>
                <w:szCs w:val="19"/>
              </w:rPr>
              <w:t xml:space="preserve">Ten business days to a decision you can act on</w:t>
            </w:r>
          </w:p>
          <w:p>
            <w:pPr>
              <w:spacing w:after="40" w:before="0" w:line="265"/>
            </w:pPr>
            <w:r>
              <w:rPr>
                <w:rFonts w:ascii="Calibri" w:cs="Calibri" w:eastAsia="Calibri" w:hAnsi="Calibri"/>
                <w:color w:val="3D4A5A"/>
                <w:sz w:val="19"/>
                <w:szCs w:val="19"/>
              </w:rPr>
              <w:t xml:space="preserve">The Snapshot is a fixed-scope assessment against the standard your buyer is actually asking for — not a maturity score. You finish it with three things:</w:t>
            </w:r>
          </w:p>
          <w:p>
            <w:pPr>
              <w:spacing w:after="40" w:before="0" w:line="265"/>
            </w:pPr>
            <w:r>
              <w:rPr>
                <w:rFonts w:ascii="Calibri" w:cs="Calibri" w:eastAsia="Calibri" w:hAnsi="Calibri"/>
                <w:color w:val="3D4A5A"/>
                <w:sz w:val="19"/>
                <w:szCs w:val="19"/>
              </w:rPr>
              <w:t xml:space="preserve">• A straight answer on whether you’ll pass, and what has to change first if you won’t.</w:t>
            </w:r>
          </w:p>
          <w:p>
            <w:pPr>
              <w:spacing w:after="40" w:before="0" w:line="265"/>
            </w:pPr>
            <w:r>
              <w:rPr>
                <w:rFonts w:ascii="Calibri" w:cs="Calibri" w:eastAsia="Calibri" w:hAnsi="Calibri"/>
                <w:color w:val="3D4A5A"/>
                <w:sz w:val="19"/>
                <w:szCs w:val="19"/>
              </w:rPr>
              <w:t xml:space="preserve">• A scoped plan with a date — how long, what it costs, who does the work, and what you can tell procurement this week.</w:t>
            </w:r>
          </w:p>
          <w:p>
            <w:pPr>
              <w:spacing w:after="40" w:before="0" w:line="265"/>
            </w:pPr>
            <w:r>
              <w:rPr>
                <w:rFonts w:ascii="Calibri" w:cs="Calibri" w:eastAsia="Calibri" w:hAnsi="Calibri"/>
                <w:color w:val="3D4A5A"/>
                <w:sz w:val="19"/>
                <w:szCs w:val="19"/>
              </w:rPr>
              <w:t xml:space="preserve">• The list of things you don’t have to do. Most of the cost in this work comes from scope nobody questioned.</w:t>
            </w:r>
          </w:p>
          <w:p>
            <w:pPr>
              <w:spacing w:after="40" w:before="0" w:line="265"/>
            </w:pPr>
            <w:r>
              <w:rPr>
                <w:rFonts w:ascii="Calibri" w:cs="Calibri" w:eastAsia="Calibri" w:hAnsi="Calibri"/>
                <w:color w:val="3D4A5A"/>
                <w:sz w:val="19"/>
                <w:szCs w:val="19"/>
              </w:rPr>
              <w:t xml:space="preserve">If you want us to run the program after that, we do. If you’d rather take the plan and run it yourself, that also works — you’ll have something an internal hire can inherit rather than start over.</w:t>
            </w:r>
          </w:p>
        </w:tc>
      </w:tr>
    </w:tbl>
    <w:p>
      <w:pPr>
        <w:keepNext/>
        <w:spacing w:after="60" w:before="180"/>
      </w:pPr>
      <w:r>
        <w:rPr>
          <w:rFonts w:ascii="Calibri" w:cs="Calibri" w:eastAsia="Calibri" w:hAnsi="Calibri"/>
          <w:b/>
          <w:bCs/>
          <w:color w:val="3D4A5A"/>
          <w:sz w:val="20"/>
          <w:szCs w:val="20"/>
        </w:rPr>
        <w:t xml:space="preserve">Proof</w:t>
      </w:r>
    </w:p>
    <w:tbl>
      <w:tblPr>
        <w:tblW w:type="dxa" w:w="10080"/>
        <w:tblBorders>
          <w:top w:val="none"/>
          <w:left w:val="single" w:color="2F86B3" w:sz="18"/>
          <w:bottom w:val="none"/>
          <w:right w:val="none"/>
          <w:insideH w:val="none"/>
          <w:insideV w:val="none"/>
        </w:tblBorders>
      </w:tblPr>
      <w:tblGrid>
        <w:gridCol w:w="10080"/>
      </w:tblGrid>
      <w:tr>
        <w:trPr>
          <w:cantSplit/>
        </w:trPr>
        <w:tc>
          <w:tcPr>
            <w:tcW w:type="dxa" w:w="10080"/>
            <w:tcBorders>
              <w:top w:val="none"/>
              <w:left w:val="none"/>
              <w:bottom w:val="none"/>
              <w:right w:val="none"/>
            </w:tcBorders>
            <w:shd w:fill="EEF4F9" w:color="auto" w:val="clear"/>
            <w:tcMar>
              <w:top w:type="dxa" w:w="130"/>
              <w:left w:type="dxa" w:w="180"/>
              <w:bottom w:type="dxa" w:w="130"/>
              <w:right w:type="dxa" w:w="160"/>
            </w:tcMar>
          </w:tcPr>
          <w:p>
            <w:pPr>
              <w:spacing w:after="40" w:before="0" w:line="265"/>
            </w:pPr>
            <w:r>
              <w:rPr>
                <w:rFonts w:ascii="Calibri" w:cs="Calibri" w:eastAsia="Calibri" w:hAnsi="Calibri"/>
                <w:color w:val="3D4A5A"/>
                <w:sz w:val="19"/>
                <w:szCs w:val="19"/>
              </w:rPr>
              <w:t xml:space="preserve">Transit Technologies came to us with no formal security program and enterprise customers asking questions. They finished with a SOC 2 Type I with zero findings, then a multi-entity Type II across their software portfolio.</w:t>
            </w:r>
          </w:p>
          <w:p>
            <w:pPr>
              <w:spacing w:after="40" w:before="0" w:line="265"/>
            </w:pPr>
            <w:r>
              <w:rPr>
                <w:rFonts w:ascii="Calibri" w:cs="Calibri" w:eastAsia="Calibri" w:hAnsi="Calibri"/>
                <w:color w:val="3D4A5A"/>
                <w:sz w:val="19"/>
                <w:szCs w:val="19"/>
              </w:rPr>
              <w:t xml:space="preserve">A large North American bank needed cloud governance that would hold up under examination. We certified more than a thousand systems under a single scalable assessment framework.</w:t>
            </w:r>
          </w:p>
          <w:p>
            <w:pPr>
              <w:spacing w:after="40" w:before="0" w:line="265"/>
            </w:pPr>
            <w:r>
              <w:rPr>
                <w:rFonts w:ascii="Calibri" w:cs="Calibri" w:eastAsia="Calibri" w:hAnsi="Calibri"/>
                <w:color w:val="3D4A5A"/>
                <w:sz w:val="19"/>
                <w:szCs w:val="19"/>
              </w:rPr>
              <w:t xml:space="preserve">Our founder spent his career closing FDA 483 observations and remediating bank Matters Requiring Attention under sustained audit scrutiny. The person who scopes your engagement is the person who delivers it.</w:t>
            </w:r>
          </w:p>
        </w:tc>
      </w:tr>
    </w:tbl>
    <w:p>
      <w:pPr>
        <w:keepNext/>
        <w:spacing w:after="60" w:before="180"/>
      </w:pPr>
      <w:r>
        <w:rPr>
          <w:rFonts w:ascii="Calibri" w:cs="Calibri" w:eastAsia="Calibri" w:hAnsi="Calibri"/>
          <w:b/>
          <w:bCs/>
          <w:color w:val="3D4A5A"/>
          <w:sz w:val="20"/>
          <w:szCs w:val="20"/>
        </w:rPr>
        <w:t xml:space="preserve">Objections, answered on the page</w:t>
      </w:r>
    </w:p>
    <w:tbl>
      <w:tblPr>
        <w:tblW w:type="dxa" w:w="10080"/>
        <w:tblBorders>
          <w:top w:val="none"/>
          <w:left w:val="single" w:color="2F86B3" w:sz="18"/>
          <w:bottom w:val="none"/>
          <w:right w:val="none"/>
          <w:insideH w:val="none"/>
          <w:insideV w:val="none"/>
        </w:tblBorders>
      </w:tblPr>
      <w:tblGrid>
        <w:gridCol w:w="10080"/>
      </w:tblGrid>
      <w:tr>
        <w:trPr>
          <w:cantSplit/>
        </w:trPr>
        <w:tc>
          <w:tcPr>
            <w:tcW w:type="dxa" w:w="10080"/>
            <w:tcBorders>
              <w:top w:val="none"/>
              <w:left w:val="none"/>
              <w:bottom w:val="none"/>
              <w:right w:val="none"/>
            </w:tcBorders>
            <w:shd w:fill="EEF4F9" w:color="auto" w:val="clear"/>
            <w:tcMar>
              <w:top w:type="dxa" w:w="130"/>
              <w:left w:type="dxa" w:w="180"/>
              <w:bottom w:type="dxa" w:w="130"/>
              <w:right w:type="dxa" w:w="160"/>
            </w:tcMar>
          </w:tcPr>
          <w:p>
            <w:pPr>
              <w:spacing w:after="40" w:before="0" w:line="265"/>
            </w:pPr>
            <w:r>
              <w:rPr>
                <w:rFonts w:ascii="Calibri" w:cs="Calibri" w:eastAsia="Calibri" w:hAnsi="Calibri"/>
                <w:color w:val="3D4A5A"/>
                <w:sz w:val="19"/>
                <w:szCs w:val="19"/>
              </w:rPr>
              <w:t xml:space="preserve">“We already use Vanta.” Good. Keep it. We’re the layer that operates it, and you’ll get more out of the licence you’re already paying for.</w:t>
            </w:r>
          </w:p>
          <w:p>
            <w:pPr>
              <w:spacing w:after="40" w:before="0" w:line="265"/>
            </w:pPr>
            <w:r>
              <w:rPr>
                <w:rFonts w:ascii="Calibri" w:cs="Calibri" w:eastAsia="Calibri" w:hAnsi="Calibri"/>
                <w:color w:val="3D4A5A"/>
                <w:sz w:val="19"/>
                <w:szCs w:val="19"/>
              </w:rPr>
              <w:t xml:space="preserve">“Isn’t this just compliance theater?” Often, yes. A certificate says controls existed during a window. That’s why we sell the program and not the certificate — you get the report because your buyer needs it, and a program because you do.</w:t>
            </w:r>
          </w:p>
          <w:p>
            <w:pPr>
              <w:spacing w:after="40" w:before="0" w:line="265"/>
            </w:pPr>
            <w:r>
              <w:rPr>
                <w:rFonts w:ascii="Calibri" w:cs="Calibri" w:eastAsia="Calibri" w:hAnsi="Calibri"/>
                <w:color w:val="3D4A5A"/>
                <w:sz w:val="19"/>
                <w:szCs w:val="19"/>
              </w:rPr>
              <w:t xml:space="preserve">“Can you guarantee we’ll pass?” No, and be careful with anyone who says otherwise. What we can do is tell you in week two whether you’ll pass, instead of letting the auditor tell you in month six.</w:t>
            </w:r>
          </w:p>
          <w:p>
            <w:pPr>
              <w:spacing w:after="40" w:before="0" w:line="265"/>
            </w:pPr>
            <w:r>
              <w:rPr>
                <w:rFonts w:ascii="Calibri" w:cs="Calibri" w:eastAsia="Calibri" w:hAnsi="Calibri"/>
                <w:color w:val="3D4A5A"/>
                <w:sz w:val="19"/>
                <w:szCs w:val="19"/>
              </w:rPr>
              <w:t xml:space="preserve">“Should we just hire someone?” Eventually, yes. A full-time security leader runs $250,000 to $400,000 and takes three to six months to find. We run the program now and build it so that hire inherits something.</w:t>
            </w:r>
          </w:p>
        </w:tc>
      </w:tr>
    </w:tbl>
    <w:p>
      <w:pPr>
        <w:keepNext/>
        <w:spacing w:after="60" w:before="180"/>
      </w:pPr>
      <w:r>
        <w:rPr>
          <w:rFonts w:ascii="Calibri" w:cs="Calibri" w:eastAsia="Calibri" w:hAnsi="Calibri"/>
          <w:b/>
          <w:bCs/>
          <w:color w:val="3D4A5A"/>
          <w:sz w:val="20"/>
          <w:szCs w:val="20"/>
        </w:rPr>
        <w:t xml:space="preserve">Closing CTA</w:t>
      </w:r>
    </w:p>
    <w:tbl>
      <w:tblPr>
        <w:tblW w:type="dxa" w:w="10080"/>
        <w:tblBorders>
          <w:top w:val="none"/>
          <w:left w:val="single" w:color="2F86B3" w:sz="18"/>
          <w:bottom w:val="none"/>
          <w:right w:val="none"/>
          <w:insideH w:val="none"/>
          <w:insideV w:val="none"/>
        </w:tblBorders>
      </w:tblPr>
      <w:tblGrid>
        <w:gridCol w:w="10080"/>
      </w:tblGrid>
      <w:tr>
        <w:trPr>
          <w:cantSplit/>
        </w:trPr>
        <w:tc>
          <w:tcPr>
            <w:tcW w:type="dxa" w:w="10080"/>
            <w:tcBorders>
              <w:top w:val="none"/>
              <w:left w:val="none"/>
              <w:bottom w:val="none"/>
              <w:right w:val="none"/>
            </w:tcBorders>
            <w:shd w:fill="EEF4F9" w:color="auto" w:val="clear"/>
            <w:tcMar>
              <w:top w:type="dxa" w:w="130"/>
              <w:left w:type="dxa" w:w="180"/>
              <w:bottom w:type="dxa" w:w="130"/>
              <w:right w:type="dxa" w:w="160"/>
            </w:tcMar>
          </w:tcPr>
          <w:p>
            <w:pPr>
              <w:spacing w:after="40" w:before="0" w:line="265"/>
            </w:pPr>
            <w:r>
              <w:rPr>
                <w:rFonts w:ascii="Calibri" w:cs="Calibri" w:eastAsia="Calibri" w:hAnsi="Calibri"/>
                <w:color w:val="3D4A5A"/>
                <w:sz w:val="19"/>
                <w:szCs w:val="19"/>
              </w:rPr>
              <w:t xml:space="preserve">Send us the questionnaire.</w:t>
            </w:r>
          </w:p>
          <w:p>
            <w:pPr>
              <w:spacing w:after="40" w:before="0" w:line="265"/>
            </w:pPr>
            <w:r>
              <w:rPr>
                <w:rFonts w:ascii="Calibri" w:cs="Calibri" w:eastAsia="Calibri" w:hAnsi="Calibri"/>
                <w:color w:val="3D4A5A"/>
                <w:sz w:val="19"/>
                <w:szCs w:val="19"/>
              </w:rPr>
              <w:t xml:space="preserve">If a security review is what’s holding up your deal, send it over. Within three business days you’ll get back what you can answer today, what you can’t, and what actually needs to change — at no cost, and with no obligation to work with us.</w:t>
            </w:r>
          </w:p>
          <w:p>
            <w:pPr>
              <w:spacing w:after="40" w:before="0" w:line="265"/>
            </w:pPr>
            <w:r>
              <w:rPr>
                <w:rFonts w:ascii="Calibri" w:cs="Calibri" w:eastAsia="Calibri" w:hAnsi="Calibri"/>
                <w:color w:val="3D4A5A"/>
                <w:sz w:val="19"/>
                <w:szCs w:val="19"/>
              </w:rPr>
              <w:t xml:space="preserve">[Send the questionnaire]</w:t>
            </w:r>
          </w:p>
        </w:tc>
      </w:tr>
    </w:tbl>
    <w:p>
      <w:pPr>
        <w:spacing w:after="160" w:before="0" w:line="276"/>
      </w:pPr>
      <w:r>
        <w:rPr>
          <w:rFonts w:ascii="Calibri" w:cs="Calibri" w:eastAsia="Calibri" w:hAnsi="Calibri"/>
          <w:i/>
          <w:iCs/>
          <w:color w:val="6B7A8C"/>
          <w:sz w:val="16"/>
          <w:szCs w:val="16"/>
        </w:rPr>
        <w:t xml:space="preserve">Page notes: one CTA, repeated — the Snapshot at the top for prospects who already know they need help, the teardown at the bottom for those who don’t yet. No form fields beyond name, work email and the file. Every statistic on the page needs its source visible in small print; an uncited number in front of this buyer does more harm than no number.</w:t>
      </w:r>
    </w:p>
    <w:p>
      <w:pPr>
        <w:pStyle w:val="Heading2"/>
        <w:keepNext/>
        <w:spacing w:after="40" w:before="340"/>
      </w:pPr>
      <w:r>
        <w:rPr>
          <w:rFonts w:ascii="Calibri" w:cs="Calibri" w:eastAsia="Calibri" w:hAnsi="Calibri"/>
          <w:b/>
          <w:bCs/>
          <w:color w:val="2F86B3"/>
          <w:sz w:val="28"/>
          <w:szCs w:val="28"/>
        </w:rPr>
        <w:t xml:space="preserve">39. Founder post series</w:t>
      </w:r>
    </w:p>
    <w:p>
      <w:pPr>
        <w:keepNext/>
        <w:spacing w:after="140" w:before="0" w:line="276"/>
      </w:pPr>
      <w:r>
        <w:rPr>
          <w:rFonts w:ascii="Calibri" w:cs="Calibri" w:eastAsia="Calibri" w:hAnsi="Calibri"/>
          <w:i/>
          <w:iCs/>
          <w:color w:val="6B7A8C"/>
          <w:sz w:val="19"/>
          <w:szCs w:val="19"/>
        </w:rPr>
        <w:t xml:space="preserve">Six posts, one a week, from Andrew’s profile.</w:t>
      </w:r>
    </w:p>
    <w:p>
      <w:pPr>
        <w:spacing w:after="120" w:before="0" w:line="276"/>
      </w:pPr>
      <w:r>
        <w:rPr>
          <w:rFonts w:ascii="Calibri" w:cs="Calibri" w:eastAsia="Calibri" w:hAnsi="Calibri"/>
          <w:color w:val="3D4A5A"/>
          <w:sz w:val="20"/>
          <w:szCs w:val="20"/>
        </w:rPr>
        <w:t xml:space="preserve">The format is drawn from what actually performs in this market: a heretical or specific opening line as the first sentence — LinkedIn shows that line as the preview, so it is the headline — then the reasoning, then a question. No hashtag walls, no company-page cross-posting until the profile has momentum.</w:t>
      </w:r>
    </w:p>
    <w:p>
      <w:pPr>
        <w:keepNext/>
        <w:spacing w:after="60" w:before="180"/>
      </w:pPr>
      <w:r>
        <w:rPr>
          <w:rFonts w:ascii="Calibri" w:cs="Calibri" w:eastAsia="Calibri" w:hAnsi="Calibri"/>
          <w:b/>
          <w:bCs/>
          <w:color w:val="3D4A5A"/>
          <w:sz w:val="20"/>
          <w:szCs w:val="20"/>
        </w:rPr>
        <w:t xml:space="preserve">Post 1 — the thesis</w:t>
      </w:r>
    </w:p>
    <w:tbl>
      <w:tblPr>
        <w:tblW w:type="dxa" w:w="10080"/>
        <w:tblBorders>
          <w:top w:val="none"/>
          <w:left w:val="single" w:color="2F86B3" w:sz="18"/>
          <w:bottom w:val="none"/>
          <w:right w:val="none"/>
          <w:insideH w:val="none"/>
          <w:insideV w:val="none"/>
        </w:tblBorders>
      </w:tblPr>
      <w:tblGrid>
        <w:gridCol w:w="10080"/>
      </w:tblGrid>
      <w:tr>
        <w:trPr>
          <w:cantSplit/>
        </w:trPr>
        <w:tc>
          <w:tcPr>
            <w:tcW w:type="dxa" w:w="10080"/>
            <w:tcBorders>
              <w:top w:val="none"/>
              <w:left w:val="none"/>
              <w:bottom w:val="none"/>
              <w:right w:val="none"/>
            </w:tcBorders>
            <w:shd w:fill="EEF4F9" w:color="auto" w:val="clear"/>
            <w:tcMar>
              <w:top w:type="dxa" w:w="130"/>
              <w:left w:type="dxa" w:w="180"/>
              <w:bottom w:type="dxa" w:w="130"/>
              <w:right w:type="dxa" w:w="160"/>
            </w:tcMar>
          </w:tcPr>
          <w:p>
            <w:pPr>
              <w:spacing w:after="40" w:before="0" w:line="265"/>
            </w:pPr>
            <w:r>
              <w:rPr>
                <w:rFonts w:ascii="Calibri" w:cs="Calibri" w:eastAsia="Calibri" w:hAnsi="Calibri"/>
                <w:color w:val="3D4A5A"/>
                <w:sz w:val="19"/>
                <w:szCs w:val="19"/>
              </w:rPr>
              <w:t xml:space="preserve">Most security programs don’t fail because nobody cared. They fail because nobody designed them to run.</w:t>
            </w:r>
          </w:p>
          <w:p>
            <w:pPr>
              <w:spacing w:after="40" w:before="0" w:line="265"/>
            </w:pPr>
            <w:r>
              <w:rPr>
                <w:rFonts w:ascii="Calibri" w:cs="Calibri" w:eastAsia="Calibri" w:hAnsi="Calibri"/>
                <w:color w:val="3D4A5A"/>
                <w:sz w:val="19"/>
                <w:szCs w:val="19"/>
              </w:rPr>
              <w:t xml:space="preserve">I’ve spent a career inside real failure conditions — FDA 483 observations, bank MRAs, audits where the margin for error was zero. The pattern never changed. The controls existed. The policies existed. Nobody was operating them between the audits.</w:t>
            </w:r>
          </w:p>
          <w:p>
            <w:pPr>
              <w:spacing w:after="40" w:before="0" w:line="265"/>
            </w:pPr>
            <w:r>
              <w:rPr>
                <w:rFonts w:ascii="Calibri" w:cs="Calibri" w:eastAsia="Calibri" w:hAnsi="Calibri"/>
                <w:color w:val="3D4A5A"/>
                <w:sz w:val="19"/>
                <w:szCs w:val="19"/>
              </w:rPr>
              <w:t xml:space="preserve">A framework tells you what should exist in a mature program. It does not tell you how to engineer or run one. That responsibility belongs somewhere else, and in most organizations it belongs to nobody.</w:t>
            </w:r>
          </w:p>
          <w:p>
            <w:pPr>
              <w:spacing w:after="40" w:before="0" w:line="265"/>
            </w:pPr>
            <w:r>
              <w:rPr>
                <w:rFonts w:ascii="Calibri" w:cs="Calibri" w:eastAsia="Calibri" w:hAnsi="Calibri"/>
                <w:color w:val="3D4A5A"/>
                <w:sz w:val="19"/>
                <w:szCs w:val="19"/>
              </w:rPr>
              <w:t xml:space="preserve">Sixty-eight percent of organizations have one or fewer full-time security people. Ninety-three percent say security is a top priority. Both of those are true at the same time, in the same companies, and that gap is the whole problem.</w:t>
            </w:r>
          </w:p>
          <w:p>
            <w:pPr>
              <w:spacing w:after="40" w:before="0" w:line="265"/>
            </w:pPr>
            <w:r>
              <w:rPr>
                <w:rFonts w:ascii="Calibri" w:cs="Calibri" w:eastAsia="Calibri" w:hAnsi="Calibri"/>
                <w:color w:val="3D4A5A"/>
                <w:sz w:val="19"/>
                <w:szCs w:val="19"/>
              </w:rPr>
              <w:t xml:space="preserve">If you run security somewhere: is your program designed to operate, or designed to pass?</w:t>
            </w:r>
          </w:p>
        </w:tc>
      </w:tr>
    </w:tbl>
    <w:p>
      <w:pPr>
        <w:keepNext/>
        <w:spacing w:after="60" w:before="180"/>
      </w:pPr>
      <w:r>
        <w:rPr>
          <w:rFonts w:ascii="Calibri" w:cs="Calibri" w:eastAsia="Calibri" w:hAnsi="Calibri"/>
          <w:b/>
          <w:bCs/>
          <w:color w:val="3D4A5A"/>
          <w:sz w:val="20"/>
          <w:szCs w:val="20"/>
        </w:rPr>
        <w:t xml:space="preserve">Post 2 — written in the buyer’s objection voice</w:t>
      </w:r>
    </w:p>
    <w:tbl>
      <w:tblPr>
        <w:tblW w:type="dxa" w:w="10080"/>
        <w:tblBorders>
          <w:top w:val="none"/>
          <w:left w:val="single" w:color="2F86B3" w:sz="18"/>
          <w:bottom w:val="none"/>
          <w:right w:val="none"/>
          <w:insideH w:val="none"/>
          <w:insideV w:val="none"/>
        </w:tblBorders>
      </w:tblPr>
      <w:tblGrid>
        <w:gridCol w:w="10080"/>
      </w:tblGrid>
      <w:tr>
        <w:trPr>
          <w:cantSplit/>
        </w:trPr>
        <w:tc>
          <w:tcPr>
            <w:tcW w:type="dxa" w:w="10080"/>
            <w:tcBorders>
              <w:top w:val="none"/>
              <w:left w:val="none"/>
              <w:bottom w:val="none"/>
              <w:right w:val="none"/>
            </w:tcBorders>
            <w:shd w:fill="EEF4F9" w:color="auto" w:val="clear"/>
            <w:tcMar>
              <w:top w:type="dxa" w:w="130"/>
              <w:left w:type="dxa" w:w="180"/>
              <w:bottom w:type="dxa" w:w="130"/>
              <w:right w:type="dxa" w:w="160"/>
            </w:tcMar>
          </w:tcPr>
          <w:p>
            <w:pPr>
              <w:spacing w:after="40" w:before="0" w:line="265"/>
            </w:pPr>
            <w:r>
              <w:rPr>
                <w:rFonts w:ascii="Calibri" w:cs="Calibri" w:eastAsia="Calibri" w:hAnsi="Calibri"/>
                <w:color w:val="3D4A5A"/>
                <w:sz w:val="19"/>
                <w:szCs w:val="19"/>
              </w:rPr>
              <w:t xml:space="preserve">“We already pay for a compliance platform. Why are we still not done?”</w:t>
            </w:r>
          </w:p>
          <w:p>
            <w:pPr>
              <w:spacing w:after="40" w:before="0" w:line="265"/>
            </w:pPr>
            <w:r>
              <w:rPr>
                <w:rFonts w:ascii="Calibri" w:cs="Calibri" w:eastAsia="Calibri" w:hAnsi="Calibri"/>
                <w:color w:val="3D4A5A"/>
                <w:sz w:val="19"/>
                <w:szCs w:val="19"/>
              </w:rPr>
              <w:t xml:space="preserve">I hear this monthly, and the answer isn’t that the tool is bad. The tool is doing exactly what it was built to do.</w:t>
            </w:r>
          </w:p>
          <w:p>
            <w:pPr>
              <w:spacing w:after="40" w:before="0" w:line="265"/>
            </w:pPr>
            <w:r>
              <w:rPr>
                <w:rFonts w:ascii="Calibri" w:cs="Calibri" w:eastAsia="Calibri" w:hAnsi="Calibri"/>
                <w:color w:val="3D4A5A"/>
                <w:sz w:val="19"/>
                <w:szCs w:val="19"/>
              </w:rPr>
              <w:t xml:space="preserve">It finds gaps. It does not close them. It generates a task list. It does not negotiate with your auditor about whether that task is actually in scope. It collects evidence. It does not answer the 200-question security review that just landed in your sales team’s inbox.</w:t>
            </w:r>
          </w:p>
          <w:p>
            <w:pPr>
              <w:spacing w:after="40" w:before="0" w:line="265"/>
            </w:pPr>
            <w:r>
              <w:rPr>
                <w:rFonts w:ascii="Calibri" w:cs="Calibri" w:eastAsia="Calibri" w:hAnsi="Calibri"/>
                <w:color w:val="3D4A5A"/>
                <w:sz w:val="19"/>
                <w:szCs w:val="19"/>
              </w:rPr>
              <w:t xml:space="preserve">Those are people jobs. The software was never going to do them, and the disappointment isn’t a product failure — it’s a category confusion.</w:t>
            </w:r>
          </w:p>
          <w:p>
            <w:pPr>
              <w:spacing w:after="40" w:before="0" w:line="265"/>
            </w:pPr>
            <w:r>
              <w:rPr>
                <w:rFonts w:ascii="Calibri" w:cs="Calibri" w:eastAsia="Calibri" w:hAnsi="Calibri"/>
                <w:color w:val="3D4A5A"/>
                <w:sz w:val="19"/>
                <w:szCs w:val="19"/>
              </w:rPr>
              <w:t xml:space="preserve">Keep the platform. The question worth asking is who operates it.</w:t>
            </w:r>
          </w:p>
        </w:tc>
      </w:tr>
    </w:tbl>
    <w:p>
      <w:pPr>
        <w:keepNext/>
        <w:spacing w:after="60" w:before="180"/>
      </w:pPr>
      <w:r>
        <w:rPr>
          <w:rFonts w:ascii="Calibri" w:cs="Calibri" w:eastAsia="Calibri" w:hAnsi="Calibri"/>
          <w:b/>
          <w:bCs/>
          <w:color w:val="3D4A5A"/>
          <w:sz w:val="20"/>
          <w:szCs w:val="20"/>
        </w:rPr>
        <w:t xml:space="preserve">Post 3 — the anonymized failure narrative</w:t>
      </w:r>
    </w:p>
    <w:tbl>
      <w:tblPr>
        <w:tblW w:type="dxa" w:w="10080"/>
        <w:tblBorders>
          <w:top w:val="none"/>
          <w:left w:val="single" w:color="2F86B3" w:sz="18"/>
          <w:bottom w:val="none"/>
          <w:right w:val="none"/>
          <w:insideH w:val="none"/>
          <w:insideV w:val="none"/>
        </w:tblBorders>
      </w:tblPr>
      <w:tblGrid>
        <w:gridCol w:w="10080"/>
      </w:tblGrid>
      <w:tr>
        <w:trPr>
          <w:cantSplit/>
        </w:trPr>
        <w:tc>
          <w:tcPr>
            <w:tcW w:type="dxa" w:w="10080"/>
            <w:tcBorders>
              <w:top w:val="none"/>
              <w:left w:val="none"/>
              <w:bottom w:val="none"/>
              <w:right w:val="none"/>
            </w:tcBorders>
            <w:shd w:fill="EEF4F9" w:color="auto" w:val="clear"/>
            <w:tcMar>
              <w:top w:type="dxa" w:w="130"/>
              <w:left w:type="dxa" w:w="180"/>
              <w:bottom w:type="dxa" w:w="130"/>
              <w:right w:type="dxa" w:w="160"/>
            </w:tcMar>
          </w:tcPr>
          <w:p>
            <w:pPr>
              <w:spacing w:after="40" w:before="0" w:line="265"/>
            </w:pPr>
            <w:r>
              <w:rPr>
                <w:rFonts w:ascii="Calibri" w:cs="Calibri" w:eastAsia="Calibri" w:hAnsi="Calibri"/>
                <w:color w:val="3D4A5A"/>
                <w:sz w:val="19"/>
                <w:szCs w:val="19"/>
              </w:rPr>
              <w:t xml:space="preserve">A company files a cyber insurance claim after a breach.</w:t>
            </w:r>
          </w:p>
          <w:p>
            <w:pPr>
              <w:spacing w:after="40" w:before="0" w:line="265"/>
            </w:pPr>
            <w:r>
              <w:rPr>
                <w:rFonts w:ascii="Calibri" w:cs="Calibri" w:eastAsia="Calibri" w:hAnsi="Calibri"/>
                <w:color w:val="3D4A5A"/>
                <w:sz w:val="19"/>
                <w:szCs w:val="19"/>
              </w:rPr>
              <w:t xml:space="preserve">The insurer sends someone to verify the controls that were attested to on the application. What they find does not match what was written down.</w:t>
            </w:r>
          </w:p>
          <w:p>
            <w:pPr>
              <w:spacing w:after="40" w:before="0" w:line="265"/>
            </w:pPr>
            <w:r>
              <w:rPr>
                <w:rFonts w:ascii="Calibri" w:cs="Calibri" w:eastAsia="Calibri" w:hAnsi="Calibri"/>
                <w:color w:val="3D4A5A"/>
                <w:sz w:val="19"/>
                <w:szCs w:val="19"/>
              </w:rPr>
              <w:t xml:space="preserve">Not because anyone lied. Because the person who filled out the form had a general sense of the security posture rather than a verified picture of it — and a general sense is not what the application was asking for.</w:t>
            </w:r>
          </w:p>
          <w:p>
            <w:pPr>
              <w:spacing w:after="40" w:before="0" w:line="265"/>
            </w:pPr>
            <w:r>
              <w:rPr>
                <w:rFonts w:ascii="Calibri" w:cs="Calibri" w:eastAsia="Calibri" w:hAnsi="Calibri"/>
                <w:color w:val="3D4A5A"/>
                <w:sz w:val="19"/>
                <w:szCs w:val="19"/>
              </w:rPr>
              <w:t xml:space="preserve">This is the part people miss about continuous monitoring. It isn’t about dashboards. It’s about being able to demonstrate, on the worst day, that what you said was true was actually true.</w:t>
            </w:r>
          </w:p>
          <w:p>
            <w:pPr>
              <w:spacing w:after="40" w:before="0" w:line="265"/>
            </w:pPr>
            <w:r>
              <w:rPr>
                <w:rFonts w:ascii="Calibri" w:cs="Calibri" w:eastAsia="Calibri" w:hAnsi="Calibri"/>
                <w:color w:val="3D4A5A"/>
                <w:sz w:val="19"/>
                <w:szCs w:val="19"/>
              </w:rPr>
              <w:t xml:space="preserve">Does what your policy says match what you could demonstrate today?</w:t>
            </w:r>
          </w:p>
        </w:tc>
      </w:tr>
    </w:tbl>
    <w:p>
      <w:pPr>
        <w:keepNext/>
        <w:spacing w:after="60" w:before="180"/>
      </w:pPr>
      <w:r>
        <w:rPr>
          <w:rFonts w:ascii="Calibri" w:cs="Calibri" w:eastAsia="Calibri" w:hAnsi="Calibri"/>
          <w:b/>
          <w:bCs/>
          <w:color w:val="3D4A5A"/>
          <w:sz w:val="20"/>
          <w:szCs w:val="20"/>
        </w:rPr>
        <w:t xml:space="preserve">Post 4 — the number in the first line</w:t>
      </w:r>
    </w:p>
    <w:tbl>
      <w:tblPr>
        <w:tblW w:type="dxa" w:w="10080"/>
        <w:tblBorders>
          <w:top w:val="none"/>
          <w:left w:val="single" w:color="2F86B3" w:sz="18"/>
          <w:bottom w:val="none"/>
          <w:right w:val="none"/>
          <w:insideH w:val="none"/>
          <w:insideV w:val="none"/>
        </w:tblBorders>
      </w:tblPr>
      <w:tblGrid>
        <w:gridCol w:w="10080"/>
      </w:tblGrid>
      <w:tr>
        <w:trPr>
          <w:cantSplit/>
        </w:trPr>
        <w:tc>
          <w:tcPr>
            <w:tcW w:type="dxa" w:w="10080"/>
            <w:tcBorders>
              <w:top w:val="none"/>
              <w:left w:val="none"/>
              <w:bottom w:val="none"/>
              <w:right w:val="none"/>
            </w:tcBorders>
            <w:shd w:fill="EEF4F9" w:color="auto" w:val="clear"/>
            <w:tcMar>
              <w:top w:type="dxa" w:w="130"/>
              <w:left w:type="dxa" w:w="180"/>
              <w:bottom w:type="dxa" w:w="130"/>
              <w:right w:type="dxa" w:w="160"/>
            </w:tcMar>
          </w:tcPr>
          <w:p>
            <w:pPr>
              <w:spacing w:after="40" w:before="0" w:line="265"/>
            </w:pPr>
            <w:r>
              <w:rPr>
                <w:rFonts w:ascii="Calibri" w:cs="Calibri" w:eastAsia="Calibri" w:hAnsi="Calibri"/>
                <w:color w:val="3D4A5A"/>
                <w:sz w:val="19"/>
                <w:szCs w:val="19"/>
              </w:rPr>
              <w:t xml:space="preserve">86.8% of small businesses have deployed multi-factor authentication. 51.1% require it across all their key accounts.</w:t>
            </w:r>
          </w:p>
          <w:p>
            <w:pPr>
              <w:spacing w:after="40" w:before="0" w:line="265"/>
            </w:pPr>
            <w:r>
              <w:rPr>
                <w:rFonts w:ascii="Calibri" w:cs="Calibri" w:eastAsia="Calibri" w:hAnsi="Calibri"/>
                <w:color w:val="3D4A5A"/>
                <w:sz w:val="19"/>
                <w:szCs w:val="19"/>
              </w:rPr>
              <w:t xml:space="preserve">That gap is the entire story of why compliant organizations still get breached.</w:t>
            </w:r>
          </w:p>
          <w:p>
            <w:pPr>
              <w:spacing w:after="40" w:before="0" w:line="265"/>
            </w:pPr>
            <w:r>
              <w:rPr>
                <w:rFonts w:ascii="Calibri" w:cs="Calibri" w:eastAsia="Calibri" w:hAnsi="Calibri"/>
                <w:color w:val="3D4A5A"/>
                <w:sz w:val="19"/>
                <w:szCs w:val="19"/>
              </w:rPr>
              <w:t xml:space="preserve">Same pattern everywhere you look. 88.4% have backups. 61.4% have tested them. The control is bought, installed, and checked off. Whether it is actually operating is a different question, and it is almost never the question being asked.</w:t>
            </w:r>
          </w:p>
          <w:p>
            <w:pPr>
              <w:spacing w:after="40" w:before="0" w:line="265"/>
            </w:pPr>
            <w:r>
              <w:rPr>
                <w:rFonts w:ascii="Calibri" w:cs="Calibri" w:eastAsia="Calibri" w:hAnsi="Calibri"/>
                <w:color w:val="3D4A5A"/>
                <w:sz w:val="19"/>
                <w:szCs w:val="19"/>
              </w:rPr>
              <w:t xml:space="preserve">Deployed is not operating. An auditor checking a control exists will pass you. An attacker checking whether it is enforced will not.</w:t>
            </w:r>
          </w:p>
          <w:p>
            <w:pPr>
              <w:spacing w:after="40" w:before="0" w:line="265"/>
            </w:pPr>
            <w:r>
              <w:rPr>
                <w:rFonts w:ascii="Calibri" w:cs="Calibri" w:eastAsia="Calibri" w:hAnsi="Calibri"/>
                <w:color w:val="3D4A5A"/>
                <w:sz w:val="19"/>
                <w:szCs w:val="19"/>
              </w:rPr>
              <w:t xml:space="preserve">Source: National Cybersecurity Alliance with CISA, 2026 Small Business Survey, n=1,000.</w:t>
            </w:r>
          </w:p>
        </w:tc>
      </w:tr>
    </w:tbl>
    <w:p>
      <w:pPr>
        <w:keepNext/>
        <w:spacing w:after="60" w:before="180"/>
      </w:pPr>
      <w:r>
        <w:rPr>
          <w:rFonts w:ascii="Calibri" w:cs="Calibri" w:eastAsia="Calibri" w:hAnsi="Calibri"/>
          <w:b/>
          <w:bCs/>
          <w:color w:val="3D4A5A"/>
          <w:sz w:val="20"/>
          <w:szCs w:val="20"/>
        </w:rPr>
        <w:t xml:space="preserve">Post 5 — the contrarian rebuttal</w:t>
      </w:r>
    </w:p>
    <w:tbl>
      <w:tblPr>
        <w:tblW w:type="dxa" w:w="10080"/>
        <w:tblBorders>
          <w:top w:val="none"/>
          <w:left w:val="single" w:color="2F86B3" w:sz="18"/>
          <w:bottom w:val="none"/>
          <w:right w:val="none"/>
          <w:insideH w:val="none"/>
          <w:insideV w:val="none"/>
        </w:tblBorders>
      </w:tblPr>
      <w:tblGrid>
        <w:gridCol w:w="10080"/>
      </w:tblGrid>
      <w:tr>
        <w:trPr>
          <w:cantSplit/>
        </w:trPr>
        <w:tc>
          <w:tcPr>
            <w:tcW w:type="dxa" w:w="10080"/>
            <w:tcBorders>
              <w:top w:val="none"/>
              <w:left w:val="none"/>
              <w:bottom w:val="none"/>
              <w:right w:val="none"/>
            </w:tcBorders>
            <w:shd w:fill="EEF4F9" w:color="auto" w:val="clear"/>
            <w:tcMar>
              <w:top w:type="dxa" w:w="130"/>
              <w:left w:type="dxa" w:w="180"/>
              <w:bottom w:type="dxa" w:w="130"/>
              <w:right w:type="dxa" w:w="160"/>
            </w:tcMar>
          </w:tcPr>
          <w:p>
            <w:pPr>
              <w:spacing w:after="40" w:before="0" w:line="265"/>
            </w:pPr>
            <w:r>
              <w:rPr>
                <w:rFonts w:ascii="Calibri" w:cs="Calibri" w:eastAsia="Calibri" w:hAnsi="Calibri"/>
                <w:color w:val="3D4A5A"/>
                <w:sz w:val="19"/>
                <w:szCs w:val="19"/>
              </w:rPr>
              <w:t xml:space="preserve">“Frameworks are static, compliance is broken, throw it all out.”</w:t>
            </w:r>
          </w:p>
          <w:p>
            <w:pPr>
              <w:spacing w:after="40" w:before="0" w:line="265"/>
            </w:pPr>
            <w:r>
              <w:rPr>
                <w:rFonts w:ascii="Calibri" w:cs="Calibri" w:eastAsia="Calibri" w:hAnsi="Calibri"/>
                <w:color w:val="3D4A5A"/>
                <w:sz w:val="19"/>
                <w:szCs w:val="19"/>
              </w:rPr>
              <w:t xml:space="preserve">I keep seeing this take and it sounds forward-thinking. It’s also wrong, and it’s wrong in a way that costs organizations real money.</w:t>
            </w:r>
          </w:p>
          <w:p>
            <w:pPr>
              <w:spacing w:after="40" w:before="0" w:line="265"/>
            </w:pPr>
            <w:r>
              <w:rPr>
                <w:rFonts w:ascii="Calibri" w:cs="Calibri" w:eastAsia="Calibri" w:hAnsi="Calibri"/>
                <w:color w:val="3D4A5A"/>
                <w:sz w:val="19"/>
                <w:szCs w:val="19"/>
              </w:rPr>
              <w:t xml:space="preserve">Frameworks were never meant to run a security program. They provide structure — control objectives, shared language, governance expectations. What they don’t provide is architecture, risk prioritization, or operational discipline. Those are separate layers, and when they’re missing the framework gets blamed for a program design failure.</w:t>
            </w:r>
          </w:p>
          <w:p>
            <w:pPr>
              <w:spacing w:after="40" w:before="0" w:line="265"/>
            </w:pPr>
            <w:r>
              <w:rPr>
                <w:rFonts w:ascii="Calibri" w:cs="Calibri" w:eastAsia="Calibri" w:hAnsi="Calibri"/>
                <w:color w:val="3D4A5A"/>
                <w:sz w:val="19"/>
                <w:szCs w:val="19"/>
              </w:rPr>
              <w:t xml:space="preserve">Criticism is easy. Building the layers underneath is the actual work.</w:t>
            </w:r>
          </w:p>
          <w:p>
            <w:pPr>
              <w:spacing w:after="40" w:before="0" w:line="265"/>
            </w:pPr>
            <w:r>
              <w:rPr>
                <w:rFonts w:ascii="Calibri" w:cs="Calibri" w:eastAsia="Calibri" w:hAnsi="Calibri"/>
                <w:color w:val="3D4A5A"/>
                <w:sz w:val="19"/>
                <w:szCs w:val="19"/>
              </w:rPr>
              <w:t xml:space="preserve">The framework isn’t the enemy. It was never the whole program.</w:t>
            </w:r>
          </w:p>
        </w:tc>
      </w:tr>
    </w:tbl>
    <w:p>
      <w:pPr>
        <w:keepNext/>
        <w:spacing w:after="60" w:before="180"/>
      </w:pPr>
      <w:r>
        <w:rPr>
          <w:rFonts w:ascii="Calibri" w:cs="Calibri" w:eastAsia="Calibri" w:hAnsi="Calibri"/>
          <w:b/>
          <w:bCs/>
          <w:color w:val="3D4A5A"/>
          <w:sz w:val="20"/>
          <w:szCs w:val="20"/>
        </w:rPr>
        <w:t xml:space="preserve">Post 6 — the offer, earned by five posts of substance</w:t>
      </w:r>
    </w:p>
    <w:tbl>
      <w:tblPr>
        <w:tblW w:type="dxa" w:w="10080"/>
        <w:tblBorders>
          <w:top w:val="none"/>
          <w:left w:val="single" w:color="2F86B3" w:sz="18"/>
          <w:bottom w:val="none"/>
          <w:right w:val="none"/>
          <w:insideH w:val="none"/>
          <w:insideV w:val="none"/>
        </w:tblBorders>
      </w:tblPr>
      <w:tblGrid>
        <w:gridCol w:w="10080"/>
      </w:tblGrid>
      <w:tr>
        <w:trPr>
          <w:cantSplit/>
        </w:trPr>
        <w:tc>
          <w:tcPr>
            <w:tcW w:type="dxa" w:w="10080"/>
            <w:tcBorders>
              <w:top w:val="none"/>
              <w:left w:val="none"/>
              <w:bottom w:val="none"/>
              <w:right w:val="none"/>
            </w:tcBorders>
            <w:shd w:fill="EEF4F9" w:color="auto" w:val="clear"/>
            <w:tcMar>
              <w:top w:type="dxa" w:w="130"/>
              <w:left w:type="dxa" w:w="180"/>
              <w:bottom w:type="dxa" w:w="130"/>
              <w:right w:type="dxa" w:w="160"/>
            </w:tcMar>
          </w:tcPr>
          <w:p>
            <w:pPr>
              <w:spacing w:after="40" w:before="0" w:line="265"/>
            </w:pPr>
            <w:r>
              <w:rPr>
                <w:rFonts w:ascii="Calibri" w:cs="Calibri" w:eastAsia="Calibri" w:hAnsi="Calibri"/>
                <w:color w:val="3D4A5A"/>
                <w:sz w:val="19"/>
                <w:szCs w:val="19"/>
              </w:rPr>
              <w:t xml:space="preserve">If a security questionnaire is sitting on someone’s desk at your company right now, send it to me.</w:t>
            </w:r>
          </w:p>
          <w:p>
            <w:pPr>
              <w:spacing w:after="40" w:before="0" w:line="265"/>
            </w:pPr>
            <w:r>
              <w:rPr>
                <w:rFonts w:ascii="Calibri" w:cs="Calibri" w:eastAsia="Calibri" w:hAnsi="Calibri"/>
                <w:color w:val="3D4A5A"/>
                <w:sz w:val="19"/>
                <w:szCs w:val="19"/>
              </w:rPr>
              <w:t xml:space="preserve">I’ll tell you which questions you can answer today, which you can’t and why, which ones are asking the same thing three different ways, and the two or three that genuinely need work before you can answer them honestly.</w:t>
            </w:r>
          </w:p>
          <w:p>
            <w:pPr>
              <w:spacing w:after="40" w:before="0" w:line="265"/>
            </w:pPr>
            <w:r>
              <w:rPr>
                <w:rFonts w:ascii="Calibri" w:cs="Calibri" w:eastAsia="Calibri" w:hAnsi="Calibri"/>
                <w:color w:val="3D4A5A"/>
                <w:sz w:val="19"/>
                <w:szCs w:val="19"/>
              </w:rPr>
              <w:t xml:space="preserve">Three business days. No cost. No obligation to work with us afterward.</w:t>
            </w:r>
          </w:p>
          <w:p>
            <w:pPr>
              <w:spacing w:after="40" w:before="0" w:line="265"/>
            </w:pPr>
            <w:r>
              <w:rPr>
                <w:rFonts w:ascii="Calibri" w:cs="Calibri" w:eastAsia="Calibri" w:hAnsi="Calibri"/>
                <w:color w:val="3D4A5A"/>
                <w:sz w:val="19"/>
                <w:szCs w:val="19"/>
              </w:rPr>
              <w:t xml:space="preserve">I’m doing this because these reviews cost teams roughly two dollars a question in internal time, some companies are answering five to ten of them a week, and most of that effort is spent on questions that were never material in the first place.</w:t>
            </w:r>
          </w:p>
          <w:p>
            <w:pPr>
              <w:spacing w:after="40" w:before="0" w:line="265"/>
            </w:pPr>
            <w:r>
              <w:rPr>
                <w:rFonts w:ascii="Calibri" w:cs="Calibri" w:eastAsia="Calibri" w:hAnsi="Calibri"/>
                <w:color w:val="3D4A5A"/>
                <w:sz w:val="19"/>
                <w:szCs w:val="19"/>
              </w:rPr>
              <w:t xml:space="preserve">Three per week, first come. My DMs are open.</w:t>
            </w:r>
          </w:p>
        </w:tc>
      </w:tr>
    </w:tbl>
    <w:p>
      <w:pPr>
        <w:spacing w:after="160" w:before="0" w:line="276"/>
      </w:pPr>
      <w:r>
        <w:rPr>
          <w:rFonts w:ascii="Calibri" w:cs="Calibri" w:eastAsia="Calibri" w:hAnsi="Calibri"/>
          <w:i/>
          <w:iCs/>
          <w:color w:val="6B7A8C"/>
          <w:sz w:val="16"/>
          <w:szCs w:val="16"/>
        </w:rPr>
        <w:t xml:space="preserve">Cadence discipline: the value is the repetition, not any single post. The practitioners who own this space on LinkedIn did it with years of consistent volume on one point of view, not one viral hit. Six posts is the pilot — if the first three land, keep going rather than changing format. React to news within 48 hours when something relevant breaks; those posts consistently outperform planned content.</w:t>
      </w:r>
    </w:p>
    <w:p>
      <w:pPr>
        <w:pStyle w:val="Heading2"/>
        <w:keepNext/>
        <w:spacing w:after="40" w:before="340"/>
      </w:pPr>
      <w:r>
        <w:rPr>
          <w:rFonts w:ascii="Calibri" w:cs="Calibri" w:eastAsia="Calibri" w:hAnsi="Calibri"/>
          <w:b/>
          <w:bCs/>
          <w:color w:val="2F86B3"/>
          <w:sz w:val="28"/>
          <w:szCs w:val="28"/>
        </w:rPr>
        <w:t xml:space="preserve">40. Outreach sequence</w:t>
      </w:r>
    </w:p>
    <w:p>
      <w:pPr>
        <w:keepNext/>
        <w:spacing w:after="140" w:before="0" w:line="276"/>
      </w:pPr>
      <w:r>
        <w:rPr>
          <w:rFonts w:ascii="Calibri" w:cs="Calibri" w:eastAsia="Calibri" w:hAnsi="Calibri"/>
          <w:i/>
          <w:iCs/>
          <w:color w:val="6B7A8C"/>
          <w:sz w:val="19"/>
          <w:szCs w:val="19"/>
        </w:rPr>
        <w:t xml:space="preserve">Four touches over three weeks, to a small list where a trigger is visible.</w:t>
      </w:r>
    </w:p>
    <w:p>
      <w:pPr>
        <w:keepNext/>
        <w:spacing w:after="60" w:before="180"/>
      </w:pPr>
      <w:r>
        <w:rPr>
          <w:rFonts w:ascii="Calibri" w:cs="Calibri" w:eastAsia="Calibri" w:hAnsi="Calibri"/>
          <w:b/>
          <w:bCs/>
          <w:color w:val="3D4A5A"/>
          <w:sz w:val="20"/>
          <w:szCs w:val="20"/>
        </w:rPr>
        <w:t xml:space="preserve">Touch 1 · Day 1 · Email</w:t>
      </w:r>
    </w:p>
    <w:tbl>
      <w:tblPr>
        <w:tblW w:type="dxa" w:w="10080"/>
        <w:tblBorders>
          <w:top w:val="none"/>
          <w:left w:val="single" w:color="2F86B3" w:sz="18"/>
          <w:bottom w:val="none"/>
          <w:right w:val="none"/>
          <w:insideH w:val="none"/>
          <w:insideV w:val="none"/>
        </w:tblBorders>
      </w:tblPr>
      <w:tblGrid>
        <w:gridCol w:w="10080"/>
      </w:tblGrid>
      <w:tr>
        <w:trPr>
          <w:cantSplit/>
        </w:trPr>
        <w:tc>
          <w:tcPr>
            <w:tcW w:type="dxa" w:w="10080"/>
            <w:tcBorders>
              <w:top w:val="none"/>
              <w:left w:val="none"/>
              <w:bottom w:val="none"/>
              <w:right w:val="none"/>
            </w:tcBorders>
            <w:shd w:fill="EEF4F9" w:color="auto" w:val="clear"/>
            <w:tcMar>
              <w:top w:type="dxa" w:w="130"/>
              <w:left w:type="dxa" w:w="180"/>
              <w:bottom w:type="dxa" w:w="130"/>
              <w:right w:type="dxa" w:w="160"/>
            </w:tcMar>
          </w:tcPr>
          <w:p>
            <w:pPr>
              <w:spacing w:after="40" w:before="0" w:line="265"/>
            </w:pPr>
            <w:r>
              <w:rPr>
                <w:rFonts w:ascii="Calibri" w:cs="Calibri" w:eastAsia="Calibri" w:hAnsi="Calibri"/>
                <w:color w:val="3D4A5A"/>
                <w:sz w:val="19"/>
                <w:szCs w:val="19"/>
              </w:rPr>
              <w:t xml:space="preserve">Subject: the security review on the [Company] deal</w:t>
            </w:r>
          </w:p>
          <w:p>
            <w:pPr>
              <w:spacing w:after="40" w:before="0" w:line="265"/>
            </w:pPr>
            <w:r>
              <w:rPr>
                <w:rFonts w:ascii="Calibri" w:cs="Calibri" w:eastAsia="Calibri" w:hAnsi="Calibri"/>
                <w:color w:val="3D4A5A"/>
                <w:sz w:val="19"/>
                <w:szCs w:val="19"/>
              </w:rPr>
              <w:t xml:space="preserve">[First name] — You’re selling into enterprise accounts, and I’d guess at least one of them has asked for a SOC 2 report or sent a long security questionnaire in the last quarter.</w:t>
            </w:r>
          </w:p>
          <w:p>
            <w:pPr>
              <w:spacing w:after="40" w:before="0" w:line="265"/>
            </w:pPr>
            <w:r>
              <w:rPr>
                <w:rFonts w:ascii="Calibri" w:cs="Calibri" w:eastAsia="Calibri" w:hAnsi="Calibri"/>
                <w:color w:val="3D4A5A"/>
                <w:sz w:val="19"/>
                <w:szCs w:val="19"/>
              </w:rPr>
              <w:t xml:space="preserve">If that’s slowing a deal down, send me the questionnaire. I’ll come back within three days with what you can answer today, what you can’t, and the two or three things that actually need to change. No cost, and no obligation.</w:t>
            </w:r>
          </w:p>
          <w:p>
            <w:pPr>
              <w:spacing w:after="40" w:before="0" w:line="265"/>
            </w:pPr>
            <w:r>
              <w:rPr>
                <w:rFonts w:ascii="Calibri" w:cs="Calibri" w:eastAsia="Calibri" w:hAnsi="Calibri"/>
                <w:color w:val="3D4A5A"/>
                <w:sz w:val="19"/>
                <w:szCs w:val="19"/>
              </w:rPr>
              <w:t xml:space="preserve">If nothing’s blocked right now, say so and I’ll leave you alone — I’d rather be useful when it matters. — Andrew</w:t>
            </w:r>
          </w:p>
        </w:tc>
      </w:tr>
    </w:tbl>
    <w:p>
      <w:pPr>
        <w:keepNext/>
        <w:spacing w:after="60" w:before="180"/>
      </w:pPr>
      <w:r>
        <w:rPr>
          <w:rFonts w:ascii="Calibri" w:cs="Calibri" w:eastAsia="Calibri" w:hAnsi="Calibri"/>
          <w:b/>
          <w:bCs/>
          <w:color w:val="3D4A5A"/>
          <w:sz w:val="20"/>
          <w:szCs w:val="20"/>
        </w:rPr>
        <w:t xml:space="preserve">Touch 2 · Day 5 · LinkedIn connection note</w:t>
      </w:r>
    </w:p>
    <w:tbl>
      <w:tblPr>
        <w:tblW w:type="dxa" w:w="10080"/>
        <w:tblBorders>
          <w:top w:val="none"/>
          <w:left w:val="single" w:color="2F86B3" w:sz="18"/>
          <w:bottom w:val="none"/>
          <w:right w:val="none"/>
          <w:insideH w:val="none"/>
          <w:insideV w:val="none"/>
        </w:tblBorders>
      </w:tblPr>
      <w:tblGrid>
        <w:gridCol w:w="10080"/>
      </w:tblGrid>
      <w:tr>
        <w:trPr>
          <w:cantSplit/>
        </w:trPr>
        <w:tc>
          <w:tcPr>
            <w:tcW w:type="dxa" w:w="10080"/>
            <w:tcBorders>
              <w:top w:val="none"/>
              <w:left w:val="none"/>
              <w:bottom w:val="none"/>
              <w:right w:val="none"/>
            </w:tcBorders>
            <w:shd w:fill="EEF4F9" w:color="auto" w:val="clear"/>
            <w:tcMar>
              <w:top w:type="dxa" w:w="130"/>
              <w:left w:type="dxa" w:w="180"/>
              <w:bottom w:type="dxa" w:w="130"/>
              <w:right w:type="dxa" w:w="160"/>
            </w:tcMar>
          </w:tcPr>
          <w:p>
            <w:pPr>
              <w:spacing w:after="40" w:before="0" w:line="265"/>
            </w:pPr>
            <w:r>
              <w:rPr>
                <w:rFonts w:ascii="Calibri" w:cs="Calibri" w:eastAsia="Calibri" w:hAnsi="Calibri"/>
                <w:color w:val="3D4A5A"/>
                <w:sz w:val="19"/>
                <w:szCs w:val="19"/>
              </w:rPr>
              <w:t xml:space="preserve">[First name] — I write about why security programs pass audits and still fail. Given what [Company] sells and who you sell it to, you probably live this. Happy to be a useful contact whether or not we ever work together.</w:t>
            </w:r>
          </w:p>
        </w:tc>
      </w:tr>
    </w:tbl>
    <w:p>
      <w:pPr>
        <w:keepNext/>
        <w:spacing w:after="60" w:before="180"/>
      </w:pPr>
      <w:r>
        <w:rPr>
          <w:rFonts w:ascii="Calibri" w:cs="Calibri" w:eastAsia="Calibri" w:hAnsi="Calibri"/>
          <w:b/>
          <w:bCs/>
          <w:color w:val="3D4A5A"/>
          <w:sz w:val="20"/>
          <w:szCs w:val="20"/>
        </w:rPr>
        <w:t xml:space="preserve">Touch 3 · Day 10 · Email, value only</w:t>
      </w:r>
    </w:p>
    <w:tbl>
      <w:tblPr>
        <w:tblW w:type="dxa" w:w="10080"/>
        <w:tblBorders>
          <w:top w:val="none"/>
          <w:left w:val="single" w:color="2F86B3" w:sz="18"/>
          <w:bottom w:val="none"/>
          <w:right w:val="none"/>
          <w:insideH w:val="none"/>
          <w:insideV w:val="none"/>
        </w:tblBorders>
      </w:tblPr>
      <w:tblGrid>
        <w:gridCol w:w="10080"/>
      </w:tblGrid>
      <w:tr>
        <w:trPr>
          <w:cantSplit/>
        </w:trPr>
        <w:tc>
          <w:tcPr>
            <w:tcW w:type="dxa" w:w="10080"/>
            <w:tcBorders>
              <w:top w:val="none"/>
              <w:left w:val="none"/>
              <w:bottom w:val="none"/>
              <w:right w:val="none"/>
            </w:tcBorders>
            <w:shd w:fill="EEF4F9" w:color="auto" w:val="clear"/>
            <w:tcMar>
              <w:top w:type="dxa" w:w="130"/>
              <w:left w:type="dxa" w:w="180"/>
              <w:bottom w:type="dxa" w:w="130"/>
              <w:right w:type="dxa" w:w="160"/>
            </w:tcMar>
          </w:tcPr>
          <w:p>
            <w:pPr>
              <w:spacing w:after="40" w:before="0" w:line="265"/>
            </w:pPr>
            <w:r>
              <w:rPr>
                <w:rFonts w:ascii="Calibri" w:cs="Calibri" w:eastAsia="Calibri" w:hAnsi="Calibri"/>
                <w:color w:val="3D4A5A"/>
                <w:sz w:val="19"/>
                <w:szCs w:val="19"/>
              </w:rPr>
              <w:t xml:space="preserve">Subject: the scope question nobody asks</w:t>
            </w:r>
          </w:p>
          <w:p>
            <w:pPr>
              <w:spacing w:after="40" w:before="0" w:line="265"/>
            </w:pPr>
            <w:r>
              <w:rPr>
                <w:rFonts w:ascii="Calibri" w:cs="Calibri" w:eastAsia="Calibri" w:hAnsi="Calibri"/>
                <w:color w:val="3D4A5A"/>
                <w:sz w:val="19"/>
                <w:szCs w:val="19"/>
              </w:rPr>
              <w:t xml:space="preserve">[First name] — One thing worth knowing before you start a SOC 2, whether or not you ever talk to us.</w:t>
            </w:r>
          </w:p>
          <w:p>
            <w:pPr>
              <w:spacing w:after="40" w:before="0" w:line="265"/>
            </w:pPr>
            <w:r>
              <w:rPr>
                <w:rFonts w:ascii="Calibri" w:cs="Calibri" w:eastAsia="Calibri" w:hAnsi="Calibri"/>
                <w:color w:val="3D4A5A"/>
                <w:sz w:val="19"/>
                <w:szCs w:val="19"/>
              </w:rPr>
              <w:t xml:space="preserve">Most of the cost in these engagements comes from scope nobody questioned. Your auditor’s requirements are more negotiable than they appear, and compliance platforms tend to recommend engineering work that the standard does not actually require. Teams routinely spend months on controls that were never in scope for the report their customer asked for.</w:t>
            </w:r>
          </w:p>
          <w:p>
            <w:pPr>
              <w:spacing w:after="40" w:before="0" w:line="265"/>
            </w:pPr>
            <w:r>
              <w:rPr>
                <w:rFonts w:ascii="Calibri" w:cs="Calibri" w:eastAsia="Calibri" w:hAnsi="Calibri"/>
                <w:color w:val="3D4A5A"/>
                <w:sz w:val="19"/>
                <w:szCs w:val="19"/>
              </w:rPr>
              <w:t xml:space="preserve">So before you commit: get someone to tell you what you don’t have to do. That conversation is usually worth more than the tool. — Andrew</w:t>
            </w:r>
          </w:p>
        </w:tc>
      </w:tr>
    </w:tbl>
    <w:p>
      <w:pPr>
        <w:keepNext/>
        <w:spacing w:after="60" w:before="180"/>
      </w:pPr>
      <w:r>
        <w:rPr>
          <w:rFonts w:ascii="Calibri" w:cs="Calibri" w:eastAsia="Calibri" w:hAnsi="Calibri"/>
          <w:b/>
          <w:bCs/>
          <w:color w:val="3D4A5A"/>
          <w:sz w:val="20"/>
          <w:szCs w:val="20"/>
        </w:rPr>
        <w:t xml:space="preserve">Touch 4 · Day 21 · Email, close the loop</w:t>
      </w:r>
    </w:p>
    <w:tbl>
      <w:tblPr>
        <w:tblW w:type="dxa" w:w="10080"/>
        <w:tblBorders>
          <w:top w:val="none"/>
          <w:left w:val="single" w:color="2F86B3" w:sz="18"/>
          <w:bottom w:val="none"/>
          <w:right w:val="none"/>
          <w:insideH w:val="none"/>
          <w:insideV w:val="none"/>
        </w:tblBorders>
      </w:tblPr>
      <w:tblGrid>
        <w:gridCol w:w="10080"/>
      </w:tblGrid>
      <w:tr>
        <w:trPr>
          <w:cantSplit/>
        </w:trPr>
        <w:tc>
          <w:tcPr>
            <w:tcW w:type="dxa" w:w="10080"/>
            <w:tcBorders>
              <w:top w:val="none"/>
              <w:left w:val="none"/>
              <w:bottom w:val="none"/>
              <w:right w:val="none"/>
            </w:tcBorders>
            <w:shd w:fill="EEF4F9" w:color="auto" w:val="clear"/>
            <w:tcMar>
              <w:top w:type="dxa" w:w="130"/>
              <w:left w:type="dxa" w:w="180"/>
              <w:bottom w:type="dxa" w:w="130"/>
              <w:right w:type="dxa" w:w="160"/>
            </w:tcMar>
          </w:tcPr>
          <w:p>
            <w:pPr>
              <w:spacing w:after="40" w:before="0" w:line="265"/>
            </w:pPr>
            <w:r>
              <w:rPr>
                <w:rFonts w:ascii="Calibri" w:cs="Calibri" w:eastAsia="Calibri" w:hAnsi="Calibri"/>
                <w:color w:val="3D4A5A"/>
                <w:sz w:val="19"/>
                <w:szCs w:val="19"/>
              </w:rPr>
              <w:t xml:space="preserve">Subject: closing the loop</w:t>
            </w:r>
          </w:p>
          <w:p>
            <w:pPr>
              <w:spacing w:after="40" w:before="0" w:line="265"/>
            </w:pPr>
            <w:r>
              <w:rPr>
                <w:rFonts w:ascii="Calibri" w:cs="Calibri" w:eastAsia="Calibri" w:hAnsi="Calibri"/>
                <w:color w:val="3D4A5A"/>
                <w:sz w:val="19"/>
                <w:szCs w:val="19"/>
              </w:rPr>
              <w:t xml:space="preserve">[First name] — I’ll stop here so I’m not cluttering your inbox.</w:t>
            </w:r>
          </w:p>
          <w:p>
            <w:pPr>
              <w:spacing w:after="40" w:before="0" w:line="265"/>
            </w:pPr>
            <w:r>
              <w:rPr>
                <w:rFonts w:ascii="Calibri" w:cs="Calibri" w:eastAsia="Calibri" w:hAnsi="Calibri"/>
                <w:color w:val="3D4A5A"/>
                <w:sz w:val="19"/>
                <w:szCs w:val="19"/>
              </w:rPr>
              <w:t xml:space="preserve">If a customer, an insurer or an investor puts you on a clock, the questionnaire teardown offer stands and my inbox is open. Otherwise, good luck with [specific thing about their business]. — Andrew</w:t>
            </w:r>
          </w:p>
        </w:tc>
      </w:tr>
    </w:tbl>
    <w:p>
      <w:pPr>
        <w:spacing w:after="160" w:before="0" w:line="276"/>
      </w:pPr>
      <w:r>
        <w:rPr>
          <w:rFonts w:ascii="Calibri" w:cs="Calibri" w:eastAsia="Calibri" w:hAnsi="Calibri"/>
          <w:i/>
          <w:iCs/>
          <w:color w:val="6B7A8C"/>
          <w:sz w:val="16"/>
          <w:szCs w:val="16"/>
        </w:rPr>
        <w:t xml:space="preserve">Rules: never more than four touches. Always give the prospect an easy way to say “nothing is blocked” — the fit model treats no trigger as a disqualifier, so a fast no is a win, not a loss. And send from Andrew, not a shared marketing address: the entire differentiator is that a practitioner is on the other end.</w:t>
      </w:r>
    </w:p>
    <w:p>
      <w:pPr>
        <w:pStyle w:val="Heading2"/>
        <w:keepNext/>
        <w:spacing w:after="40" w:before="340"/>
      </w:pPr>
      <w:r>
        <w:rPr>
          <w:rFonts w:ascii="Calibri" w:cs="Calibri" w:eastAsia="Calibri" w:hAnsi="Calibri"/>
          <w:b/>
          <w:bCs/>
          <w:color w:val="2F86B3"/>
          <w:sz w:val="28"/>
          <w:szCs w:val="28"/>
        </w:rPr>
        <w:t xml:space="preserve">41. Discovery script</w:t>
      </w:r>
    </w:p>
    <w:p>
      <w:pPr>
        <w:keepNext/>
        <w:spacing w:after="140" w:before="0" w:line="276"/>
      </w:pPr>
      <w:r>
        <w:rPr>
          <w:rFonts w:ascii="Calibri" w:cs="Calibri" w:eastAsia="Calibri" w:hAnsi="Calibri"/>
          <w:i/>
          <w:iCs/>
          <w:color w:val="6B7A8C"/>
          <w:sz w:val="19"/>
          <w:szCs w:val="19"/>
        </w:rPr>
        <w:t xml:space="preserve">Eleven questions, in this order, mapped to the fit model so the call produces a score rather than an impression. The first four decide whether the rest of the call is worth having.</w:t>
      </w:r>
    </w:p>
    <w:tbl>
      <w:tblPr>
        <w:tblW w:type="dxa" w:w="10080"/>
        <w:tblBorders>
          <w:top w:val="single" w:color="D3DCE6" w:sz="2"/>
          <w:left w:val="none"/>
          <w:bottom w:val="single" w:color="D3DCE6" w:sz="2"/>
          <w:right w:val="none"/>
          <w:insideH w:val="single" w:color="D3DCE6" w:sz="2"/>
          <w:insideV w:val="none"/>
        </w:tblBorders>
      </w:tblPr>
      <w:tblGrid>
        <w:gridCol w:w="3024"/>
        <w:gridCol w:w="1613"/>
        <w:gridCol w:w="3226"/>
        <w:gridCol w:w="2218"/>
      </w:tblGrid>
      <w:tr>
        <w:trPr>
          <w:cantSplit/>
          <w:tblHeader/>
        </w:trPr>
        <w:tc>
          <w:tcPr>
            <w:tcW w:type="dxa" w:w="3024"/>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Question</w:t>
            </w:r>
          </w:p>
        </w:tc>
        <w:tc>
          <w:tcPr>
            <w:tcW w:type="dxa" w:w="1613"/>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Maps to</w:t>
            </w:r>
          </w:p>
        </w:tc>
        <w:tc>
          <w:tcPr>
            <w:tcW w:type="dxa" w:w="3226"/>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Listening for</w:t>
            </w:r>
          </w:p>
        </w:tc>
        <w:tc>
          <w:tcPr>
            <w:tcW w:type="dxa" w:w="2218"/>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Red flag</w:t>
            </w:r>
          </w:p>
        </w:tc>
      </w:tr>
      <w:tr>
        <w:trPr>
          <w:cantSplit/>
        </w:trPr>
        <w:tc>
          <w:tcPr>
            <w:tcW w:type="dxa" w:w="3024"/>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“What made you take this call now?”</w:t>
            </w:r>
          </w:p>
        </w:tc>
        <w:tc>
          <w:tcPr>
            <w:tcW w:type="dxa" w:w="1613"/>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Forcing function · 25 pts</w:t>
            </w:r>
          </w:p>
        </w:tc>
        <w:tc>
          <w:tcPr>
            <w:tcW w:type="dxa" w:w="322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A named customer, a renewal date, an exam letter, a diligence process. Follow with “who’s asking, and by when?” until you have a name and a date.</w:t>
            </w:r>
          </w:p>
        </w:tc>
        <w:tc>
          <w:tcPr>
            <w:tcW w:type="dxa" w:w="221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“We’ve been meaning to get to this.” That is a Tier B at best. Do not spend the hour.</w:t>
            </w:r>
          </w:p>
        </w:tc>
      </w:tr>
      <w:tr>
        <w:trPr>
          <w:cantSplit/>
        </w:trPr>
        <w:tc>
          <w:tcPr>
            <w:tcW w:type="dxa" w:w="3024"/>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“Who owns security today, and what else do they own?”</w:t>
            </w:r>
          </w:p>
        </w:tc>
        <w:tc>
          <w:tcPr>
            <w:tcW w:type="dxa" w:w="1613"/>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Ownership gap · 15 pts</w:t>
            </w:r>
          </w:p>
        </w:tc>
        <w:tc>
          <w:tcPr>
            <w:tcW w:type="dxa" w:w="3226"/>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“Our IT director handles it,” “the CTO, when he has time,” or a pause. The second half of the question does the work.</w:t>
            </w:r>
          </w:p>
        </w:tc>
        <w:tc>
          <w:tcPr>
            <w:tcW w:type="dxa" w:w="2218"/>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A CISO with a team. Different engagement, probably not this one.</w:t>
            </w:r>
          </w:p>
        </w:tc>
      </w:tr>
      <w:tr>
        <w:trPr>
          <w:cantSplit/>
        </w:trPr>
        <w:tc>
          <w:tcPr>
            <w:tcW w:type="dxa" w:w="3024"/>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“Besides you, who has to be comfortable with this before it happens?”</w:t>
            </w:r>
          </w:p>
        </w:tc>
        <w:tc>
          <w:tcPr>
            <w:tcW w:type="dxa" w:w="1613"/>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Buyer access · 12 pts</w:t>
            </w:r>
          </w:p>
        </w:tc>
        <w:tc>
          <w:tcPr>
            <w:tcW w:type="dxa" w:w="322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Whether the economic buyer is reachable. If the answer is the CEO or an operating partner, ask to include them next call as a condition of proceeding.</w:t>
            </w:r>
          </w:p>
        </w:tc>
        <w:tc>
          <w:tcPr>
            <w:tcW w:type="dxa" w:w="221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“I’ll take it to them.” Scope negotiation cannot happen through a proxy.</w:t>
            </w:r>
          </w:p>
        </w:tc>
      </w:tr>
      <w:tr>
        <w:trPr>
          <w:cantSplit/>
        </w:trPr>
        <w:tc>
          <w:tcPr>
            <w:tcW w:type="dxa" w:w="3024"/>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“What happens to the business if this doesn’t get resolved?”</w:t>
            </w:r>
          </w:p>
        </w:tc>
        <w:tc>
          <w:tcPr>
            <w:tcW w:type="dxa" w:w="1613"/>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Trigger severity</w:t>
            </w:r>
          </w:p>
        </w:tc>
        <w:tc>
          <w:tcPr>
            <w:tcW w:type="dxa" w:w="3226"/>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A number. A stalled contract value, a renewal at risk, a deal already lost. This is the figure the proposal gets priced against.</w:t>
            </w:r>
          </w:p>
        </w:tc>
        <w:tc>
          <w:tcPr>
            <w:tcW w:type="dxa" w:w="2218"/>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w:t>
            </w:r>
          </w:p>
        </w:tc>
      </w:tr>
      <w:tr>
        <w:trPr>
          <w:cantSplit/>
        </w:trPr>
        <w:tc>
          <w:tcPr>
            <w:tcW w:type="dxa" w:w="3024"/>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“How often do security questionnaires come in, and who fills them out?”</w:t>
            </w:r>
          </w:p>
        </w:tc>
        <w:tc>
          <w:tcPr>
            <w:tcW w:type="dxa" w:w="1613"/>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Provability demand · 10 pts</w:t>
            </w:r>
          </w:p>
        </w:tc>
        <w:tc>
          <w:tcPr>
            <w:tcW w:type="dxa" w:w="322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Frequency and, more importantly, irritation. The highest-emotion pain in the market and the natural opening for the teardown offer.</w:t>
            </w:r>
          </w:p>
        </w:tc>
        <w:tc>
          <w:tcPr>
            <w:tcW w:type="dxa" w:w="221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w:t>
            </w:r>
          </w:p>
        </w:tc>
      </w:tr>
      <w:tr>
        <w:trPr>
          <w:cantSplit/>
        </w:trPr>
        <w:tc>
          <w:tcPr>
            <w:tcW w:type="dxa" w:w="3024"/>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“What have you already bought to solve this, and who runs it?”</w:t>
            </w:r>
          </w:p>
        </w:tc>
        <w:tc>
          <w:tcPr>
            <w:tcW w:type="dxa" w:w="1613"/>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Tools without an operator · 8 pts</w:t>
            </w:r>
          </w:p>
        </w:tc>
        <w:tc>
          <w:tcPr>
            <w:tcW w:type="dxa" w:w="3226"/>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A platform they pay for and nobody operates. The strongest possible qualifier. Respond with “keep it” — never with a replacement pitch.</w:t>
            </w:r>
          </w:p>
        </w:tc>
        <w:tc>
          <w:tcPr>
            <w:tcW w:type="dxa" w:w="2218"/>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w:t>
            </w:r>
          </w:p>
        </w:tc>
      </w:tr>
      <w:tr>
        <w:trPr>
          <w:cantSplit/>
        </w:trPr>
        <w:tc>
          <w:tcPr>
            <w:tcW w:type="dxa" w:w="3024"/>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“Walk me through where your data actually lives.”</w:t>
            </w:r>
          </w:p>
        </w:tc>
        <w:tc>
          <w:tcPr>
            <w:tcW w:type="dxa" w:w="1613"/>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Environment · 8 pts</w:t>
            </w:r>
          </w:p>
        </w:tc>
        <w:tc>
          <w:tcPr>
            <w:tcW w:type="dxa" w:w="322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Multi-cloud, OT, multiple entities, AI in production. Complexity is what makes this worth paying a firm for rather than buying software.</w:t>
            </w:r>
          </w:p>
        </w:tc>
        <w:tc>
          <w:tcPr>
            <w:tcW w:type="dxa" w:w="221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w:t>
            </w:r>
          </w:p>
        </w:tc>
      </w:tr>
      <w:tr>
        <w:trPr>
          <w:cantSplit/>
        </w:trPr>
        <w:tc>
          <w:tcPr>
            <w:tcW w:type="dxa" w:w="3024"/>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“Is this one audit, or is it now an annual cycle? How many legal entities?”</w:t>
            </w:r>
          </w:p>
        </w:tc>
        <w:tc>
          <w:tcPr>
            <w:tcW w:type="dxa" w:w="1613"/>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Recurring surface · 10 pts</w:t>
            </w:r>
          </w:p>
        </w:tc>
        <w:tc>
          <w:tcPr>
            <w:tcW w:type="dxa" w:w="3226"/>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Whether this becomes an operated program or ends as a project. Multi-entity structures are the difference between an engagement and an annuity.</w:t>
            </w:r>
          </w:p>
        </w:tc>
        <w:tc>
          <w:tcPr>
            <w:tcW w:type="dxa" w:w="2218"/>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w:t>
            </w:r>
          </w:p>
        </w:tc>
      </w:tr>
      <w:tr>
        <w:trPr>
          <w:cantSplit/>
        </w:trPr>
        <w:tc>
          <w:tcPr>
            <w:tcW w:type="dxa" w:w="3024"/>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“Are you using AI anywhere a customer would care about? Has anyone asked yet?”</w:t>
            </w:r>
          </w:p>
        </w:tc>
        <w:tc>
          <w:tcPr>
            <w:tcW w:type="dxa" w:w="1613"/>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Cross-sell</w:t>
            </w:r>
          </w:p>
        </w:tc>
        <w:tc>
          <w:tcPr>
            <w:tcW w:type="dxa" w:w="322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AI in the product or in customer-facing decisions with no governance behind it. 80% of companies using AI already field customer questions about AI risk.</w:t>
            </w:r>
          </w:p>
        </w:tc>
        <w:tc>
          <w:tcPr>
            <w:tcW w:type="dxa" w:w="221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w:t>
            </w:r>
          </w:p>
        </w:tc>
      </w:tr>
      <w:tr>
        <w:trPr>
          <w:cantSplit/>
        </w:trPr>
        <w:tc>
          <w:tcPr>
            <w:tcW w:type="dxa" w:w="3024"/>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“When does your cyber insurance renew, and who fills in the application?”</w:t>
            </w:r>
          </w:p>
        </w:tc>
        <w:tc>
          <w:tcPr>
            <w:tcW w:type="dxa" w:w="1613"/>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Secondary trigger</w:t>
            </w:r>
          </w:p>
        </w:tc>
        <w:tc>
          <w:tcPr>
            <w:tcW w:type="dxa" w:w="3226"/>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A date, and an uncertain answer to the second half. That combination is the attestation-versus-reality conversation, and it converts even when the compliance conversation stalls.</w:t>
            </w:r>
          </w:p>
        </w:tc>
        <w:tc>
          <w:tcPr>
            <w:tcW w:type="dxa" w:w="2218"/>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w:t>
            </w:r>
          </w:p>
        </w:tc>
      </w:tr>
      <w:tr>
        <w:trPr>
          <w:cantSplit/>
        </w:trPr>
        <w:tc>
          <w:tcPr>
            <w:tcW w:type="dxa" w:w="3024"/>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“If we got this right, what would be true in ninety days that isn’t true today?”</w:t>
            </w:r>
          </w:p>
        </w:tc>
        <w:tc>
          <w:tcPr>
            <w:tcW w:type="dxa" w:w="1613"/>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The close</w:t>
            </w:r>
          </w:p>
        </w:tc>
        <w:tc>
          <w:tcPr>
            <w:tcW w:type="dxa" w:w="322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The outcome to write into the proposal verbatim. Whatever they say here is what the engagement is actually being judged on.</w:t>
            </w:r>
          </w:p>
        </w:tc>
        <w:tc>
          <w:tcPr>
            <w:tcW w:type="dxa" w:w="221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w:t>
            </w:r>
          </w:p>
        </w:tc>
      </w:tr>
    </w:tbl>
    <w:p>
      <w:pPr>
        <w:spacing w:after="180" w:before="0" w:line="276"/>
      </w:pPr>
      <w:r>
        <w:rPr>
          <w:rFonts w:ascii="Calibri" w:cs="Calibri" w:eastAsia="Calibri" w:hAnsi="Calibri"/>
          <w:color w:val="3D4A5A"/>
          <w:sz w:val="8"/>
          <w:szCs w:val="8"/>
        </w:rPr>
        <w:t xml:space="preserve"/>
      </w:r>
    </w:p>
    <w:p>
      <w:pPr>
        <w:keepNext/>
        <w:spacing w:after="60" w:before="180"/>
      </w:pPr>
      <w:r>
        <w:rPr>
          <w:rFonts w:ascii="Calibri" w:cs="Calibri" w:eastAsia="Calibri" w:hAnsi="Calibri"/>
          <w:b/>
          <w:bCs/>
          <w:color w:val="3D4A5A"/>
          <w:sz w:val="20"/>
          <w:szCs w:val="20"/>
        </w:rPr>
        <w:t xml:space="preserve">Qualify out fast, and say so</w:t>
      </w:r>
    </w:p>
    <w:p>
      <w:pPr>
        <w:spacing w:after="120" w:before="0" w:line="276"/>
      </w:pPr>
      <w:r>
        <w:rPr>
          <w:rFonts w:ascii="Calibri" w:cs="Calibri" w:eastAsia="Calibri" w:hAnsi="Calibri"/>
          <w:color w:val="3D4A5A"/>
          <w:sz w:val="20"/>
          <w:szCs w:val="20"/>
        </w:rPr>
        <w:t xml:space="preserve">If there is no trigger, no path to the economic buyer, or the prospect is clearly shopping for the cheapest certificate, end the call early and honestly: “I don’t think you need us yet, and I’d rather tell you that than sell you something.” This wins more business over twelve months than working the deal would. The market is small, practitioners talk, and being the firm that turned work down is worth more than the engagement.</w:t>
      </w:r>
    </w:p>
    <w:p>
      <w:pPr>
        <w:keepNext/>
        <w:spacing w:after="60" w:before="180"/>
      </w:pPr>
      <w:r>
        <w:rPr>
          <w:rFonts w:ascii="Calibri" w:cs="Calibri" w:eastAsia="Calibri" w:hAnsi="Calibri"/>
          <w:b/>
          <w:bCs/>
          <w:color w:val="3D4A5A"/>
          <w:sz w:val="20"/>
          <w:szCs w:val="20"/>
        </w:rPr>
        <w:t xml:space="preserve">Never say on a first call</w:t>
      </w:r>
    </w:p>
    <w:p>
      <w:pPr>
        <w:pStyle w:val="ListParagraph"/>
        <w:numPr>
          <w:ilvl w:val="0"/>
          <w:numId w:val="1"/>
        </w:numPr>
        <w:spacing w:after="70" w:line="270"/>
      </w:pPr>
      <w:r>
        <w:rPr>
          <w:rFonts w:ascii="Calibri" w:cs="Calibri" w:eastAsia="Calibri" w:hAnsi="Calibri"/>
          <w:color w:val="3D4A5A"/>
          <w:sz w:val="20"/>
          <w:szCs w:val="20"/>
        </w:rPr>
        <w:t xml:space="preserve">Any promise about passing an audit.</w:t>
      </w:r>
    </w:p>
    <w:p>
      <w:pPr>
        <w:pStyle w:val="ListParagraph"/>
        <w:numPr>
          <w:ilvl w:val="0"/>
          <w:numId w:val="1"/>
        </w:numPr>
        <w:spacing w:after="70" w:line="270"/>
      </w:pPr>
      <w:r>
        <w:rPr>
          <w:rFonts w:ascii="Calibri" w:cs="Calibri" w:eastAsia="Calibri" w:hAnsi="Calibri"/>
          <w:color w:val="3D4A5A"/>
          <w:sz w:val="20"/>
          <w:szCs w:val="20"/>
        </w:rPr>
        <w:t xml:space="preserve">A price before scope. Give a band and the variables that move it.</w:t>
      </w:r>
    </w:p>
    <w:p>
      <w:pPr>
        <w:pStyle w:val="ListParagraph"/>
        <w:numPr>
          <w:ilvl w:val="0"/>
          <w:numId w:val="1"/>
        </w:numPr>
        <w:spacing w:after="70" w:line="270"/>
      </w:pPr>
      <w:r>
        <w:rPr>
          <w:rFonts w:ascii="Calibri" w:cs="Calibri" w:eastAsia="Calibri" w:hAnsi="Calibri"/>
          <w:color w:val="3D4A5A"/>
          <w:sz w:val="20"/>
          <w:szCs w:val="20"/>
        </w:rPr>
        <w:t xml:space="preserve">A client name that is not already public.</w:t>
      </w:r>
    </w:p>
    <w:p>
      <w:pPr>
        <w:pStyle w:val="ListParagraph"/>
        <w:numPr>
          <w:ilvl w:val="0"/>
          <w:numId w:val="1"/>
        </w:numPr>
        <w:spacing w:after="70" w:line="270"/>
      </w:pPr>
      <w:r>
        <w:rPr>
          <w:rFonts w:ascii="Calibri" w:cs="Calibri" w:eastAsia="Calibri" w:hAnsi="Calibri"/>
          <w:color w:val="3D4A5A"/>
          <w:sz w:val="20"/>
          <w:szCs w:val="20"/>
        </w:rPr>
        <w:t xml:space="preserve">Any figure not in the claims library.</w:t>
      </w:r>
    </w:p>
    <w:p>
      <w:pPr>
        <w:pStyle w:val="ListParagraph"/>
        <w:numPr>
          <w:ilvl w:val="0"/>
          <w:numId w:val="1"/>
        </w:numPr>
        <w:spacing w:after="70" w:line="270"/>
      </w:pPr>
      <w:r>
        <w:rPr>
          <w:rFonts w:ascii="Calibri" w:cs="Calibri" w:eastAsia="Calibri" w:hAnsi="Calibri"/>
          <w:color w:val="3D4A5A"/>
          <w:sz w:val="20"/>
          <w:szCs w:val="20"/>
        </w:rPr>
        <w:t xml:space="preserve">Criticism of the platform they already bought.</w:t>
      </w:r>
    </w:p>
    <w:p>
      <w:pPr>
        <w:pStyle w:val="ListParagraph"/>
        <w:numPr>
          <w:ilvl w:val="0"/>
          <w:numId w:val="1"/>
        </w:numPr>
        <w:spacing w:after="70" w:line="270"/>
      </w:pPr>
      <w:r>
        <w:rPr>
          <w:rFonts w:ascii="Calibri" w:cs="Calibri" w:eastAsia="Calibri" w:hAnsi="Calibri"/>
          <w:color w:val="3D4A5A"/>
          <w:sz w:val="20"/>
          <w:szCs w:val="20"/>
        </w:rPr>
        <w:t xml:space="preserve">A maturity level. They do not know what it means and it makes the conversation abstract.</w:t>
      </w:r>
    </w:p>
    <w:p>
      <w:pPr>
        <w:pStyle w:val="Heading2"/>
        <w:keepNext/>
        <w:spacing w:after="40" w:before="340"/>
      </w:pPr>
      <w:r>
        <w:rPr>
          <w:rFonts w:ascii="Calibri" w:cs="Calibri" w:eastAsia="Calibri" w:hAnsi="Calibri"/>
          <w:b/>
          <w:bCs/>
          <w:color w:val="2F86B3"/>
          <w:sz w:val="28"/>
          <w:szCs w:val="28"/>
        </w:rPr>
        <w:t xml:space="preserve">42. Offer one-pagers</w:t>
      </w:r>
    </w:p>
    <w:p>
      <w:pPr>
        <w:keepNext/>
        <w:spacing w:after="140" w:before="0" w:line="276"/>
      </w:pPr>
      <w:r>
        <w:rPr>
          <w:rFonts w:ascii="Calibri" w:cs="Calibri" w:eastAsia="Calibri" w:hAnsi="Calibri"/>
          <w:i/>
          <w:iCs/>
          <w:color w:val="6B7A8C"/>
          <w:sz w:val="19"/>
          <w:szCs w:val="19"/>
        </w:rPr>
        <w:t xml:space="preserve">Four offers, one page each, same structure so a buyer can compare them. Every one leads with the trigger, not the methodology.</w:t>
      </w:r>
    </w:p>
    <w:tbl>
      <w:tblPr>
        <w:tblW w:type="dxa" w:w="10080"/>
        <w:tblBorders>
          <w:top w:val="single" w:color="D3DCE6" w:sz="2"/>
          <w:left w:val="none"/>
          <w:bottom w:val="single" w:color="D3DCE6" w:sz="2"/>
          <w:right w:val="none"/>
          <w:insideH w:val="single" w:color="D3DCE6" w:sz="2"/>
          <w:insideV w:val="none"/>
        </w:tblBorders>
      </w:tblPr>
      <w:tblGrid>
        <w:gridCol w:w="1814"/>
        <w:gridCol w:w="2016"/>
        <w:gridCol w:w="2621"/>
        <w:gridCol w:w="2016"/>
        <w:gridCol w:w="1613"/>
      </w:tblGrid>
      <w:tr>
        <w:trPr>
          <w:cantSplit/>
          <w:tblHeader/>
        </w:trPr>
        <w:tc>
          <w:tcPr>
            <w:tcW w:type="dxa" w:w="1814"/>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Offer</w:t>
            </w:r>
          </w:p>
        </w:tc>
        <w:tc>
          <w:tcPr>
            <w:tcW w:type="dxa" w:w="2016"/>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Leads with</w:t>
            </w:r>
          </w:p>
        </w:tc>
        <w:tc>
          <w:tcPr>
            <w:tcW w:type="dxa" w:w="2621"/>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What it is</w:t>
            </w:r>
          </w:p>
        </w:tc>
        <w:tc>
          <w:tcPr>
            <w:tcW w:type="dxa" w:w="2016"/>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Proof to attach</w:t>
            </w:r>
          </w:p>
        </w:tc>
        <w:tc>
          <w:tcPr>
            <w:tcW w:type="dxa" w:w="1613"/>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Next step</w:t>
            </w:r>
          </w:p>
        </w:tc>
      </w:tr>
      <w:tr>
        <w:trPr>
          <w:cantSplit/>
        </w:trPr>
        <w:tc>
          <w:tcPr>
            <w:tcW w:type="dxa" w:w="1814"/>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AI Risk &amp; Readiness Snapshot
10 business days</w:t>
            </w:r>
          </w:p>
        </w:tc>
        <w:tc>
          <w:tcPr>
            <w:tcW w:type="dxa" w:w="201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“Ten days to a decision you can act on.”</w:t>
            </w:r>
          </w:p>
        </w:tc>
        <w:tc>
          <w:tcPr>
            <w:tcW w:type="dxa" w:w="262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Fixed-scope assessment against the standard that is actually being asked for. Ends with a pass/fail read, a dated plan, and the list of what is out of scope.</w:t>
            </w:r>
          </w:p>
        </w:tc>
        <w:tc>
          <w:tcPr>
            <w:tcW w:type="dxa" w:w="201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The 10-day commitment is published and substantiated. The most concrete thing the firm publishes.</w:t>
            </w:r>
          </w:p>
        </w:tc>
        <w:tc>
          <w:tcPr>
            <w:tcW w:type="dxa" w:w="1613"/>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Book it. The entry point for every other offer.</w:t>
            </w:r>
          </w:p>
        </w:tc>
      </w:tr>
      <w:tr>
        <w:trPr>
          <w:cantSplit/>
        </w:trPr>
        <w:tc>
          <w:tcPr>
            <w:tcW w:type="dxa" w:w="1814"/>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SOC 2 Type II Readiness</w:t>
            </w:r>
          </w:p>
        </w:tc>
        <w:tc>
          <w:tcPr>
            <w:tcW w:type="dxa" w:w="2016"/>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“Your deal is waiting on a report you can’t produce yet.”</w:t>
            </w:r>
          </w:p>
        </w:tc>
        <w:tc>
          <w:tcPr>
            <w:tcW w:type="dxa" w:w="262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Readiness program with continuous evidence, auditor selection and scope negotiation, and questionnaire response while the audit window runs.</w:t>
            </w:r>
          </w:p>
        </w:tc>
        <w:tc>
          <w:tcPr>
            <w:tcW w:type="dxa" w:w="2016"/>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Transit Technologies — no formal program to Type I with zero findings, then multi-entity Type II.</w:t>
            </w:r>
          </w:p>
        </w:tc>
        <w:tc>
          <w:tcPr>
            <w:tcW w:type="dxa" w:w="1613"/>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Snapshot first. Never quote this without one.</w:t>
            </w:r>
          </w:p>
        </w:tc>
      </w:tr>
      <w:tr>
        <w:trPr>
          <w:cantSplit/>
        </w:trPr>
        <w:tc>
          <w:tcPr>
            <w:tcW w:type="dxa" w:w="1814"/>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Audit-Ready Security Program (ISG)
Managed, ongoing</w:t>
            </w:r>
          </w:p>
        </w:tc>
        <w:tc>
          <w:tcPr>
            <w:tcW w:type="dxa" w:w="201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“You don’t need a full-time CISO. You need someone accountable.”</w:t>
            </w:r>
          </w:p>
        </w:tc>
        <w:tc>
          <w:tcPr>
            <w:tcW w:type="dxa" w:w="262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ISMS, enterprise risk and incident response, operated on a retainer with founder-level advisory on top. The annuity offer.</w:t>
            </w:r>
          </w:p>
        </w:tc>
        <w:tc>
          <w:tcPr>
            <w:tcW w:type="dxa" w:w="201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Andrew’s record closing FDA 483s and bank MRAs. Strongest with regulated buyers.</w:t>
            </w:r>
          </w:p>
        </w:tc>
        <w:tc>
          <w:tcPr>
            <w:tcW w:type="dxa" w:w="1613"/>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Tiered retainer by size, complexity and compliance burden. Sell outcomes, not hours.</w:t>
            </w:r>
          </w:p>
        </w:tc>
      </w:tr>
      <w:tr>
        <w:trPr>
          <w:cantSplit/>
        </w:trPr>
        <w:tc>
          <w:tcPr>
            <w:tcW w:type="dxa" w:w="1814"/>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Portfolio Assurance
PE and family offices</w:t>
            </w:r>
          </w:p>
        </w:tc>
        <w:tc>
          <w:tcPr>
            <w:tcW w:type="dxa" w:w="2016"/>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“Your bigger competitors run cyber diligence on 81% of deals. You run it on 29%.”</w:t>
            </w:r>
          </w:p>
        </w:tc>
        <w:tc>
          <w:tcPr>
            <w:tcW w:type="dxa" w:w="262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Diligence assessment per acquisition, one control set across every entity, quarterly IC-ready reporting, multi-tenant visibility on AiVRIC.</w:t>
            </w:r>
          </w:p>
        </w:tc>
        <w:tc>
          <w:tcPr>
            <w:tcW w:type="dxa" w:w="2016"/>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1,000+ systems certified under one scalable framework at a large North American bank.</w:t>
            </w:r>
          </w:p>
        </w:tc>
        <w:tc>
          <w:tcPr>
            <w:tcW w:type="dxa" w:w="1613"/>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Fund-level retainer plus per-entity pricing. One relationship, many logos.</w:t>
            </w:r>
          </w:p>
        </w:tc>
      </w:tr>
    </w:tbl>
    <w:p>
      <w:pPr>
        <w:spacing w:after="180" w:before="0" w:line="276"/>
      </w:pPr>
      <w:r>
        <w:rPr>
          <w:rFonts w:ascii="Calibri" w:cs="Calibri" w:eastAsia="Calibri" w:hAnsi="Calibri"/>
          <w:color w:val="3D4A5A"/>
          <w:sz w:val="8"/>
          <w:szCs w:val="8"/>
        </w:rPr>
        <w:t xml:space="preserve"/>
      </w:r>
    </w:p>
    <w:tbl>
      <w:tblPr>
        <w:tblW w:type="dxa" w:w="10080"/>
        <w:tblBorders>
          <w:top w:val="none"/>
          <w:left w:val="single" w:color="A8781F" w:sz="18"/>
          <w:bottom w:val="none"/>
          <w:right w:val="none"/>
          <w:insideH w:val="none"/>
          <w:insideV w:val="none"/>
        </w:tblBorders>
      </w:tblPr>
      <w:tblGrid>
        <w:gridCol w:w="10080"/>
      </w:tblGrid>
      <w:tr>
        <w:trPr>
          <w:cantSplit/>
        </w:trPr>
        <w:tc>
          <w:tcPr>
            <w:tcW w:type="dxa" w:w="10080"/>
            <w:tcBorders>
              <w:top w:val="none"/>
              <w:left w:val="none"/>
              <w:bottom w:val="none"/>
              <w:right w:val="none"/>
            </w:tcBorders>
            <w:shd w:fill="FBF4E6" w:color="auto" w:val="clear"/>
            <w:tcMar>
              <w:top w:type="dxa" w:w="130"/>
              <w:left w:type="dxa" w:w="180"/>
              <w:bottom w:type="dxa" w:w="130"/>
              <w:right w:type="dxa" w:w="160"/>
            </w:tcMar>
          </w:tcPr>
          <w:p>
            <w:pPr>
              <w:keepNext/>
              <w:spacing w:after="60" w:before="0" w:line="260"/>
            </w:pPr>
            <w:r>
              <w:rPr>
                <w:rFonts w:ascii="Calibri" w:cs="Calibri" w:eastAsia="Calibri" w:hAnsi="Calibri"/>
                <w:b/>
                <w:bCs/>
                <w:color w:val="A8781F"/>
                <w:sz w:val="19"/>
                <w:szCs w:val="19"/>
              </w:rPr>
              <w:t xml:space="preserve">What every one-pager must carry, and currently cannot</w:t>
            </w:r>
          </w:p>
          <w:p>
            <w:pPr>
              <w:spacing w:after="40" w:before="0" w:line="265"/>
            </w:pPr>
            <w:r>
              <w:rPr>
                <w:rFonts w:ascii="Calibri" w:cs="Calibri" w:eastAsia="Calibri" w:hAnsi="Calibri"/>
                <w:color w:val="3D4A5A"/>
                <w:sz w:val="19"/>
                <w:szCs w:val="19"/>
              </w:rPr>
              <w:t xml:space="preserve">A price band. Buyers in this research explicitly rewarded transparent pricing as a differentiator and noted that almost nobody offers it. Publishing a range with the variables that move it — number of entities, cloud accounts, framework count — would separate 3HUE from every competitor in the set. Worth noting: the 2024 site did publish pricing ($15 per endpoint EDR, $45 XDR), so there is internal precedent. That is a decision for Andrew, and until it is made these documents are weaker than they need to be.</w:t>
            </w:r>
          </w:p>
        </w:tc>
      </w:tr>
    </w:tbl>
    <w:p>
      <w:pPr>
        <w:pStyle w:val="Heading2"/>
        <w:keepNext/>
        <w:spacing w:after="40" w:before="340"/>
      </w:pPr>
      <w:r>
        <w:rPr>
          <w:rFonts w:ascii="Calibri" w:cs="Calibri" w:eastAsia="Calibri" w:hAnsi="Calibri"/>
          <w:b/>
          <w:bCs/>
          <w:color w:val="2F86B3"/>
          <w:sz w:val="28"/>
          <w:szCs w:val="28"/>
        </w:rPr>
        <w:t xml:space="preserve">43. Case study rebuild</w:t>
      </w:r>
    </w:p>
    <w:p>
      <w:pPr>
        <w:keepNext/>
        <w:spacing w:after="140" w:before="0" w:line="276"/>
      </w:pPr>
      <w:r>
        <w:rPr>
          <w:rFonts w:ascii="Calibri" w:cs="Calibri" w:eastAsia="Calibri" w:hAnsi="Calibri"/>
          <w:i/>
          <w:iCs/>
          <w:color w:val="6B7A8C"/>
          <w:sz w:val="19"/>
          <w:szCs w:val="19"/>
        </w:rPr>
        <w:t xml:space="preserve">Three stories are published today with genuinely strong outcomes and almost none of the elements that make a case study persuade.</w:t>
      </w:r>
    </w:p>
    <w:p>
      <w:pPr>
        <w:keepNext/>
        <w:spacing w:after="60" w:before="180"/>
      </w:pPr>
      <w:r>
        <w:rPr>
          <w:rFonts w:ascii="Calibri" w:cs="Calibri" w:eastAsia="Calibri" w:hAnsi="Calibri"/>
          <w:b/>
          <w:bCs/>
          <w:color w:val="3D4A5A"/>
          <w:sz w:val="20"/>
          <w:szCs w:val="20"/>
        </w:rPr>
        <w:t xml:space="preserve">What is missing today</w:t>
      </w:r>
    </w:p>
    <w:p>
      <w:pPr>
        <w:pStyle w:val="ListParagraph"/>
        <w:numPr>
          <w:ilvl w:val="0"/>
          <w:numId w:val="1"/>
        </w:numPr>
        <w:spacing w:after="70" w:line="270"/>
      </w:pPr>
      <w:r>
        <w:rPr>
          <w:rFonts w:ascii="Calibri" w:cs="Calibri" w:eastAsia="Calibri" w:hAnsi="Calibri"/>
          <w:color w:val="3D4A5A"/>
          <w:sz w:val="20"/>
          <w:szCs w:val="20"/>
        </w:rPr>
        <w:t xml:space="preserve">No client quotes. The most persuasive sentence in any case study is the client’s, not the firm’s.</w:t>
      </w:r>
    </w:p>
    <w:p>
      <w:pPr>
        <w:pStyle w:val="ListParagraph"/>
        <w:numPr>
          <w:ilvl w:val="0"/>
          <w:numId w:val="1"/>
        </w:numPr>
        <w:spacing w:after="70" w:line="270"/>
      </w:pPr>
      <w:r>
        <w:rPr>
          <w:rFonts w:ascii="Calibri" w:cs="Calibri" w:eastAsia="Calibri" w:hAnsi="Calibri"/>
          <w:color w:val="3D4A5A"/>
          <w:sz w:val="20"/>
          <w:szCs w:val="20"/>
        </w:rPr>
        <w:t xml:space="preserve">No timeframes. “SOC 2 Type I with zero findings” is strong. “In fourteen weeks, from no formal program” is far stronger.</w:t>
      </w:r>
    </w:p>
    <w:p>
      <w:pPr>
        <w:pStyle w:val="ListParagraph"/>
        <w:numPr>
          <w:ilvl w:val="0"/>
          <w:numId w:val="1"/>
        </w:numPr>
        <w:spacing w:after="70" w:line="270"/>
      </w:pPr>
      <w:r>
        <w:rPr>
          <w:rFonts w:ascii="Calibri" w:cs="Calibri" w:eastAsia="Calibri" w:hAnsi="Calibri"/>
          <w:color w:val="3D4A5A"/>
          <w:sz w:val="20"/>
          <w:szCs w:val="20"/>
        </w:rPr>
        <w:t xml:space="preserve">No before state with numbers. What was failing, how many controls were open, how long questionnaires were taking.</w:t>
      </w:r>
    </w:p>
    <w:p>
      <w:pPr>
        <w:pStyle w:val="ListParagraph"/>
        <w:numPr>
          <w:ilvl w:val="0"/>
          <w:numId w:val="1"/>
        </w:numPr>
        <w:spacing w:after="70" w:line="270"/>
      </w:pPr>
      <w:r>
        <w:rPr>
          <w:rFonts w:ascii="Calibri" w:cs="Calibri" w:eastAsia="Calibri" w:hAnsi="Calibri"/>
          <w:color w:val="3D4A5A"/>
          <w:sz w:val="20"/>
          <w:szCs w:val="20"/>
        </w:rPr>
        <w:t xml:space="preserve">No named reference. Even one buyer willing to take a call is worth more than three anonymous stories.</w:t>
      </w:r>
    </w:p>
    <w:p>
      <w:pPr>
        <w:pStyle w:val="ListParagraph"/>
        <w:numPr>
          <w:ilvl w:val="0"/>
          <w:numId w:val="1"/>
        </w:numPr>
        <w:spacing w:after="70" w:line="270"/>
      </w:pPr>
      <w:r>
        <w:rPr>
          <w:rFonts w:ascii="Calibri" w:cs="Calibri" w:eastAsia="Calibri" w:hAnsi="Calibri"/>
          <w:color w:val="3D4A5A"/>
          <w:sz w:val="20"/>
          <w:szCs w:val="20"/>
        </w:rPr>
        <w:t xml:space="preserve">No stated trigger. Every one of these started because someone forced it. That is the part the next buyer recognizes themselves in.</w:t>
      </w:r>
    </w:p>
    <w:p>
      <w:pPr>
        <w:keepNext/>
        <w:spacing w:after="60" w:before="180"/>
      </w:pPr>
      <w:r>
        <w:rPr>
          <w:rFonts w:ascii="Calibri" w:cs="Calibri" w:eastAsia="Calibri" w:hAnsi="Calibri"/>
          <w:b/>
          <w:bCs/>
          <w:color w:val="3D4A5A"/>
          <w:sz w:val="20"/>
          <w:szCs w:val="20"/>
        </w:rPr>
        <w:t xml:space="preserve">The structure to rebuild to</w:t>
      </w:r>
    </w:p>
    <w:p>
      <w:pPr>
        <w:pStyle w:val="ListParagraph"/>
        <w:numPr>
          <w:ilvl w:val="0"/>
          <w:numId w:val="1"/>
        </w:numPr>
        <w:spacing w:after="70" w:line="270"/>
      </w:pPr>
      <w:r>
        <w:rPr>
          <w:rFonts w:ascii="Calibri" w:cs="Calibri" w:eastAsia="Calibri" w:hAnsi="Calibri"/>
          <w:color w:val="3D4A5A"/>
          <w:sz w:val="20"/>
          <w:szCs w:val="20"/>
        </w:rPr>
        <w:t xml:space="preserve">The trigger. Who asked, for what, by when.</w:t>
      </w:r>
    </w:p>
    <w:p>
      <w:pPr>
        <w:pStyle w:val="ListParagraph"/>
        <w:numPr>
          <w:ilvl w:val="0"/>
          <w:numId w:val="1"/>
        </w:numPr>
        <w:spacing w:after="70" w:line="270"/>
      </w:pPr>
      <w:r>
        <w:rPr>
          <w:rFonts w:ascii="Calibri" w:cs="Calibri" w:eastAsia="Calibri" w:hAnsi="Calibri"/>
          <w:color w:val="3D4A5A"/>
          <w:sz w:val="20"/>
          <w:szCs w:val="20"/>
        </w:rPr>
        <w:t xml:space="preserve">The constraint. Team size, security headcount, what else was competing for attention.</w:t>
      </w:r>
    </w:p>
    <w:p>
      <w:pPr>
        <w:pStyle w:val="ListParagraph"/>
        <w:numPr>
          <w:ilvl w:val="0"/>
          <w:numId w:val="1"/>
        </w:numPr>
        <w:spacing w:after="70" w:line="270"/>
      </w:pPr>
      <w:r>
        <w:rPr>
          <w:rFonts w:ascii="Calibri" w:cs="Calibri" w:eastAsia="Calibri" w:hAnsi="Calibri"/>
          <w:color w:val="3D4A5A"/>
          <w:sz w:val="20"/>
          <w:szCs w:val="20"/>
        </w:rPr>
        <w:t xml:space="preserve">What we scoped out. The differentiator, made concrete — what they didn’t have to do.</w:t>
      </w:r>
    </w:p>
    <w:p>
      <w:pPr>
        <w:pStyle w:val="ListParagraph"/>
        <w:numPr>
          <w:ilvl w:val="0"/>
          <w:numId w:val="1"/>
        </w:numPr>
        <w:spacing w:after="70" w:line="270"/>
      </w:pPr>
      <w:r>
        <w:rPr>
          <w:rFonts w:ascii="Calibri" w:cs="Calibri" w:eastAsia="Calibri" w:hAnsi="Calibri"/>
          <w:color w:val="3D4A5A"/>
          <w:sz w:val="20"/>
          <w:szCs w:val="20"/>
        </w:rPr>
        <w:t xml:space="preserve">What we did. Three or four sentences, plainly.</w:t>
      </w:r>
    </w:p>
    <w:p>
      <w:pPr>
        <w:pStyle w:val="ListParagraph"/>
        <w:numPr>
          <w:ilvl w:val="0"/>
          <w:numId w:val="1"/>
        </w:numPr>
        <w:spacing w:after="70" w:line="270"/>
      </w:pPr>
      <w:r>
        <w:rPr>
          <w:rFonts w:ascii="Calibri" w:cs="Calibri" w:eastAsia="Calibri" w:hAnsi="Calibri"/>
          <w:color w:val="3D4A5A"/>
          <w:sz w:val="20"/>
          <w:szCs w:val="20"/>
        </w:rPr>
        <w:t xml:space="preserve">The result, with a date attached. Outcome, elapsed time, findings count.</w:t>
      </w:r>
    </w:p>
    <w:p>
      <w:pPr>
        <w:pStyle w:val="ListParagraph"/>
        <w:numPr>
          <w:ilvl w:val="0"/>
          <w:numId w:val="1"/>
        </w:numPr>
        <w:spacing w:after="70" w:line="270"/>
      </w:pPr>
      <w:r>
        <w:rPr>
          <w:rFonts w:ascii="Calibri" w:cs="Calibri" w:eastAsia="Calibri" w:hAnsi="Calibri"/>
          <w:color w:val="3D4A5A"/>
          <w:sz w:val="20"/>
          <w:szCs w:val="20"/>
        </w:rPr>
        <w:t xml:space="preserve">What it unblocked. The contract, the renewal, the exam, the exit.</w:t>
      </w:r>
    </w:p>
    <w:p>
      <w:pPr>
        <w:pStyle w:val="ListParagraph"/>
        <w:numPr>
          <w:ilvl w:val="0"/>
          <w:numId w:val="1"/>
        </w:numPr>
        <w:spacing w:after="70" w:line="270"/>
      </w:pPr>
      <w:r>
        <w:rPr>
          <w:rFonts w:ascii="Calibri" w:cs="Calibri" w:eastAsia="Calibri" w:hAnsi="Calibri"/>
          <w:color w:val="3D4A5A"/>
          <w:sz w:val="20"/>
          <w:szCs w:val="20"/>
        </w:rPr>
        <w:t xml:space="preserve">One client sentence. Ideally about the founder being on the engagement.</w:t>
      </w:r>
    </w:p>
    <w:p>
      <w:pPr>
        <w:spacing w:after="160" w:before="0" w:line="276"/>
      </w:pPr>
      <w:r>
        <w:rPr>
          <w:rFonts w:ascii="Calibri" w:cs="Calibri" w:eastAsia="Calibri" w:hAnsi="Calibri"/>
          <w:i/>
          <w:iCs/>
          <w:color w:val="6B7A8C"/>
          <w:sz w:val="16"/>
          <w:szCs w:val="16"/>
        </w:rPr>
        <w:t xml:space="preserve">Consent is the long pole, not writing. Ask for the quote and the reference at the moment the engagement succeeds, not six months later — and ask for permission to name the client in the same conversation. Until consent exists, “a large North American bank” is the correct phrasing and nothing should imply more.</w:t>
      </w:r>
    </w:p>
    <w:p>
      <w:pPr>
        <w:pStyle w:val="Heading2"/>
        <w:keepNext/>
        <w:spacing w:after="40" w:before="340"/>
      </w:pPr>
      <w:r>
        <w:rPr>
          <w:rFonts w:ascii="Calibri" w:cs="Calibri" w:eastAsia="Calibri" w:hAnsi="Calibri"/>
          <w:b/>
          <w:bCs/>
          <w:color w:val="2F86B3"/>
          <w:sz w:val="28"/>
          <w:szCs w:val="28"/>
        </w:rPr>
        <w:t xml:space="preserve">44. What to measure</w:t>
      </w:r>
    </w:p>
    <w:p>
      <w:pPr>
        <w:keepNext/>
        <w:spacing w:after="140" w:before="0" w:line="276"/>
      </w:pPr>
      <w:r>
        <w:rPr>
          <w:rFonts w:ascii="Calibri" w:cs="Calibri" w:eastAsia="Calibri" w:hAnsi="Calibri"/>
          <w:i/>
          <w:iCs/>
          <w:color w:val="6B7A8C"/>
          <w:sz w:val="19"/>
          <w:szCs w:val="19"/>
        </w:rPr>
        <w:t xml:space="preserve">Six numbers. Deliberately few, because a small team measuring twenty things measures none of them.</w:t>
      </w:r>
    </w:p>
    <w:tbl>
      <w:tblPr>
        <w:tblW w:type="dxa" w:w="10080"/>
        <w:tblBorders>
          <w:top w:val="single" w:color="D3DCE6" w:sz="2"/>
          <w:left w:val="none"/>
          <w:bottom w:val="single" w:color="D3DCE6" w:sz="2"/>
          <w:right w:val="none"/>
          <w:insideH w:val="single" w:color="D3DCE6" w:sz="2"/>
          <w:insideV w:val="none"/>
        </w:tblBorders>
      </w:tblPr>
      <w:tblGrid>
        <w:gridCol w:w="2621"/>
        <w:gridCol w:w="3830"/>
        <w:gridCol w:w="3629"/>
      </w:tblGrid>
      <w:tr>
        <w:trPr>
          <w:cantSplit/>
          <w:tblHeader/>
        </w:trPr>
        <w:tc>
          <w:tcPr>
            <w:tcW w:type="dxa" w:w="2621"/>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Measure</w:t>
            </w:r>
          </w:p>
        </w:tc>
        <w:tc>
          <w:tcPr>
            <w:tcW w:type="dxa" w:w="3830"/>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Why this one</w:t>
            </w:r>
          </w:p>
        </w:tc>
        <w:tc>
          <w:tcPr>
            <w:tcW w:type="dxa" w:w="3629"/>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Healthy signal</w:t>
            </w:r>
          </w:p>
        </w:tc>
      </w:tr>
      <w:tr>
        <w:trPr>
          <w:cantSplit/>
        </w:trPr>
        <w:tc>
          <w:tcPr>
            <w:tcW w:type="dxa" w:w="262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Founder post cadence</w:t>
            </w:r>
          </w:p>
        </w:tc>
        <w:tc>
          <w:tcPr>
            <w:tcW w:type="dxa" w:w="383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Distribution is the binding constraint. Everything else is downstream of whether posts actually ship.</w:t>
            </w:r>
          </w:p>
        </w:tc>
        <w:tc>
          <w:tcPr>
            <w:tcW w:type="dxa" w:w="362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One per week, sustained for a quarter. Miss two in a row and the experiment is over.</w:t>
            </w:r>
          </w:p>
        </w:tc>
      </w:tr>
      <w:tr>
        <w:trPr>
          <w:cantSplit/>
        </w:trPr>
        <w:tc>
          <w:tcPr>
            <w:tcW w:type="dxa" w:w="262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Comment-to-reaction ratio on trigger posts</w:t>
            </w:r>
          </w:p>
        </w:tc>
        <w:tc>
          <w:tcPr>
            <w:tcW w:type="dxa" w:w="3830"/>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Reactions measure reach; comments measure whether the argument landed with people who have the problem.</w:t>
            </w:r>
          </w:p>
        </w:tc>
        <w:tc>
          <w:tcPr>
            <w:tcW w:type="dxa" w:w="3629"/>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Rising ratio over time, and comments from titles that match the ICP rather than peers in the industry.</w:t>
            </w:r>
          </w:p>
        </w:tc>
      </w:tr>
      <w:tr>
        <w:trPr>
          <w:cantSplit/>
        </w:trPr>
        <w:tc>
          <w:tcPr>
            <w:tcW w:type="dxa" w:w="262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Questionnaire teardowns requested</w:t>
            </w:r>
          </w:p>
        </w:tc>
        <w:tc>
          <w:tcPr>
            <w:tcW w:type="dxa" w:w="383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The purest demand signal available — it costs the prospect ten minutes and admits a live trigger.</w:t>
            </w:r>
          </w:p>
        </w:tc>
        <w:tc>
          <w:tcPr>
            <w:tcW w:type="dxa" w:w="362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Any at all in month one. Three a week sustained means the campaign works and the cap should be revisited.</w:t>
            </w:r>
          </w:p>
        </w:tc>
      </w:tr>
      <w:tr>
        <w:trPr>
          <w:cantSplit/>
        </w:trPr>
        <w:tc>
          <w:tcPr>
            <w:tcW w:type="dxa" w:w="262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Inbound that names a trigger</w:t>
            </w:r>
          </w:p>
        </w:tc>
        <w:tc>
          <w:tcPr>
            <w:tcW w:type="dxa" w:w="3830"/>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Separates real pipeline from curiosity. An inquiry naming a blocked deal or a renewal date is worth ten that don’t.</w:t>
            </w:r>
          </w:p>
        </w:tc>
        <w:tc>
          <w:tcPr>
            <w:tcW w:type="dxa" w:w="3629"/>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Majority of inbound naming a specific trigger within two quarters.</w:t>
            </w:r>
          </w:p>
        </w:tc>
      </w:tr>
      <w:tr>
        <w:trPr>
          <w:cantSplit/>
        </w:trPr>
        <w:tc>
          <w:tcPr>
            <w:tcW w:type="dxa" w:w="262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Snapshots booked, by segment</w:t>
            </w:r>
          </w:p>
        </w:tc>
        <w:tc>
          <w:tcPr>
            <w:tcW w:type="dxa" w:w="383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The entry point to every other offer, and the only reliable test of whether the 60/25/15 split is right.</w:t>
            </w:r>
          </w:p>
        </w:tc>
        <w:tc>
          <w:tcPr>
            <w:tcW w:type="dxa" w:w="362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Distribution roughly matching the intended split. If it doesn’t, change the split — not the data.</w:t>
            </w:r>
          </w:p>
        </w:tc>
      </w:tr>
      <w:tr>
        <w:trPr>
          <w:cantSplit/>
        </w:trPr>
        <w:tc>
          <w:tcPr>
            <w:tcW w:type="dxa" w:w="262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Snapshot-to-program conversion</w:t>
            </w:r>
          </w:p>
        </w:tc>
        <w:tc>
          <w:tcPr>
            <w:tcW w:type="dxa" w:w="3830"/>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The business model rests on this. A Snapshot that never converts is a paid assessment practice, not a managed services firm.</w:t>
            </w:r>
          </w:p>
        </w:tc>
        <w:tc>
          <w:tcPr>
            <w:tcW w:type="dxa" w:w="3629"/>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Track it from the first engagement. There is no benchmark yet, which is exactly why it needs measuring now.</w:t>
            </w:r>
          </w:p>
        </w:tc>
      </w:tr>
    </w:tbl>
    <w:p>
      <w:pPr>
        <w:spacing w:after="180" w:before="0" w:line="276"/>
      </w:pPr>
      <w:r>
        <w:rPr>
          <w:rFonts w:ascii="Calibri" w:cs="Calibri" w:eastAsia="Calibri" w:hAnsi="Calibri"/>
          <w:color w:val="3D4A5A"/>
          <w:sz w:val="8"/>
          <w:szCs w:val="8"/>
        </w:rPr>
        <w:t xml:space="preserve"/>
      </w:r>
    </w:p>
    <w:tbl>
      <w:tblPr>
        <w:tblW w:type="dxa" w:w="10080"/>
        <w:tblBorders>
          <w:top w:val="none"/>
          <w:left w:val="single" w:color="A8781F" w:sz="18"/>
          <w:bottom w:val="none"/>
          <w:right w:val="none"/>
          <w:insideH w:val="none"/>
          <w:insideV w:val="none"/>
        </w:tblBorders>
      </w:tblPr>
      <w:tblGrid>
        <w:gridCol w:w="10080"/>
      </w:tblGrid>
      <w:tr>
        <w:trPr>
          <w:cantSplit/>
        </w:trPr>
        <w:tc>
          <w:tcPr>
            <w:tcW w:type="dxa" w:w="10080"/>
            <w:tcBorders>
              <w:top w:val="none"/>
              <w:left w:val="none"/>
              <w:bottom w:val="none"/>
              <w:right w:val="none"/>
            </w:tcBorders>
            <w:shd w:fill="FBF4E6" w:color="auto" w:val="clear"/>
            <w:tcMar>
              <w:top w:type="dxa" w:w="130"/>
              <w:left w:type="dxa" w:w="180"/>
              <w:bottom w:type="dxa" w:w="130"/>
              <w:right w:type="dxa" w:w="160"/>
            </w:tcMar>
          </w:tcPr>
          <w:p>
            <w:pPr>
              <w:keepNext/>
              <w:spacing w:after="60" w:before="0" w:line="260"/>
            </w:pPr>
            <w:r>
              <w:rPr>
                <w:rFonts w:ascii="Calibri" w:cs="Calibri" w:eastAsia="Calibri" w:hAnsi="Calibri"/>
                <w:b/>
                <w:bCs/>
                <w:color w:val="A8781F"/>
                <w:sz w:val="19"/>
                <w:szCs w:val="19"/>
              </w:rPr>
              <w:t xml:space="preserve">The measurement blocker</w:t>
            </w:r>
          </w:p>
          <w:p>
            <w:pPr>
              <w:spacing w:after="40" w:before="0" w:line="265"/>
            </w:pPr>
            <w:r>
              <w:rPr>
                <w:rFonts w:ascii="Calibri" w:cs="Calibri" w:eastAsia="Calibri" w:hAnsi="Calibri"/>
                <w:color w:val="3D4A5A"/>
                <w:sz w:val="19"/>
                <w:szCs w:val="19"/>
              </w:rPr>
              <w:t xml:space="preserve">None of the website-side numbers can be tracked until someone connects Search Console and Analytics and shares access. That is a fifteen-minute task and it is currently blocking the ability to say anything factual about which pages, campaigns or keywords work. Do it before the landing page ships, not after.</w:t>
            </w:r>
          </w:p>
        </w:tc>
      </w:tr>
    </w:tbl>
    <w:p>
      <w:pPr>
        <w:pStyle w:val="Heading2"/>
        <w:keepNext/>
        <w:spacing w:after="40" w:before="340"/>
      </w:pPr>
      <w:r>
        <w:rPr>
          <w:rFonts w:ascii="Calibri" w:cs="Calibri" w:eastAsia="Calibri" w:hAnsi="Calibri"/>
          <w:b/>
          <w:bCs/>
          <w:color w:val="2F86B3"/>
          <w:sz w:val="28"/>
          <w:szCs w:val="28"/>
        </w:rPr>
        <w:t xml:space="preserve">45. The capability map</w:t>
      </w:r>
    </w:p>
    <w:p>
      <w:pPr>
        <w:keepNext/>
        <w:spacing w:after="140" w:before="0" w:line="276"/>
      </w:pPr>
      <w:r>
        <w:rPr>
          <w:rFonts w:ascii="Calibri" w:cs="Calibri" w:eastAsia="Calibri" w:hAnsi="Calibri"/>
          <w:i/>
          <w:iCs/>
          <w:color w:val="6B7A8C"/>
          <w:sz w:val="19"/>
          <w:szCs w:val="19"/>
        </w:rPr>
        <w:t xml:space="preserve">Sixty-one capabilities across eight layers, scored against what 3HUE has — including what to deliberately not build.</w:t>
      </w:r>
    </w:p>
    <w:tbl>
      <w:tblPr>
        <w:tblW w:type="dxa" w:w="10080"/>
        <w:tblBorders>
          <w:top w:val="single" w:color="D3DCE6" w:sz="2"/>
          <w:left w:val="none"/>
          <w:bottom w:val="single" w:color="D3DCE6" w:sz="2"/>
          <w:right w:val="none"/>
          <w:insideH w:val="single" w:color="D3DCE6" w:sz="2"/>
          <w:insideV w:val="none"/>
        </w:tblBorders>
      </w:tblPr>
      <w:tblGrid>
        <w:gridCol w:w="2016"/>
        <w:gridCol w:w="1210"/>
        <w:gridCol w:w="6854"/>
      </w:tblGrid>
      <w:tr>
        <w:trPr>
          <w:cantSplit/>
          <w:tblHeader/>
        </w:trPr>
        <w:tc>
          <w:tcPr>
            <w:tcW w:type="dxa" w:w="2016"/>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Status</w:t>
            </w:r>
          </w:p>
        </w:tc>
        <w:tc>
          <w:tcPr>
            <w:tcW w:type="dxa" w:w="1210"/>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Count</w:t>
            </w:r>
          </w:p>
        </w:tc>
        <w:tc>
          <w:tcPr>
            <w:tcW w:type="dxa" w:w="6854"/>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Meaning</w:t>
            </w:r>
          </w:p>
        </w:tc>
      </w:tr>
      <w:tr>
        <w:trPr>
          <w:cantSplit/>
        </w:trPr>
        <w:tc>
          <w:tcPr>
            <w:tcW w:type="dxa" w:w="201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2F8562"/>
                <w:sz w:val="18"/>
                <w:szCs w:val="18"/>
              </w:rPr>
              <w:t xml:space="preserve">Have</w:t>
            </w:r>
          </w:p>
        </w:tc>
        <w:tc>
          <w:tcPr>
            <w:tcW w:type="dxa" w:w="121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center"/>
            </w:pPr>
            <w:r>
              <w:rPr>
                <w:rFonts w:ascii="Calibri" w:cs="Calibri" w:eastAsia="Calibri" w:hAnsi="Calibri"/>
                <w:color w:val="3D4A5A"/>
                <w:sz w:val="18"/>
                <w:szCs w:val="18"/>
              </w:rPr>
              <w:t xml:space="preserve">9</w:t>
            </w:r>
          </w:p>
        </w:tc>
        <w:tc>
          <w:tcPr>
            <w:tcW w:type="dxa" w:w="6854"/>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Built and documented</w:t>
            </w:r>
          </w:p>
        </w:tc>
      </w:tr>
      <w:tr>
        <w:trPr>
          <w:cantSplit/>
        </w:trPr>
        <w:tc>
          <w:tcPr>
            <w:tcW w:type="dxa" w:w="2016"/>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A8781F"/>
                <w:sz w:val="18"/>
                <w:szCs w:val="18"/>
              </w:rPr>
              <w:t xml:space="preserve">Partial</w:t>
            </w:r>
          </w:p>
        </w:tc>
        <w:tc>
          <w:tcPr>
            <w:tcW w:type="dxa" w:w="1210"/>
            <w:tcBorders>
              <w:top w:val="single" w:color="D3DCE6" w:sz="2"/>
              <w:left w:val="none"/>
              <w:bottom w:val="single" w:color="D3DCE6" w:sz="2"/>
              <w:right w:val="none"/>
            </w:tcBorders>
            <w:tcMar>
              <w:top w:type="dxa" w:w="70"/>
              <w:left w:type="dxa" w:w="100"/>
              <w:bottom w:type="dxa" w:w="70"/>
              <w:right w:type="dxa" w:w="100"/>
            </w:tcMar>
          </w:tcPr>
          <w:p>
            <w:pPr>
              <w:spacing w:after="0" w:before="0" w:line="250"/>
              <w:jc w:val="center"/>
            </w:pPr>
            <w:r>
              <w:rPr>
                <w:rFonts w:ascii="Calibri" w:cs="Calibri" w:eastAsia="Calibri" w:hAnsi="Calibri"/>
                <w:color w:val="3D4A5A"/>
                <w:sz w:val="18"/>
                <w:szCs w:val="18"/>
              </w:rPr>
              <w:t xml:space="preserve">12</w:t>
            </w:r>
          </w:p>
        </w:tc>
        <w:tc>
          <w:tcPr>
            <w:tcW w:type="dxa" w:w="6854"/>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Specified but not operating</w:t>
            </w:r>
          </w:p>
        </w:tc>
      </w:tr>
      <w:tr>
        <w:trPr>
          <w:cantSplit/>
        </w:trPr>
        <w:tc>
          <w:tcPr>
            <w:tcW w:type="dxa" w:w="201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A4462F"/>
                <w:sz w:val="18"/>
                <w:szCs w:val="18"/>
              </w:rPr>
              <w:t xml:space="preserve">Gap</w:t>
            </w:r>
          </w:p>
        </w:tc>
        <w:tc>
          <w:tcPr>
            <w:tcW w:type="dxa" w:w="121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jc w:val="center"/>
            </w:pPr>
            <w:r>
              <w:rPr>
                <w:rFonts w:ascii="Calibri" w:cs="Calibri" w:eastAsia="Calibri" w:hAnsi="Calibri"/>
                <w:color w:val="3D4A5A"/>
                <w:sz w:val="18"/>
                <w:szCs w:val="18"/>
              </w:rPr>
              <w:t xml:space="preserve">33</w:t>
            </w:r>
          </w:p>
        </w:tc>
        <w:tc>
          <w:tcPr>
            <w:tcW w:type="dxa" w:w="6854"/>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Nothing exists yet</w:t>
            </w:r>
          </w:p>
        </w:tc>
      </w:tr>
      <w:tr>
        <w:trPr>
          <w:cantSplit/>
        </w:trPr>
        <w:tc>
          <w:tcPr>
            <w:tcW w:type="dxa" w:w="2016"/>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6B7A8C"/>
                <w:sz w:val="18"/>
                <w:szCs w:val="18"/>
              </w:rPr>
              <w:t xml:space="preserve">Skip</w:t>
            </w:r>
          </w:p>
        </w:tc>
        <w:tc>
          <w:tcPr>
            <w:tcW w:type="dxa" w:w="1210"/>
            <w:tcBorders>
              <w:top w:val="single" w:color="D3DCE6" w:sz="2"/>
              <w:left w:val="none"/>
              <w:bottom w:val="single" w:color="D3DCE6" w:sz="2"/>
              <w:right w:val="none"/>
            </w:tcBorders>
            <w:tcMar>
              <w:top w:type="dxa" w:w="70"/>
              <w:left w:type="dxa" w:w="100"/>
              <w:bottom w:type="dxa" w:w="70"/>
              <w:right w:type="dxa" w:w="100"/>
            </w:tcMar>
          </w:tcPr>
          <w:p>
            <w:pPr>
              <w:spacing w:after="0" w:before="0" w:line="250"/>
              <w:jc w:val="center"/>
            </w:pPr>
            <w:r>
              <w:rPr>
                <w:rFonts w:ascii="Calibri" w:cs="Calibri" w:eastAsia="Calibri" w:hAnsi="Calibri"/>
                <w:color w:val="3D4A5A"/>
                <w:sz w:val="18"/>
                <w:szCs w:val="18"/>
              </w:rPr>
              <w:t xml:space="preserve">7</w:t>
            </w:r>
          </w:p>
        </w:tc>
        <w:tc>
          <w:tcPr>
            <w:tcW w:type="dxa" w:w="6854"/>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Deliberately out of scope</w:t>
            </w:r>
          </w:p>
        </w:tc>
      </w:tr>
    </w:tbl>
    <w:p>
      <w:pPr>
        <w:spacing w:after="180" w:before="0" w:line="276"/>
      </w:pPr>
      <w:r>
        <w:rPr>
          <w:rFonts w:ascii="Calibri" w:cs="Calibri" w:eastAsia="Calibri" w:hAnsi="Calibri"/>
          <w:color w:val="3D4A5A"/>
          <w:sz w:val="8"/>
          <w:szCs w:val="8"/>
        </w:rPr>
        <w:t xml:space="preserve"/>
      </w:r>
    </w:p>
    <w:p>
      <w:pPr>
        <w:pStyle w:val="Heading3"/>
        <w:keepNext/>
        <w:spacing w:after="80" w:before="240"/>
      </w:pPr>
      <w:r>
        <w:rPr>
          <w:rFonts w:ascii="Calibri" w:cs="Calibri" w:eastAsia="Calibri" w:hAnsi="Calibri"/>
          <w:b/>
          <w:bCs/>
          <w:color w:val="14202E"/>
          <w:sz w:val="22"/>
          <w:szCs w:val="22"/>
        </w:rPr>
        <w:t xml:space="preserve">45.1  The three that actually matter</w:t>
      </w:r>
    </w:p>
    <w:p>
      <w:pPr>
        <w:spacing w:after="120" w:before="0" w:line="276"/>
      </w:pPr>
      <w:r>
        <w:rPr>
          <w:rFonts w:ascii="Calibri" w:cs="Calibri" w:eastAsia="Calibri" w:hAnsi="Calibri"/>
          <w:color w:val="3D4A5A"/>
          <w:sz w:val="20"/>
          <w:szCs w:val="20"/>
        </w:rPr>
        <w:t xml:space="preserve">Out of the gaps, three are structural rather than cosmetic — they undermine the strategy rather than merely leaving it incomplete. Everything else can wait a quarter.</w:t>
      </w:r>
    </w:p>
    <w:tbl>
      <w:tblPr>
        <w:tblW w:type="dxa" w:w="10080"/>
        <w:tblBorders>
          <w:top w:val="none"/>
          <w:left w:val="single" w:color="A4462F" w:sz="18"/>
          <w:bottom w:val="none"/>
          <w:right w:val="none"/>
          <w:insideH w:val="none"/>
          <w:insideV w:val="none"/>
        </w:tblBorders>
      </w:tblPr>
      <w:tblGrid>
        <w:gridCol w:w="10080"/>
      </w:tblGrid>
      <w:tr>
        <w:trPr>
          <w:cantSplit/>
        </w:trPr>
        <w:tc>
          <w:tcPr>
            <w:tcW w:type="dxa" w:w="10080"/>
            <w:tcBorders>
              <w:top w:val="none"/>
              <w:left w:val="none"/>
              <w:bottom w:val="none"/>
              <w:right w:val="none"/>
            </w:tcBorders>
            <w:shd w:fill="FBEEEA" w:color="auto" w:val="clear"/>
            <w:tcMar>
              <w:top w:type="dxa" w:w="130"/>
              <w:left w:type="dxa" w:w="180"/>
              <w:bottom w:type="dxa" w:w="130"/>
              <w:right w:type="dxa" w:w="160"/>
            </w:tcMar>
          </w:tcPr>
          <w:p>
            <w:pPr>
              <w:keepNext/>
              <w:spacing w:after="60" w:before="0" w:line="260"/>
            </w:pPr>
            <w:r>
              <w:rPr>
                <w:rFonts w:ascii="Calibri" w:cs="Calibri" w:eastAsia="Calibri" w:hAnsi="Calibri"/>
                <w:b/>
                <w:bCs/>
                <w:color w:val="A4462F"/>
                <w:sz w:val="19"/>
                <w:szCs w:val="19"/>
              </w:rPr>
              <w:t xml:space="preserve">1. There is nothing holding the prospects who aren’t ready yet</w:t>
            </w:r>
          </w:p>
          <w:p>
            <w:pPr>
              <w:spacing w:after="40" w:before="0" w:line="265"/>
            </w:pPr>
            <w:r>
              <w:rPr>
                <w:rFonts w:ascii="Calibri" w:cs="Calibri" w:eastAsia="Calibri" w:hAnsi="Calibri"/>
                <w:color w:val="3D4A5A"/>
                <w:sz w:val="19"/>
                <w:szCs w:val="19"/>
              </w:rPr>
              <w:t xml:space="preserve">The whole thesis is that organizations buy at a trigger, and the fit model correctly says a prospect without one is a Tier C. But that means at any given moment most of the ICP is unqualified — and today they are declined and lost. The trigger for a company that isn’t ready today will fire in six to eighteen months. Whether 3HUE is the call they make depends entirely on having stayed present in a way nobody has built. Qualifying out is only smart if something catches the people you qualified out.</w:t>
            </w:r>
          </w:p>
        </w:tc>
      </w:tr>
    </w:tbl>
    <w:tbl>
      <w:tblPr>
        <w:tblW w:type="dxa" w:w="10080"/>
        <w:tblBorders>
          <w:top w:val="none"/>
          <w:left w:val="single" w:color="A4462F" w:sz="18"/>
          <w:bottom w:val="none"/>
          <w:right w:val="none"/>
          <w:insideH w:val="none"/>
          <w:insideV w:val="none"/>
        </w:tblBorders>
      </w:tblPr>
      <w:tblGrid>
        <w:gridCol w:w="10080"/>
      </w:tblGrid>
      <w:tr>
        <w:trPr>
          <w:cantSplit/>
        </w:trPr>
        <w:tc>
          <w:tcPr>
            <w:tcW w:type="dxa" w:w="10080"/>
            <w:tcBorders>
              <w:top w:val="none"/>
              <w:left w:val="none"/>
              <w:bottom w:val="none"/>
              <w:right w:val="none"/>
            </w:tcBorders>
            <w:shd w:fill="FBEEEA" w:color="auto" w:val="clear"/>
            <w:tcMar>
              <w:top w:type="dxa" w:w="130"/>
              <w:left w:type="dxa" w:w="180"/>
              <w:bottom w:type="dxa" w:w="130"/>
              <w:right w:type="dxa" w:w="160"/>
            </w:tcMar>
          </w:tcPr>
          <w:p>
            <w:pPr>
              <w:keepNext/>
              <w:spacing w:after="60" w:before="0" w:line="260"/>
            </w:pPr>
            <w:r>
              <w:rPr>
                <w:rFonts w:ascii="Calibri" w:cs="Calibri" w:eastAsia="Calibri" w:hAnsi="Calibri"/>
                <w:b/>
                <w:bCs/>
                <w:color w:val="A4462F"/>
                <w:sz w:val="19"/>
                <w:szCs w:val="19"/>
              </w:rPr>
              <w:t xml:space="preserve">2. There is no narrative pitch deck</w:t>
            </w:r>
          </w:p>
          <w:p>
            <w:pPr>
              <w:spacing w:after="40" w:before="0" w:line="265"/>
            </w:pPr>
            <w:r>
              <w:rPr>
                <w:rFonts w:ascii="Calibri" w:cs="Calibri" w:eastAsia="Calibri" w:hAnsi="Calibri"/>
                <w:color w:val="3D4A5A"/>
                <w:sz w:val="19"/>
                <w:szCs w:val="19"/>
              </w:rPr>
              <w:t xml:space="preserve">The single most-used asset in a consulting firm, and it does not exist as a template or an approved narrative. Every pitch is currently rebuilt from memory, which means the argument that took all this work to settle is re-invented — slightly differently — on every call. It is also the cheapest thing on the list to fix now that the messaging is written.</w:t>
            </w:r>
          </w:p>
        </w:tc>
      </w:tr>
    </w:tbl>
    <w:tbl>
      <w:tblPr>
        <w:tblW w:type="dxa" w:w="10080"/>
        <w:tblBorders>
          <w:top w:val="none"/>
          <w:left w:val="single" w:color="A4462F" w:sz="18"/>
          <w:bottom w:val="none"/>
          <w:right w:val="none"/>
          <w:insideH w:val="none"/>
          <w:insideV w:val="none"/>
        </w:tblBorders>
      </w:tblPr>
      <w:tblGrid>
        <w:gridCol w:w="10080"/>
      </w:tblGrid>
      <w:tr>
        <w:trPr>
          <w:cantSplit/>
        </w:trPr>
        <w:tc>
          <w:tcPr>
            <w:tcW w:type="dxa" w:w="10080"/>
            <w:tcBorders>
              <w:top w:val="none"/>
              <w:left w:val="none"/>
              <w:bottom w:val="none"/>
              <w:right w:val="none"/>
            </w:tcBorders>
            <w:shd w:fill="FBEEEA" w:color="auto" w:val="clear"/>
            <w:tcMar>
              <w:top w:type="dxa" w:w="130"/>
              <w:left w:type="dxa" w:w="180"/>
              <w:bottom w:type="dxa" w:w="130"/>
              <w:right w:type="dxa" w:w="160"/>
            </w:tcMar>
          </w:tcPr>
          <w:p>
            <w:pPr>
              <w:keepNext/>
              <w:spacing w:after="60" w:before="0" w:line="260"/>
            </w:pPr>
            <w:r>
              <w:rPr>
                <w:rFonts w:ascii="Calibri" w:cs="Calibri" w:eastAsia="Calibri" w:hAnsi="Calibri"/>
                <w:b/>
                <w:bCs/>
                <w:color w:val="A4462F"/>
                <w:sz w:val="19"/>
                <w:szCs w:val="19"/>
              </w:rPr>
              <w:t xml:space="preserve">3. The expansion motion is undefined, and it is the business model</w:t>
            </w:r>
          </w:p>
          <w:p>
            <w:pPr>
              <w:spacing w:after="40" w:before="0" w:line="265"/>
            </w:pPr>
            <w:r>
              <w:rPr>
                <w:rFonts w:ascii="Calibri" w:cs="Calibri" w:eastAsia="Calibri" w:hAnsi="Calibri"/>
                <w:color w:val="3D4A5A"/>
                <w:sz w:val="19"/>
                <w:szCs w:val="19"/>
              </w:rPr>
              <w:t xml:space="preserve">The Snapshot is the entry point to every other offer. Nothing defines how a Snapshot becomes a managed program — no handoff, no timing, no proposal moment, no measured conversion rate. Without it, 3HUE is a paid assessment practice with a good pipeline rather than a managed services firm with an annuity.</w:t>
            </w:r>
          </w:p>
        </w:tc>
      </w:tr>
    </w:tbl>
    <w:p>
      <w:pPr>
        <w:spacing w:after="160" w:before="0" w:line="276"/>
      </w:pPr>
      <w:r>
        <w:rPr>
          <w:rFonts w:ascii="Calibri" w:cs="Calibri" w:eastAsia="Calibri" w:hAnsi="Calibri"/>
          <w:i/>
          <w:iCs/>
          <w:color w:val="6B7A8C"/>
          <w:sz w:val="16"/>
          <w:szCs w:val="16"/>
        </w:rPr>
        <w:t xml:space="preserve">Two runners-up worth naming: AiVRIC publishes MSP partner tiers and a white-label motion with no channel marketing behind it — an entire revenue line with no demand program, in a year when two-thirds of MSPs are trying to add exactly this capability. And the outreach sequence needs CAN-SPAM handling, plus GDPR or CASL if any prospect sits in the EU, UK or Canada. A firm that sells compliance sending non-compliant cold email is a story that writes itself.</w:t>
      </w:r>
    </w:p>
    <w:p>
      <w:pPr>
        <w:pStyle w:val="Heading3"/>
        <w:keepNext/>
        <w:spacing w:after="80" w:before="240"/>
      </w:pPr>
      <w:r>
        <w:rPr>
          <w:rFonts w:ascii="Calibri" w:cs="Calibri" w:eastAsia="Calibri" w:hAnsi="Calibri"/>
          <w:b/>
          <w:bCs/>
          <w:color w:val="14202E"/>
          <w:sz w:val="22"/>
          <w:szCs w:val="22"/>
        </w:rPr>
        <w:t xml:space="preserve">45.2  The full map</w:t>
      </w:r>
    </w:p>
    <w:tbl>
      <w:tblPr>
        <w:tblW w:type="dxa" w:w="10080"/>
        <w:tblBorders>
          <w:top w:val="single" w:color="D3DCE6" w:sz="2"/>
          <w:left w:val="none"/>
          <w:bottom w:val="single" w:color="D3DCE6" w:sz="2"/>
          <w:right w:val="none"/>
          <w:insideH w:val="single" w:color="D3DCE6" w:sz="2"/>
          <w:insideV w:val="none"/>
        </w:tblBorders>
      </w:tblPr>
      <w:tblGrid>
        <w:gridCol w:w="1613"/>
        <w:gridCol w:w="2419"/>
        <w:gridCol w:w="1411"/>
        <w:gridCol w:w="4637"/>
      </w:tblGrid>
      <w:tr>
        <w:trPr>
          <w:cantSplit/>
          <w:tblHeader/>
        </w:trPr>
        <w:tc>
          <w:tcPr>
            <w:tcW w:type="dxa" w:w="1613"/>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Layer</w:t>
            </w:r>
          </w:p>
        </w:tc>
        <w:tc>
          <w:tcPr>
            <w:tcW w:type="dxa" w:w="2419"/>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Capability</w:t>
            </w:r>
          </w:p>
        </w:tc>
        <w:tc>
          <w:tcPr>
            <w:tcW w:type="dxa" w:w="1411"/>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Status</w:t>
            </w:r>
          </w:p>
        </w:tc>
        <w:tc>
          <w:tcPr>
            <w:tcW w:type="dxa" w:w="4637"/>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Note</w:t>
            </w:r>
          </w:p>
        </w:tc>
      </w:tr>
      <w:tr>
        <w:trPr>
          <w:cantSplit/>
        </w:trPr>
        <w:tc>
          <w:tcPr>
            <w:tcW w:type="dxa" w:w="1613"/>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2F86B3"/>
                <w:sz w:val="18"/>
                <w:szCs w:val="18"/>
              </w:rPr>
              <w:t xml:space="preserve">Strategy &amp; planning</w:t>
            </w:r>
          </w:p>
        </w:tc>
        <w:tc>
          <w:tcPr>
            <w:tcW w:type="dxa" w:w="241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ICP &amp; segmentation</w:t>
            </w:r>
          </w:p>
        </w:tc>
        <w:tc>
          <w:tcPr>
            <w:tcW w:type="dxa" w:w="141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val="false"/>
                <w:bCs w:val="false"/>
                <w:color w:val="2F8562"/>
                <w:sz w:val="18"/>
                <w:szCs w:val="18"/>
              </w:rPr>
              <w:t xml:space="preserve">Have</w:t>
            </w:r>
          </w:p>
        </w:tc>
        <w:tc>
          <w:tcPr>
            <w:tcW w:type="dxa" w:w="4637"/>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Three ranked segments, 100-point fit model, personas, disqualifiers.</w:t>
            </w:r>
          </w:p>
        </w:tc>
      </w:tr>
      <w:tr>
        <w:trPr>
          <w:cantSplit/>
        </w:trPr>
        <w:tc>
          <w:tcPr>
            <w:tcW w:type="dxa" w:w="1613"/>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2F86B3"/>
                <w:sz w:val="18"/>
                <w:szCs w:val="18"/>
              </w:rPr>
              <w:t xml:space="preserve"/>
            </w:r>
          </w:p>
        </w:tc>
        <w:tc>
          <w:tcPr>
            <w:tcW w:type="dxa" w:w="2419"/>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Claims substantiation discipline</w:t>
            </w:r>
          </w:p>
        </w:tc>
        <w:tc>
          <w:tcPr>
            <w:tcW w:type="dxa" w:w="141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val="false"/>
                <w:bCs w:val="false"/>
                <w:color w:val="2F8562"/>
                <w:sz w:val="18"/>
                <w:szCs w:val="18"/>
              </w:rPr>
              <w:t xml:space="preserve">Have</w:t>
            </w:r>
          </w:p>
        </w:tc>
        <w:tc>
          <w:tcPr>
            <w:tcW w:type="dxa" w:w="4637"/>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Genuinely rare — most enterprise teams do not have this and get burned by it.</w:t>
            </w:r>
          </w:p>
        </w:tc>
      </w:tr>
      <w:tr>
        <w:trPr>
          <w:cantSplit/>
        </w:trPr>
        <w:tc>
          <w:tcPr>
            <w:tcW w:type="dxa" w:w="1613"/>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2F86B3"/>
                <w:sz w:val="18"/>
                <w:szCs w:val="18"/>
              </w:rPr>
              <w:t xml:space="preserve"/>
            </w:r>
          </w:p>
        </w:tc>
        <w:tc>
          <w:tcPr>
            <w:tcW w:type="dxa" w:w="241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Competitive intelligence</w:t>
            </w:r>
          </w:p>
        </w:tc>
        <w:tc>
          <w:tcPr>
            <w:tcW w:type="dxa" w:w="141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val="false"/>
                <w:bCs w:val="false"/>
                <w:color w:val="A8781F"/>
                <w:sz w:val="18"/>
                <w:szCs w:val="18"/>
              </w:rPr>
              <w:t xml:space="preserve">Partial · Next</w:t>
            </w:r>
          </w:p>
        </w:tc>
        <w:tc>
          <w:tcPr>
            <w:tcW w:type="dxa" w:w="4637"/>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Four battlecards exist. No ongoing programme — no pricing intel, no tracked wins and losses.</w:t>
            </w:r>
          </w:p>
        </w:tc>
      </w:tr>
      <w:tr>
        <w:trPr>
          <w:cantSplit/>
        </w:trPr>
        <w:tc>
          <w:tcPr>
            <w:tcW w:type="dxa" w:w="1613"/>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2F86B3"/>
                <w:sz w:val="18"/>
                <w:szCs w:val="18"/>
              </w:rPr>
              <w:t xml:space="preserve"/>
            </w:r>
          </w:p>
        </w:tc>
        <w:tc>
          <w:tcPr>
            <w:tcW w:type="dxa" w:w="2419"/>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Market definition &amp; sizing</w:t>
            </w:r>
          </w:p>
        </w:tc>
        <w:tc>
          <w:tcPr>
            <w:tcW w:type="dxa" w:w="141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val="false"/>
                <w:bCs w:val="false"/>
                <w:color w:val="A8781F"/>
                <w:sz w:val="18"/>
                <w:szCs w:val="18"/>
              </w:rPr>
              <w:t xml:space="preserve">Partial · Later</w:t>
            </w:r>
          </w:p>
        </w:tc>
        <w:tc>
          <w:tcPr>
            <w:tcW w:type="dxa" w:w="4637"/>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Category-level data exists. No TAM/SAM/SOM for the actual territory, needed before any budget conversation.</w:t>
            </w:r>
          </w:p>
        </w:tc>
      </w:tr>
      <w:tr>
        <w:trPr>
          <w:cantSplit/>
        </w:trPr>
        <w:tc>
          <w:tcPr>
            <w:tcW w:type="dxa" w:w="1613"/>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2F86B3"/>
                <w:sz w:val="18"/>
                <w:szCs w:val="18"/>
              </w:rPr>
              <w:t xml:space="preserve"/>
            </w:r>
          </w:p>
        </w:tc>
        <w:tc>
          <w:tcPr>
            <w:tcW w:type="dxa" w:w="241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Buyer journey map</w:t>
            </w:r>
          </w:p>
        </w:tc>
        <w:tc>
          <w:tcPr>
            <w:tcW w:type="dxa" w:w="141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val="false"/>
                <w:bCs w:val="false"/>
                <w:color w:val="A4462F"/>
                <w:sz w:val="18"/>
                <w:szCs w:val="18"/>
              </w:rPr>
              <w:t xml:space="preserve">Gap · Next</w:t>
            </w:r>
          </w:p>
        </w:tc>
        <w:tc>
          <w:tcPr>
            <w:tcW w:type="dxa" w:w="4637"/>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Triggers and personas exist but are not mapped to stages with content assigned.</w:t>
            </w:r>
          </w:p>
        </w:tc>
      </w:tr>
      <w:tr>
        <w:trPr>
          <w:cantSplit/>
        </w:trPr>
        <w:tc>
          <w:tcPr>
            <w:tcW w:type="dxa" w:w="1613"/>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2F86B3"/>
                <w:sz w:val="18"/>
                <w:szCs w:val="18"/>
              </w:rPr>
              <w:t xml:space="preserve"/>
            </w:r>
          </w:p>
        </w:tc>
        <w:tc>
          <w:tcPr>
            <w:tcW w:type="dxa" w:w="2419"/>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Win/loss programme</w:t>
            </w:r>
          </w:p>
        </w:tc>
        <w:tc>
          <w:tcPr>
            <w:tcW w:type="dxa" w:w="141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A4462F"/>
                <w:sz w:val="18"/>
                <w:szCs w:val="18"/>
              </w:rPr>
              <w:t xml:space="preserve">Gap · DO FIRST</w:t>
            </w:r>
          </w:p>
        </w:tc>
        <w:tc>
          <w:tcPr>
            <w:tcW w:type="dxa" w:w="4637"/>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Nothing. Blocks validating the fit model, and it is the highest-value data 3HUE could start generating this week at zero cost.</w:t>
            </w:r>
          </w:p>
        </w:tc>
      </w:tr>
      <w:tr>
        <w:trPr>
          <w:cantSplit/>
        </w:trPr>
        <w:tc>
          <w:tcPr>
            <w:tcW w:type="dxa" w:w="1613"/>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2F86B3"/>
                <w:sz w:val="18"/>
                <w:szCs w:val="18"/>
              </w:rPr>
              <w:t xml:space="preserve"/>
            </w:r>
          </w:p>
        </w:tc>
        <w:tc>
          <w:tcPr>
            <w:tcW w:type="dxa" w:w="241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Annual plan &amp; quarterly OKRs</w:t>
            </w:r>
          </w:p>
        </w:tc>
        <w:tc>
          <w:tcPr>
            <w:tcW w:type="dxa" w:w="141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val="false"/>
                <w:bCs w:val="false"/>
                <w:color w:val="A4462F"/>
                <w:sz w:val="18"/>
                <w:szCs w:val="18"/>
              </w:rPr>
              <w:t xml:space="preserve">Gap · Later</w:t>
            </w:r>
          </w:p>
        </w:tc>
        <w:tc>
          <w:tcPr>
            <w:tcW w:type="dxa" w:w="4637"/>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Reasonable to run without for a quarter. Not for a year.</w:t>
            </w:r>
          </w:p>
        </w:tc>
      </w:tr>
      <w:tr>
        <w:trPr>
          <w:cantSplit/>
        </w:trPr>
        <w:tc>
          <w:tcPr>
            <w:tcW w:type="dxa" w:w="1613"/>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2F86B3"/>
                <w:sz w:val="18"/>
                <w:szCs w:val="18"/>
              </w:rPr>
              <w:t xml:space="preserve"/>
            </w:r>
          </w:p>
        </w:tc>
        <w:tc>
          <w:tcPr>
            <w:tcW w:type="dxa" w:w="2419"/>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Marketing budget model</w:t>
            </w:r>
          </w:p>
        </w:tc>
        <w:tc>
          <w:tcPr>
            <w:tcW w:type="dxa" w:w="141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val="false"/>
                <w:bCs w:val="false"/>
                <w:color w:val="A4462F"/>
                <w:sz w:val="18"/>
                <w:szCs w:val="18"/>
              </w:rPr>
              <w:t xml:space="preserve">Gap · Later</w:t>
            </w:r>
          </w:p>
        </w:tc>
        <w:tc>
          <w:tcPr>
            <w:tcW w:type="dxa" w:w="4637"/>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Needed once paid media starts. Not before.</w:t>
            </w:r>
          </w:p>
        </w:tc>
      </w:tr>
      <w:tr>
        <w:trPr>
          <w:cantSplit/>
        </w:trPr>
        <w:tc>
          <w:tcPr>
            <w:tcW w:type="dxa" w:w="1613"/>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2F86B3"/>
                <w:sz w:val="18"/>
                <w:szCs w:val="18"/>
              </w:rPr>
              <w:t xml:space="preserve"/>
            </w:r>
          </w:p>
        </w:tc>
        <w:tc>
          <w:tcPr>
            <w:tcW w:type="dxa" w:w="241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Category design</w:t>
            </w:r>
          </w:p>
        </w:tc>
        <w:tc>
          <w:tcPr>
            <w:tcW w:type="dxa" w:w="141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val="false"/>
                <w:bCs w:val="false"/>
                <w:color w:val="6B7A8C"/>
                <w:sz w:val="18"/>
                <w:szCs w:val="18"/>
              </w:rPr>
              <w:t xml:space="preserve">Skip</w:t>
            </w:r>
          </w:p>
        </w:tc>
        <w:tc>
          <w:tcPr>
            <w:tcW w:type="dxa" w:w="4637"/>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An enterprise play requiring years and millions. 3HUE competes in an existing category.</w:t>
            </w:r>
          </w:p>
        </w:tc>
      </w:tr>
      <w:tr>
        <w:trPr>
          <w:cantSplit/>
        </w:trPr>
        <w:tc>
          <w:tcPr>
            <w:tcW w:type="dxa" w:w="1613"/>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2F86B3"/>
                <w:sz w:val="18"/>
                <w:szCs w:val="18"/>
              </w:rPr>
              <w:t xml:space="preserve">Brand</w:t>
            </w:r>
          </w:p>
        </w:tc>
        <w:tc>
          <w:tcPr>
            <w:tcW w:type="dxa" w:w="2419"/>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Visual identity system</w:t>
            </w:r>
          </w:p>
        </w:tc>
        <w:tc>
          <w:tcPr>
            <w:tcW w:type="dxa" w:w="141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val="false"/>
                <w:bCs w:val="false"/>
                <w:color w:val="2F8562"/>
                <w:sz w:val="18"/>
                <w:szCs w:val="18"/>
              </w:rPr>
              <w:t xml:space="preserve">Have</w:t>
            </w:r>
          </w:p>
        </w:tc>
        <w:tc>
          <w:tcPr>
            <w:tcW w:type="dxa" w:w="4637"/>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Logo system, colour with contrast analysis, type, UI tokens.</w:t>
            </w:r>
          </w:p>
        </w:tc>
      </w:tr>
      <w:tr>
        <w:trPr>
          <w:cantSplit/>
        </w:trPr>
        <w:tc>
          <w:tcPr>
            <w:tcW w:type="dxa" w:w="1613"/>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2F86B3"/>
                <w:sz w:val="18"/>
                <w:szCs w:val="18"/>
              </w:rPr>
              <w:t xml:space="preserve"/>
            </w:r>
          </w:p>
        </w:tc>
        <w:tc>
          <w:tcPr>
            <w:tcW w:type="dxa" w:w="241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Verbal identity &amp; naming</w:t>
            </w:r>
          </w:p>
        </w:tc>
        <w:tc>
          <w:tcPr>
            <w:tcW w:type="dxa" w:w="141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val="false"/>
                <w:bCs w:val="false"/>
                <w:color w:val="2F8562"/>
                <w:sz w:val="18"/>
                <w:szCs w:val="18"/>
              </w:rPr>
              <w:t xml:space="preserve">Have</w:t>
            </w:r>
          </w:p>
        </w:tc>
        <w:tc>
          <w:tcPr>
            <w:tcW w:type="dxa" w:w="4637"/>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Voice attributes, tone by context, naming conventions.</w:t>
            </w:r>
          </w:p>
        </w:tc>
      </w:tr>
      <w:tr>
        <w:trPr>
          <w:cantSplit/>
        </w:trPr>
        <w:tc>
          <w:tcPr>
            <w:tcW w:type="dxa" w:w="1613"/>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2F86B3"/>
                <w:sz w:val="18"/>
                <w:szCs w:val="18"/>
              </w:rPr>
              <w:t xml:space="preserve"/>
            </w:r>
          </w:p>
        </w:tc>
        <w:tc>
          <w:tcPr>
            <w:tcW w:type="dxa" w:w="2419"/>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Usage rules</w:t>
            </w:r>
          </w:p>
        </w:tc>
        <w:tc>
          <w:tcPr>
            <w:tcW w:type="dxa" w:w="141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val="false"/>
                <w:bCs w:val="false"/>
                <w:color w:val="2F8562"/>
                <w:sz w:val="18"/>
                <w:szCs w:val="18"/>
              </w:rPr>
              <w:t xml:space="preserve">Have</w:t>
            </w:r>
          </w:p>
        </w:tc>
        <w:tc>
          <w:tcPr>
            <w:tcW w:type="dxa" w:w="4637"/>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Clear space, minimum sizes, backgrounds, co-branding, don’ts.</w:t>
            </w:r>
          </w:p>
        </w:tc>
      </w:tr>
      <w:tr>
        <w:trPr>
          <w:cantSplit/>
        </w:trPr>
        <w:tc>
          <w:tcPr>
            <w:tcW w:type="dxa" w:w="1613"/>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2F86B3"/>
                <w:sz w:val="18"/>
                <w:szCs w:val="18"/>
              </w:rPr>
              <w:t xml:space="preserve"/>
            </w:r>
          </w:p>
        </w:tc>
        <w:tc>
          <w:tcPr>
            <w:tcW w:type="dxa" w:w="241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Asset library</w:t>
            </w:r>
          </w:p>
        </w:tc>
        <w:tc>
          <w:tcPr>
            <w:tcW w:type="dxa" w:w="141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val="false"/>
                <w:bCs w:val="false"/>
                <w:color w:val="A4462F"/>
                <w:sz w:val="18"/>
                <w:szCs w:val="18"/>
              </w:rPr>
              <w:t xml:space="preserve">Gap · Next</w:t>
            </w:r>
          </w:p>
        </w:tc>
        <w:tc>
          <w:tcPr>
            <w:tcW w:type="dxa" w:w="4637"/>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No single source of truth for logo files, templates or imagery. A shared drive with a folder convention is enough — do not buy a DAM.</w:t>
            </w:r>
          </w:p>
        </w:tc>
      </w:tr>
      <w:tr>
        <w:trPr>
          <w:cantSplit/>
        </w:trPr>
        <w:tc>
          <w:tcPr>
            <w:tcW w:type="dxa" w:w="1613"/>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2F86B3"/>
                <w:sz w:val="18"/>
                <w:szCs w:val="18"/>
              </w:rPr>
              <w:t xml:space="preserve"/>
            </w:r>
          </w:p>
        </w:tc>
        <w:tc>
          <w:tcPr>
            <w:tcW w:type="dxa" w:w="2419"/>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Templates: deck, proposal, doc, social, signature</w:t>
            </w:r>
          </w:p>
        </w:tc>
        <w:tc>
          <w:tcPr>
            <w:tcW w:type="dxa" w:w="141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A4462F"/>
                <w:sz w:val="18"/>
                <w:szCs w:val="18"/>
              </w:rPr>
              <w:t xml:space="preserve">Gap · DO FIRST</w:t>
            </w:r>
          </w:p>
        </w:tc>
        <w:tc>
          <w:tcPr>
            <w:tcW w:type="dxa" w:w="4637"/>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Inventoried, none built. The slide template is the highest-frequency branded surface a consulting firm has.</w:t>
            </w:r>
          </w:p>
        </w:tc>
      </w:tr>
      <w:tr>
        <w:trPr>
          <w:cantSplit/>
        </w:trPr>
        <w:tc>
          <w:tcPr>
            <w:tcW w:type="dxa" w:w="1613"/>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2F86B3"/>
                <w:sz w:val="18"/>
                <w:szCs w:val="18"/>
              </w:rPr>
              <w:t xml:space="preserve"/>
            </w:r>
          </w:p>
        </w:tc>
        <w:tc>
          <w:tcPr>
            <w:tcW w:type="dxa" w:w="241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Trademark register</w:t>
            </w:r>
          </w:p>
        </w:tc>
        <w:tc>
          <w:tcPr>
            <w:tcW w:type="dxa" w:w="141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val="false"/>
                <w:bCs w:val="false"/>
                <w:color w:val="A8781F"/>
                <w:sz w:val="18"/>
                <w:szCs w:val="18"/>
              </w:rPr>
              <w:t xml:space="preserve">Partial · Later</w:t>
            </w:r>
          </w:p>
        </w:tc>
        <w:tc>
          <w:tcPr>
            <w:tcW w:type="dxa" w:w="4637"/>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Five AiVRIC product names carry ™, which is legal without registration. Confirm whether registration is intended.</w:t>
            </w:r>
          </w:p>
        </w:tc>
      </w:tr>
      <w:tr>
        <w:trPr>
          <w:cantSplit/>
        </w:trPr>
        <w:tc>
          <w:tcPr>
            <w:tcW w:type="dxa" w:w="1613"/>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2F86B3"/>
                <w:sz w:val="18"/>
                <w:szCs w:val="18"/>
              </w:rPr>
              <w:t xml:space="preserve"/>
            </w:r>
          </w:p>
        </w:tc>
        <w:tc>
          <w:tcPr>
            <w:tcW w:type="dxa" w:w="2419"/>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Brand governance &amp; approvals</w:t>
            </w:r>
          </w:p>
        </w:tc>
        <w:tc>
          <w:tcPr>
            <w:tcW w:type="dxa" w:w="141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val="false"/>
                <w:bCs w:val="false"/>
                <w:color w:val="6B7A8C"/>
                <w:sz w:val="18"/>
                <w:szCs w:val="18"/>
              </w:rPr>
              <w:t xml:space="preserve">Skip</w:t>
            </w:r>
          </w:p>
        </w:tc>
        <w:tc>
          <w:tcPr>
            <w:tcW w:type="dxa" w:w="4637"/>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At this headcount the approval process is Andrew reading it.</w:t>
            </w:r>
          </w:p>
        </w:tc>
      </w:tr>
      <w:tr>
        <w:trPr>
          <w:cantSplit/>
        </w:trPr>
        <w:tc>
          <w:tcPr>
            <w:tcW w:type="dxa" w:w="1613"/>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2F86B3"/>
                <w:sz w:val="18"/>
                <w:szCs w:val="18"/>
              </w:rPr>
              <w:t xml:space="preserve"/>
            </w:r>
          </w:p>
        </w:tc>
        <w:tc>
          <w:tcPr>
            <w:tcW w:type="dxa" w:w="241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Brand purpose / values exercise</w:t>
            </w:r>
          </w:p>
        </w:tc>
        <w:tc>
          <w:tcPr>
            <w:tcW w:type="dxa" w:w="141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val="false"/>
                <w:bCs w:val="false"/>
                <w:color w:val="6B7A8C"/>
                <w:sz w:val="18"/>
                <w:szCs w:val="18"/>
              </w:rPr>
              <w:t xml:space="preserve">Skip</w:t>
            </w:r>
          </w:p>
        </w:tc>
        <w:tc>
          <w:tcPr>
            <w:tcW w:type="dxa" w:w="4637"/>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A workshop industry. The voice work does the useful part.</w:t>
            </w:r>
          </w:p>
        </w:tc>
      </w:tr>
      <w:tr>
        <w:trPr>
          <w:cantSplit/>
        </w:trPr>
        <w:tc>
          <w:tcPr>
            <w:tcW w:type="dxa" w:w="1613"/>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2F86B3"/>
                <w:sz w:val="18"/>
                <w:szCs w:val="18"/>
              </w:rPr>
              <w:t xml:space="preserve">Messaging &amp; content</w:t>
            </w:r>
          </w:p>
        </w:tc>
        <w:tc>
          <w:tcPr>
            <w:tcW w:type="dxa" w:w="2419"/>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Messaging framework</w:t>
            </w:r>
          </w:p>
        </w:tc>
        <w:tc>
          <w:tcPr>
            <w:tcW w:type="dxa" w:w="141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val="false"/>
                <w:bCs w:val="false"/>
                <w:color w:val="2F8562"/>
                <w:sz w:val="18"/>
                <w:szCs w:val="18"/>
              </w:rPr>
              <w:t xml:space="preserve">Have</w:t>
            </w:r>
          </w:p>
        </w:tc>
        <w:tc>
          <w:tcPr>
            <w:tcW w:type="dxa" w:w="4637"/>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Narrative, positioning, pillars, per-segment messaging, objections, battlecards, boilerplate.</w:t>
            </w:r>
          </w:p>
        </w:tc>
      </w:tr>
      <w:tr>
        <w:trPr>
          <w:cantSplit/>
        </w:trPr>
        <w:tc>
          <w:tcPr>
            <w:tcW w:type="dxa" w:w="1613"/>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2F86B3"/>
                <w:sz w:val="18"/>
                <w:szCs w:val="18"/>
              </w:rPr>
              <w:t xml:space="preserve"/>
            </w:r>
          </w:p>
        </w:tc>
        <w:tc>
          <w:tcPr>
            <w:tcW w:type="dxa" w:w="241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Content strategy &amp; calendar</w:t>
            </w:r>
          </w:p>
        </w:tc>
        <w:tc>
          <w:tcPr>
            <w:tcW w:type="dxa" w:w="141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val="false"/>
                <w:bCs w:val="false"/>
                <w:color w:val="A8781F"/>
                <w:sz w:val="18"/>
                <w:szCs w:val="18"/>
              </w:rPr>
              <w:t xml:space="preserve">Partial · Next</w:t>
            </w:r>
          </w:p>
        </w:tc>
        <w:tc>
          <w:tcPr>
            <w:tcW w:type="dxa" w:w="4637"/>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A six-post pilot series exists. That is a test, not a strategy.</w:t>
            </w:r>
          </w:p>
        </w:tc>
      </w:tr>
      <w:tr>
        <w:trPr>
          <w:cantSplit/>
        </w:trPr>
        <w:tc>
          <w:tcPr>
            <w:tcW w:type="dxa" w:w="1613"/>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2F86B3"/>
                <w:sz w:val="18"/>
                <w:szCs w:val="18"/>
              </w:rPr>
              <w:t xml:space="preserve"/>
            </w:r>
          </w:p>
        </w:tc>
        <w:tc>
          <w:tcPr>
            <w:tcW w:type="dxa" w:w="2419"/>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SEO keyword map</w:t>
            </w:r>
          </w:p>
        </w:tc>
        <w:tc>
          <w:tcPr>
            <w:tcW w:type="dxa" w:w="141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A4462F"/>
                <w:sz w:val="18"/>
                <w:szCs w:val="18"/>
              </w:rPr>
              <w:t xml:space="preserve">Partial · DO FIRST</w:t>
            </w:r>
          </w:p>
        </w:tc>
        <w:tc>
          <w:tcPr>
            <w:tcW w:type="dxa" w:w="4637"/>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Now built (Part V). Execution has not started, and the technical faults block it.</w:t>
            </w:r>
          </w:p>
        </w:tc>
      </w:tr>
      <w:tr>
        <w:trPr>
          <w:cantSplit/>
        </w:trPr>
        <w:tc>
          <w:tcPr>
            <w:tcW w:type="dxa" w:w="1613"/>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2F86B3"/>
                <w:sz w:val="18"/>
                <w:szCs w:val="18"/>
              </w:rPr>
              <w:t xml:space="preserve"/>
            </w:r>
          </w:p>
        </w:tc>
        <w:tc>
          <w:tcPr>
            <w:tcW w:type="dxa" w:w="241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Thought leadership programme</w:t>
            </w:r>
          </w:p>
        </w:tc>
        <w:tc>
          <w:tcPr>
            <w:tcW w:type="dxa" w:w="141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val="false"/>
                <w:bCs w:val="false"/>
                <w:color w:val="A8781F"/>
                <w:sz w:val="18"/>
                <w:szCs w:val="18"/>
              </w:rPr>
              <w:t xml:space="preserve">Partial · Next</w:t>
            </w:r>
          </w:p>
        </w:tc>
        <w:tc>
          <w:tcPr>
            <w:tcW w:type="dxa" w:w="4637"/>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Eleven published articles and a real point of view. No cadence, no distribution plan, no repurposing.</w:t>
            </w:r>
          </w:p>
        </w:tc>
      </w:tr>
      <w:tr>
        <w:trPr>
          <w:cantSplit/>
        </w:trPr>
        <w:tc>
          <w:tcPr>
            <w:tcW w:type="dxa" w:w="1613"/>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2F86B3"/>
                <w:sz w:val="18"/>
                <w:szCs w:val="18"/>
              </w:rPr>
              <w:t xml:space="preserve"/>
            </w:r>
          </w:p>
        </w:tc>
        <w:tc>
          <w:tcPr>
            <w:tcW w:type="dxa" w:w="2419"/>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Customer evidence programme</w:t>
            </w:r>
          </w:p>
        </w:tc>
        <w:tc>
          <w:tcPr>
            <w:tcW w:type="dxa" w:w="141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A4462F"/>
                <w:sz w:val="18"/>
                <w:szCs w:val="18"/>
              </w:rPr>
              <w:t xml:space="preserve">Partial · DO FIRST</w:t>
            </w:r>
          </w:p>
        </w:tc>
        <w:tc>
          <w:tcPr>
            <w:tcW w:type="dxa" w:w="4637"/>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Three stories published, rebuild spec written, but no consent process and no reference list.</w:t>
            </w:r>
          </w:p>
        </w:tc>
      </w:tr>
      <w:tr>
        <w:trPr>
          <w:cantSplit/>
        </w:trPr>
        <w:tc>
          <w:tcPr>
            <w:tcW w:type="dxa" w:w="1613"/>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2F86B3"/>
                <w:sz w:val="18"/>
                <w:szCs w:val="18"/>
              </w:rPr>
              <w:t xml:space="preserve"/>
            </w:r>
          </w:p>
        </w:tc>
        <w:tc>
          <w:tcPr>
            <w:tcW w:type="dxa" w:w="241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Review-site presence</w:t>
            </w:r>
          </w:p>
        </w:tc>
        <w:tc>
          <w:tcPr>
            <w:tcW w:type="dxa" w:w="141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val="false"/>
                <w:bCs w:val="false"/>
                <w:color w:val="A4462F"/>
                <w:sz w:val="18"/>
                <w:szCs w:val="18"/>
              </w:rPr>
              <w:t xml:space="preserve">Gap · Next</w:t>
            </w:r>
          </w:p>
        </w:tc>
        <w:tc>
          <w:tcPr>
            <w:tcW w:type="dxa" w:w="4637"/>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No G2, Clutch or Gartner Peer Insights presence. Third-party reviews do work a website cannot.</w:t>
            </w:r>
          </w:p>
        </w:tc>
      </w:tr>
      <w:tr>
        <w:trPr>
          <w:cantSplit/>
        </w:trPr>
        <w:tc>
          <w:tcPr>
            <w:tcW w:type="dxa" w:w="1613"/>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2F86B3"/>
                <w:sz w:val="18"/>
                <w:szCs w:val="18"/>
              </w:rPr>
              <w:t xml:space="preserve"/>
            </w:r>
          </w:p>
        </w:tc>
        <w:tc>
          <w:tcPr>
            <w:tcW w:type="dxa" w:w="2419"/>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Speaking &amp; events</w:t>
            </w:r>
          </w:p>
        </w:tc>
        <w:tc>
          <w:tcPr>
            <w:tcW w:type="dxa" w:w="141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val="false"/>
                <w:bCs w:val="false"/>
                <w:color w:val="A4462F"/>
                <w:sz w:val="18"/>
                <w:szCs w:val="18"/>
              </w:rPr>
              <w:t xml:space="preserve">Gap · Next</w:t>
            </w:r>
          </w:p>
        </w:tc>
        <w:tc>
          <w:tcPr>
            <w:tcW w:type="dxa" w:w="4637"/>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High fit for a founder-led firm with a genuine practitioner record, and cheap.</w:t>
            </w:r>
          </w:p>
        </w:tc>
      </w:tr>
      <w:tr>
        <w:trPr>
          <w:cantSplit/>
        </w:trPr>
        <w:tc>
          <w:tcPr>
            <w:tcW w:type="dxa" w:w="1613"/>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2F86B3"/>
                <w:sz w:val="18"/>
                <w:szCs w:val="18"/>
              </w:rPr>
              <w:t xml:space="preserve"/>
            </w:r>
          </w:p>
        </w:tc>
        <w:tc>
          <w:tcPr>
            <w:tcW w:type="dxa" w:w="241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Analyst relations</w:t>
            </w:r>
          </w:p>
        </w:tc>
        <w:tc>
          <w:tcPr>
            <w:tcW w:type="dxa" w:w="141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val="false"/>
                <w:bCs w:val="false"/>
                <w:color w:val="6B7A8C"/>
                <w:sz w:val="18"/>
                <w:szCs w:val="18"/>
              </w:rPr>
              <w:t xml:space="preserve">Skip</w:t>
            </w:r>
          </w:p>
        </w:tc>
        <w:tc>
          <w:tcPr>
            <w:tcW w:type="dxa" w:w="4637"/>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Six figures and a multi-year commitment to influence a buyer not reading Magic Quadrants at this deal size.</w:t>
            </w:r>
          </w:p>
        </w:tc>
      </w:tr>
      <w:tr>
        <w:trPr>
          <w:cantSplit/>
        </w:trPr>
        <w:tc>
          <w:tcPr>
            <w:tcW w:type="dxa" w:w="1613"/>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2F86B3"/>
                <w:sz w:val="18"/>
                <w:szCs w:val="18"/>
              </w:rPr>
              <w:t xml:space="preserve"/>
            </w:r>
          </w:p>
        </w:tc>
        <w:tc>
          <w:tcPr>
            <w:tcW w:type="dxa" w:w="2419"/>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PR &amp; media relations</w:t>
            </w:r>
          </w:p>
        </w:tc>
        <w:tc>
          <w:tcPr>
            <w:tcW w:type="dxa" w:w="141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val="false"/>
                <w:bCs w:val="false"/>
                <w:color w:val="6B7A8C"/>
                <w:sz w:val="18"/>
                <w:szCs w:val="18"/>
              </w:rPr>
              <w:t xml:space="preserve">Skip</w:t>
            </w:r>
          </w:p>
        </w:tc>
        <w:tc>
          <w:tcPr>
            <w:tcW w:type="dxa" w:w="4637"/>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Low return at this stage. Revisit if there is a genuine news event.</w:t>
            </w:r>
          </w:p>
        </w:tc>
      </w:tr>
      <w:tr>
        <w:trPr>
          <w:cantSplit/>
        </w:trPr>
        <w:tc>
          <w:tcPr>
            <w:tcW w:type="dxa" w:w="1613"/>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2F86B3"/>
                <w:sz w:val="18"/>
                <w:szCs w:val="18"/>
              </w:rPr>
              <w:t xml:space="preserve">Demand generation</w:t>
            </w:r>
          </w:p>
        </w:tc>
        <w:tc>
          <w:tcPr>
            <w:tcW w:type="dxa" w:w="241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Campaign architecture</w:t>
            </w:r>
          </w:p>
        </w:tc>
        <w:tc>
          <w:tcPr>
            <w:tcW w:type="dxa" w:w="141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val="false"/>
                <w:bCs w:val="false"/>
                <w:color w:val="A8781F"/>
                <w:sz w:val="18"/>
                <w:szCs w:val="18"/>
              </w:rPr>
              <w:t xml:space="preserve">Partial · Next</w:t>
            </w:r>
          </w:p>
        </w:tc>
        <w:tc>
          <w:tcPr>
            <w:tcW w:type="dxa" w:w="4637"/>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One campaign built end to end. No campaign calendar, nothing for the other five triggers.</w:t>
            </w:r>
          </w:p>
        </w:tc>
      </w:tr>
      <w:tr>
        <w:trPr>
          <w:cantSplit/>
        </w:trPr>
        <w:tc>
          <w:tcPr>
            <w:tcW w:type="dxa" w:w="1613"/>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2F86B3"/>
                <w:sz w:val="18"/>
                <w:szCs w:val="18"/>
              </w:rPr>
              <w:t xml:space="preserve"/>
            </w:r>
          </w:p>
        </w:tc>
        <w:tc>
          <w:tcPr>
            <w:tcW w:type="dxa" w:w="2419"/>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Nurture for non-triggered prospects</w:t>
            </w:r>
          </w:p>
        </w:tc>
        <w:tc>
          <w:tcPr>
            <w:tcW w:type="dxa" w:w="141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A4462F"/>
                <w:sz w:val="18"/>
                <w:szCs w:val="18"/>
              </w:rPr>
              <w:t xml:space="preserve">Gap · DO FIRST</w:t>
            </w:r>
          </w:p>
        </w:tc>
        <w:tc>
          <w:tcPr>
            <w:tcW w:type="dxa" w:w="4637"/>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The structural gap. Most of the ICP is unqualified at any moment and there is no mechanism to stay present.</w:t>
            </w:r>
          </w:p>
        </w:tc>
      </w:tr>
      <w:tr>
        <w:trPr>
          <w:cantSplit/>
        </w:trPr>
        <w:tc>
          <w:tcPr>
            <w:tcW w:type="dxa" w:w="1613"/>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2F86B3"/>
                <w:sz w:val="18"/>
                <w:szCs w:val="18"/>
              </w:rPr>
              <w:t xml:space="preserve"/>
            </w:r>
          </w:p>
        </w:tc>
        <w:tc>
          <w:tcPr>
            <w:tcW w:type="dxa" w:w="241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Trigger detection &amp; signal monitoring</w:t>
            </w:r>
          </w:p>
        </w:tc>
        <w:tc>
          <w:tcPr>
            <w:tcW w:type="dxa" w:w="141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A4462F"/>
                <w:sz w:val="18"/>
                <w:szCs w:val="18"/>
              </w:rPr>
              <w:t xml:space="preserve">Gap · DO FIRST</w:t>
            </w:r>
          </w:p>
        </w:tc>
        <w:tc>
          <w:tcPr>
            <w:tcW w:type="dxa" w:w="4637"/>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Renewal dates, funding announcements, first-security-hire job posts, PE platform acquisitions, exam actions — all publicly observable, none monitored.</w:t>
            </w:r>
          </w:p>
        </w:tc>
      </w:tr>
      <w:tr>
        <w:trPr>
          <w:cantSplit/>
        </w:trPr>
        <w:tc>
          <w:tcPr>
            <w:tcW w:type="dxa" w:w="1613"/>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2F86B3"/>
                <w:sz w:val="18"/>
                <w:szCs w:val="18"/>
              </w:rPr>
              <w:t xml:space="preserve"/>
            </w:r>
          </w:p>
        </w:tc>
        <w:tc>
          <w:tcPr>
            <w:tcW w:type="dxa" w:w="2419"/>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Partner &amp; channel marketing</w:t>
            </w:r>
          </w:p>
        </w:tc>
        <w:tc>
          <w:tcPr>
            <w:tcW w:type="dxa" w:w="141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A4462F"/>
                <w:sz w:val="18"/>
                <w:szCs w:val="18"/>
              </w:rPr>
              <w:t xml:space="preserve">Gap · DO FIRST</w:t>
            </w:r>
          </w:p>
        </w:tc>
        <w:tc>
          <w:tcPr>
            <w:tcW w:type="dxa" w:w="4637"/>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AiVRIC publishes MSP partner tiers with no marketing behind it. An entire revenue channel with no demand programme.</w:t>
            </w:r>
          </w:p>
        </w:tc>
      </w:tr>
      <w:tr>
        <w:trPr>
          <w:cantSplit/>
        </w:trPr>
        <w:tc>
          <w:tcPr>
            <w:tcW w:type="dxa" w:w="1613"/>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2F86B3"/>
                <w:sz w:val="18"/>
                <w:szCs w:val="18"/>
              </w:rPr>
              <w:t xml:space="preserve"/>
            </w:r>
          </w:p>
        </w:tc>
        <w:tc>
          <w:tcPr>
            <w:tcW w:type="dxa" w:w="241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Marketing automation platform</w:t>
            </w:r>
          </w:p>
        </w:tc>
        <w:tc>
          <w:tcPr>
            <w:tcW w:type="dxa" w:w="141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val="false"/>
                <w:bCs w:val="false"/>
                <w:color w:val="A4462F"/>
                <w:sz w:val="18"/>
                <w:szCs w:val="18"/>
              </w:rPr>
              <w:t xml:space="preserve">Gap · Next</w:t>
            </w:r>
          </w:p>
        </w:tc>
        <w:tc>
          <w:tcPr>
            <w:tcW w:type="dxa" w:w="4637"/>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No known MAP. Required before nurture is possible at any scale beyond a spreadsheet.</w:t>
            </w:r>
          </w:p>
        </w:tc>
      </w:tr>
      <w:tr>
        <w:trPr>
          <w:cantSplit/>
        </w:trPr>
        <w:tc>
          <w:tcPr>
            <w:tcW w:type="dxa" w:w="1613"/>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2F86B3"/>
                <w:sz w:val="18"/>
                <w:szCs w:val="18"/>
              </w:rPr>
              <w:t xml:space="preserve"/>
            </w:r>
          </w:p>
        </w:tc>
        <w:tc>
          <w:tcPr>
            <w:tcW w:type="dxa" w:w="2419"/>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Paid media</w:t>
            </w:r>
          </w:p>
        </w:tc>
        <w:tc>
          <w:tcPr>
            <w:tcW w:type="dxa" w:w="141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val="false"/>
                <w:bCs w:val="false"/>
                <w:color w:val="A4462F"/>
                <w:sz w:val="18"/>
                <w:szCs w:val="18"/>
              </w:rPr>
              <w:t xml:space="preserve">Gap · Later</w:t>
            </w:r>
          </w:p>
        </w:tc>
        <w:tc>
          <w:tcPr>
            <w:tcW w:type="dxa" w:w="4637"/>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LinkedIn to a defined ICP list is the obvious first test — but only after the landing page and tracking exist.</w:t>
            </w:r>
          </w:p>
        </w:tc>
      </w:tr>
      <w:tr>
        <w:trPr>
          <w:cantSplit/>
        </w:trPr>
        <w:tc>
          <w:tcPr>
            <w:tcW w:type="dxa" w:w="1613"/>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2F86B3"/>
                <w:sz w:val="18"/>
                <w:szCs w:val="18"/>
              </w:rPr>
              <w:t xml:space="preserve"/>
            </w:r>
          </w:p>
        </w:tc>
        <w:tc>
          <w:tcPr>
            <w:tcW w:type="dxa" w:w="241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Organic / SEO execution</w:t>
            </w:r>
          </w:p>
        </w:tc>
        <w:tc>
          <w:tcPr>
            <w:tcW w:type="dxa" w:w="141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val="false"/>
                <w:bCs w:val="false"/>
                <w:color w:val="A4462F"/>
                <w:sz w:val="18"/>
                <w:szCs w:val="18"/>
              </w:rPr>
              <w:t xml:space="preserve">Gap · Next</w:t>
            </w:r>
          </w:p>
        </w:tc>
        <w:tc>
          <w:tcPr>
            <w:tcW w:type="dxa" w:w="4637"/>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Follows the keyword map.</w:t>
            </w:r>
          </w:p>
        </w:tc>
      </w:tr>
      <w:tr>
        <w:trPr>
          <w:cantSplit/>
        </w:trPr>
        <w:tc>
          <w:tcPr>
            <w:tcW w:type="dxa" w:w="1613"/>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2F86B3"/>
                <w:sz w:val="18"/>
                <w:szCs w:val="18"/>
              </w:rPr>
              <w:t xml:space="preserve"/>
            </w:r>
          </w:p>
        </w:tc>
        <w:tc>
          <w:tcPr>
            <w:tcW w:type="dxa" w:w="2419"/>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Webinars</w:t>
            </w:r>
          </w:p>
        </w:tc>
        <w:tc>
          <w:tcPr>
            <w:tcW w:type="dxa" w:w="141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val="false"/>
                <w:bCs w:val="false"/>
                <w:color w:val="A4462F"/>
                <w:sz w:val="18"/>
                <w:szCs w:val="18"/>
              </w:rPr>
              <w:t xml:space="preserve">Gap · Later</w:t>
            </w:r>
          </w:p>
        </w:tc>
        <w:tc>
          <w:tcPr>
            <w:tcW w:type="dxa" w:w="4637"/>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Works in this category, but only with an audience to invite.</w:t>
            </w:r>
          </w:p>
        </w:tc>
      </w:tr>
      <w:tr>
        <w:trPr>
          <w:cantSplit/>
        </w:trPr>
        <w:tc>
          <w:tcPr>
            <w:tcW w:type="dxa" w:w="1613"/>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2F86B3"/>
                <w:sz w:val="18"/>
                <w:szCs w:val="18"/>
              </w:rPr>
              <w:t xml:space="preserve"/>
            </w:r>
          </w:p>
        </w:tc>
        <w:tc>
          <w:tcPr>
            <w:tcW w:type="dxa" w:w="241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ABM for Hue 02 and 03</w:t>
            </w:r>
          </w:p>
        </w:tc>
        <w:tc>
          <w:tcPr>
            <w:tcW w:type="dxa" w:w="141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val="false"/>
                <w:bCs w:val="false"/>
                <w:color w:val="A4462F"/>
                <w:sz w:val="18"/>
                <w:szCs w:val="18"/>
              </w:rPr>
              <w:t xml:space="preserve">Gap · Later</w:t>
            </w:r>
          </w:p>
        </w:tc>
        <w:tc>
          <w:tcPr>
            <w:tcW w:type="dxa" w:w="4637"/>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The portfolio and regulated lists are small enough to work by hand.</w:t>
            </w:r>
          </w:p>
        </w:tc>
      </w:tr>
      <w:tr>
        <w:trPr>
          <w:cantSplit/>
        </w:trPr>
        <w:tc>
          <w:tcPr>
            <w:tcW w:type="dxa" w:w="1613"/>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2F86B3"/>
                <w:sz w:val="18"/>
                <w:szCs w:val="18"/>
              </w:rPr>
              <w:t xml:space="preserve"/>
            </w:r>
          </w:p>
        </w:tc>
        <w:tc>
          <w:tcPr>
            <w:tcW w:type="dxa" w:w="2419"/>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Lead scoring &amp; routing</w:t>
            </w:r>
          </w:p>
        </w:tc>
        <w:tc>
          <w:tcPr>
            <w:tcW w:type="dxa" w:w="141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val="false"/>
                <w:bCs w:val="false"/>
                <w:color w:val="A8781F"/>
                <w:sz w:val="18"/>
                <w:szCs w:val="18"/>
              </w:rPr>
              <w:t xml:space="preserve">Partial · Next</w:t>
            </w:r>
          </w:p>
        </w:tc>
        <w:tc>
          <w:tcPr>
            <w:tcW w:type="dxa" w:w="4637"/>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The fit model is the scoring logic and it is sound. It is not implemented anywhere a lead lands.</w:t>
            </w:r>
          </w:p>
        </w:tc>
      </w:tr>
      <w:tr>
        <w:trPr>
          <w:cantSplit/>
        </w:trPr>
        <w:tc>
          <w:tcPr>
            <w:tcW w:type="dxa" w:w="1613"/>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2F86B3"/>
                <w:sz w:val="18"/>
                <w:szCs w:val="18"/>
              </w:rPr>
              <w:t xml:space="preserve">Product marketing</w:t>
            </w:r>
          </w:p>
        </w:tc>
        <w:tc>
          <w:tcPr>
            <w:tcW w:type="dxa" w:w="241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Competitive battlecards</w:t>
            </w:r>
          </w:p>
        </w:tc>
        <w:tc>
          <w:tcPr>
            <w:tcW w:type="dxa" w:w="141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val="false"/>
                <w:bCs w:val="false"/>
                <w:color w:val="2F8562"/>
                <w:sz w:val="18"/>
                <w:szCs w:val="18"/>
              </w:rPr>
              <w:t xml:space="preserve">Have</w:t>
            </w:r>
          </w:p>
        </w:tc>
        <w:tc>
          <w:tcPr>
            <w:tcW w:type="dxa" w:w="4637"/>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Four alternatives including doing nothing, which wins most often.</w:t>
            </w:r>
          </w:p>
        </w:tc>
      </w:tr>
      <w:tr>
        <w:trPr>
          <w:cantSplit/>
        </w:trPr>
        <w:tc>
          <w:tcPr>
            <w:tcW w:type="dxa" w:w="1613"/>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2F86B3"/>
                <w:sz w:val="18"/>
                <w:szCs w:val="18"/>
              </w:rPr>
              <w:t xml:space="preserve"/>
            </w:r>
          </w:p>
        </w:tc>
        <w:tc>
          <w:tcPr>
            <w:tcW w:type="dxa" w:w="2419"/>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Offer architecture &amp; packaging</w:t>
            </w:r>
          </w:p>
        </w:tc>
        <w:tc>
          <w:tcPr>
            <w:tcW w:type="dxa" w:w="141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val="false"/>
                <w:bCs w:val="false"/>
                <w:color w:val="A8781F"/>
                <w:sz w:val="18"/>
                <w:szCs w:val="18"/>
              </w:rPr>
              <w:t xml:space="preserve">Partial · Next</w:t>
            </w:r>
          </w:p>
        </w:tc>
        <w:tc>
          <w:tcPr>
            <w:tcW w:type="dxa" w:w="4637"/>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Four offers defined with a clear entry point. Packaging is not documented anywhere client-facing.</w:t>
            </w:r>
          </w:p>
        </w:tc>
      </w:tr>
      <w:tr>
        <w:trPr>
          <w:cantSplit/>
        </w:trPr>
        <w:tc>
          <w:tcPr>
            <w:tcW w:type="dxa" w:w="1613"/>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2F86B3"/>
                <w:sz w:val="18"/>
                <w:szCs w:val="18"/>
              </w:rPr>
              <w:t xml:space="preserve"/>
            </w:r>
          </w:p>
        </w:tc>
        <w:tc>
          <w:tcPr>
            <w:tcW w:type="dxa" w:w="241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Pricing strategy</w:t>
            </w:r>
          </w:p>
        </w:tc>
        <w:tc>
          <w:tcPr>
            <w:tcW w:type="dxa" w:w="141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A4462F"/>
                <w:sz w:val="18"/>
                <w:szCs w:val="18"/>
              </w:rPr>
              <w:t xml:space="preserve">Gap · DO FIRST</w:t>
            </w:r>
          </w:p>
        </w:tc>
        <w:tc>
          <w:tcPr>
            <w:tcW w:type="dxa" w:w="4637"/>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Andrew’s decision, and it blocks the one-pagers, the website and the proposal template.</w:t>
            </w:r>
          </w:p>
        </w:tc>
      </w:tr>
      <w:tr>
        <w:trPr>
          <w:cantSplit/>
        </w:trPr>
        <w:tc>
          <w:tcPr>
            <w:tcW w:type="dxa" w:w="1613"/>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2F86B3"/>
                <w:sz w:val="18"/>
                <w:szCs w:val="18"/>
              </w:rPr>
              <w:t xml:space="preserve"/>
            </w:r>
          </w:p>
        </w:tc>
        <w:tc>
          <w:tcPr>
            <w:tcW w:type="dxa" w:w="2419"/>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Launch process</w:t>
            </w:r>
          </w:p>
        </w:tc>
        <w:tc>
          <w:tcPr>
            <w:tcW w:type="dxa" w:w="141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val="false"/>
                <w:bCs w:val="false"/>
                <w:color w:val="A4462F"/>
                <w:sz w:val="18"/>
                <w:szCs w:val="18"/>
              </w:rPr>
              <w:t xml:space="preserve">Gap · Next</w:t>
            </w:r>
          </w:p>
        </w:tc>
        <w:tc>
          <w:tcPr>
            <w:tcW w:type="dxa" w:w="4637"/>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AiVRIC has four modules in beta, alpha or roadmap and no defined launch motion.</w:t>
            </w:r>
          </w:p>
        </w:tc>
      </w:tr>
      <w:tr>
        <w:trPr>
          <w:cantSplit/>
        </w:trPr>
        <w:tc>
          <w:tcPr>
            <w:tcW w:type="dxa" w:w="1613"/>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2F86B3"/>
                <w:sz w:val="18"/>
                <w:szCs w:val="18"/>
              </w:rPr>
              <w:t xml:space="preserve"/>
            </w:r>
          </w:p>
        </w:tc>
        <w:tc>
          <w:tcPr>
            <w:tcW w:type="dxa" w:w="241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Voice of customer programme</w:t>
            </w:r>
          </w:p>
        </w:tc>
        <w:tc>
          <w:tcPr>
            <w:tcW w:type="dxa" w:w="141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val="false"/>
                <w:bCs w:val="false"/>
                <w:color w:val="A4462F"/>
                <w:sz w:val="18"/>
                <w:szCs w:val="18"/>
              </w:rPr>
              <w:t xml:space="preserve">Gap · Next</w:t>
            </w:r>
          </w:p>
        </w:tc>
        <w:tc>
          <w:tcPr>
            <w:tcW w:type="dxa" w:w="4637"/>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One round of research is not a programme. Four structured client conversations a year would beat re-reading this in twelve months.</w:t>
            </w:r>
          </w:p>
        </w:tc>
      </w:tr>
      <w:tr>
        <w:trPr>
          <w:cantSplit/>
        </w:trPr>
        <w:tc>
          <w:tcPr>
            <w:tcW w:type="dxa" w:w="1613"/>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2F86B3"/>
                <w:sz w:val="18"/>
                <w:szCs w:val="18"/>
              </w:rPr>
              <w:t xml:space="preserve">Sales enablement</w:t>
            </w:r>
          </w:p>
        </w:tc>
        <w:tc>
          <w:tcPr>
            <w:tcW w:type="dxa" w:w="2419"/>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Discovery script</w:t>
            </w:r>
          </w:p>
        </w:tc>
        <w:tc>
          <w:tcPr>
            <w:tcW w:type="dxa" w:w="141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val="false"/>
                <w:bCs w:val="false"/>
                <w:color w:val="2F8562"/>
                <w:sz w:val="18"/>
                <w:szCs w:val="18"/>
              </w:rPr>
              <w:t xml:space="preserve">Have</w:t>
            </w:r>
          </w:p>
        </w:tc>
        <w:tc>
          <w:tcPr>
            <w:tcW w:type="dxa" w:w="4637"/>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Eleven questions mapped to the fit model, with red flags and a qualify-out script.</w:t>
            </w:r>
          </w:p>
        </w:tc>
      </w:tr>
      <w:tr>
        <w:trPr>
          <w:cantSplit/>
        </w:trPr>
        <w:tc>
          <w:tcPr>
            <w:tcW w:type="dxa" w:w="1613"/>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2F86B3"/>
                <w:sz w:val="18"/>
                <w:szCs w:val="18"/>
              </w:rPr>
              <w:t xml:space="preserve"/>
            </w:r>
          </w:p>
        </w:tc>
        <w:tc>
          <w:tcPr>
            <w:tcW w:type="dxa" w:w="241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Objection handling</w:t>
            </w:r>
          </w:p>
        </w:tc>
        <w:tc>
          <w:tcPr>
            <w:tcW w:type="dxa" w:w="141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val="false"/>
                <w:bCs w:val="false"/>
                <w:color w:val="2F8562"/>
                <w:sz w:val="18"/>
                <w:szCs w:val="18"/>
              </w:rPr>
              <w:t xml:space="preserve">Have</w:t>
            </w:r>
          </w:p>
        </w:tc>
        <w:tc>
          <w:tcPr>
            <w:tcW w:type="dxa" w:w="4637"/>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Eight objections drawn from what buyers say publicly.</w:t>
            </w:r>
          </w:p>
        </w:tc>
      </w:tr>
      <w:tr>
        <w:trPr>
          <w:cantSplit/>
        </w:trPr>
        <w:tc>
          <w:tcPr>
            <w:tcW w:type="dxa" w:w="1613"/>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2F86B3"/>
                <w:sz w:val="18"/>
                <w:szCs w:val="18"/>
              </w:rPr>
              <w:t xml:space="preserve"/>
            </w:r>
          </w:p>
        </w:tc>
        <w:tc>
          <w:tcPr>
            <w:tcW w:type="dxa" w:w="2419"/>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Narrative pitch deck</w:t>
            </w:r>
          </w:p>
        </w:tc>
        <w:tc>
          <w:tcPr>
            <w:tcW w:type="dxa" w:w="141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A4462F"/>
                <w:sz w:val="18"/>
                <w:szCs w:val="18"/>
              </w:rPr>
              <w:t xml:space="preserve">Gap · DO FIRST</w:t>
            </w:r>
          </w:p>
        </w:tc>
        <w:tc>
          <w:tcPr>
            <w:tcW w:type="dxa" w:w="4637"/>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Missing and high-frequency. Every pitch is currently rebuilt from memory.</w:t>
            </w:r>
          </w:p>
        </w:tc>
      </w:tr>
      <w:tr>
        <w:trPr>
          <w:cantSplit/>
        </w:trPr>
        <w:tc>
          <w:tcPr>
            <w:tcW w:type="dxa" w:w="1613"/>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2F86B3"/>
                <w:sz w:val="18"/>
                <w:szCs w:val="18"/>
              </w:rPr>
              <w:t xml:space="preserve"/>
            </w:r>
          </w:p>
        </w:tc>
        <w:tc>
          <w:tcPr>
            <w:tcW w:type="dxa" w:w="241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Offer one-pagers</w:t>
            </w:r>
          </w:p>
        </w:tc>
        <w:tc>
          <w:tcPr>
            <w:tcW w:type="dxa" w:w="141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A4462F"/>
                <w:sz w:val="18"/>
                <w:szCs w:val="18"/>
              </w:rPr>
              <w:t xml:space="preserve">Partial · DO FIRST</w:t>
            </w:r>
          </w:p>
        </w:tc>
        <w:tc>
          <w:tcPr>
            <w:tcW w:type="dxa" w:w="4637"/>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Content and structure specified; not designed or built. Blocked partly on the pricing decision.</w:t>
            </w:r>
          </w:p>
        </w:tc>
      </w:tr>
      <w:tr>
        <w:trPr>
          <w:cantSplit/>
        </w:trPr>
        <w:tc>
          <w:tcPr>
            <w:tcW w:type="dxa" w:w="1613"/>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2F86B3"/>
                <w:sz w:val="18"/>
                <w:szCs w:val="18"/>
              </w:rPr>
              <w:t xml:space="preserve"/>
            </w:r>
          </w:p>
        </w:tc>
        <w:tc>
          <w:tcPr>
            <w:tcW w:type="dxa" w:w="2419"/>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Proposal &amp; SOW template</w:t>
            </w:r>
          </w:p>
        </w:tc>
        <w:tc>
          <w:tcPr>
            <w:tcW w:type="dxa" w:w="141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A4462F"/>
                <w:sz w:val="18"/>
                <w:szCs w:val="18"/>
              </w:rPr>
              <w:t xml:space="preserve">Gap · DO FIRST</w:t>
            </w:r>
          </w:p>
        </w:tc>
        <w:tc>
          <w:tcPr>
            <w:tcW w:type="dxa" w:w="4637"/>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Should carry the brand, the boilerplate, and standing scope and liability language. Its absence is a legal exposure as much as a marketing one.</w:t>
            </w:r>
          </w:p>
        </w:tc>
      </w:tr>
      <w:tr>
        <w:trPr>
          <w:cantSplit/>
        </w:trPr>
        <w:tc>
          <w:tcPr>
            <w:tcW w:type="dxa" w:w="1613"/>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2F86B3"/>
                <w:sz w:val="18"/>
                <w:szCs w:val="18"/>
              </w:rPr>
              <w:t xml:space="preserve"/>
            </w:r>
          </w:p>
        </w:tc>
        <w:tc>
          <w:tcPr>
            <w:tcW w:type="dxa" w:w="241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ROI / business case calculator</w:t>
            </w:r>
          </w:p>
        </w:tc>
        <w:tc>
          <w:tcPr>
            <w:tcW w:type="dxa" w:w="141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val="false"/>
                <w:bCs w:val="false"/>
                <w:color w:val="A4462F"/>
                <w:sz w:val="18"/>
                <w:szCs w:val="18"/>
              </w:rPr>
              <w:t xml:space="preserve">Gap · Next</w:t>
            </w:r>
          </w:p>
        </w:tc>
        <w:tc>
          <w:tcPr>
            <w:tcW w:type="dxa" w:w="4637"/>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The whole pitch is “price this against the blocked deal.” Nobody has built the arithmetic that lets a buyer show that to their CFO.</w:t>
            </w:r>
          </w:p>
        </w:tc>
      </w:tr>
      <w:tr>
        <w:trPr>
          <w:cantSplit/>
        </w:trPr>
        <w:tc>
          <w:tcPr>
            <w:tcW w:type="dxa" w:w="1613"/>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2F86B3"/>
                <w:sz w:val="18"/>
                <w:szCs w:val="18"/>
              </w:rPr>
              <w:t xml:space="preserve"/>
            </w:r>
          </w:p>
        </w:tc>
        <w:tc>
          <w:tcPr>
            <w:tcW w:type="dxa" w:w="2419"/>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Reference programme</w:t>
            </w:r>
          </w:p>
        </w:tc>
        <w:tc>
          <w:tcPr>
            <w:tcW w:type="dxa" w:w="141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val="false"/>
                <w:bCs w:val="false"/>
                <w:color w:val="A4462F"/>
                <w:sz w:val="18"/>
                <w:szCs w:val="18"/>
              </w:rPr>
              <w:t xml:space="preserve">Gap · Next</w:t>
            </w:r>
          </w:p>
        </w:tc>
        <w:tc>
          <w:tcPr>
            <w:tcW w:type="dxa" w:w="4637"/>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One buyer willing to take a call is worth more than three anonymous case studies.</w:t>
            </w:r>
          </w:p>
        </w:tc>
      </w:tr>
      <w:tr>
        <w:trPr>
          <w:cantSplit/>
        </w:trPr>
        <w:tc>
          <w:tcPr>
            <w:tcW w:type="dxa" w:w="1613"/>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2F86B3"/>
                <w:sz w:val="18"/>
                <w:szCs w:val="18"/>
              </w:rPr>
              <w:t xml:space="preserve"/>
            </w:r>
          </w:p>
        </w:tc>
        <w:tc>
          <w:tcPr>
            <w:tcW w:type="dxa" w:w="241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CRM stage definitions &amp; sales SLA</w:t>
            </w:r>
          </w:p>
        </w:tc>
        <w:tc>
          <w:tcPr>
            <w:tcW w:type="dxa" w:w="141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A4462F"/>
                <w:sz w:val="18"/>
                <w:szCs w:val="18"/>
              </w:rPr>
              <w:t xml:space="preserve">Gap · DO FIRST</w:t>
            </w:r>
          </w:p>
        </w:tc>
        <w:tc>
          <w:tcPr>
            <w:tcW w:type="dxa" w:w="4637"/>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Without stage definitions there is no win/loss data, and without win/loss the fit model cannot be validated.</w:t>
            </w:r>
          </w:p>
        </w:tc>
      </w:tr>
      <w:tr>
        <w:trPr>
          <w:cantSplit/>
        </w:trPr>
        <w:tc>
          <w:tcPr>
            <w:tcW w:type="dxa" w:w="1613"/>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2F86B3"/>
                <w:sz w:val="18"/>
                <w:szCs w:val="18"/>
              </w:rPr>
              <w:t xml:space="preserve">Operations &amp; measurement</w:t>
            </w:r>
          </w:p>
        </w:tc>
        <w:tc>
          <w:tcPr>
            <w:tcW w:type="dxa" w:w="2419"/>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Measurement plan</w:t>
            </w:r>
          </w:p>
        </w:tc>
        <w:tc>
          <w:tcPr>
            <w:tcW w:type="dxa" w:w="141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val="false"/>
                <w:bCs w:val="false"/>
                <w:color w:val="A8781F"/>
                <w:sz w:val="18"/>
                <w:szCs w:val="18"/>
              </w:rPr>
              <w:t xml:space="preserve">Partial · Next</w:t>
            </w:r>
          </w:p>
        </w:tc>
        <w:tc>
          <w:tcPr>
            <w:tcW w:type="dxa" w:w="4637"/>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Six measures defined. None instrumented.</w:t>
            </w:r>
          </w:p>
        </w:tc>
      </w:tr>
      <w:tr>
        <w:trPr>
          <w:cantSplit/>
        </w:trPr>
        <w:tc>
          <w:tcPr>
            <w:tcW w:type="dxa" w:w="1613"/>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2F86B3"/>
                <w:sz w:val="18"/>
                <w:szCs w:val="18"/>
              </w:rPr>
              <w:t xml:space="preserve"/>
            </w:r>
          </w:p>
        </w:tc>
        <w:tc>
          <w:tcPr>
            <w:tcW w:type="dxa" w:w="241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Analytics access (Search Console, GA)</w:t>
            </w:r>
          </w:p>
        </w:tc>
        <w:tc>
          <w:tcPr>
            <w:tcW w:type="dxa" w:w="141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A4462F"/>
                <w:sz w:val="18"/>
                <w:szCs w:val="18"/>
              </w:rPr>
              <w:t xml:space="preserve">Gap · DO FIRST</w:t>
            </w:r>
          </w:p>
        </w:tc>
        <w:tc>
          <w:tcPr>
            <w:tcW w:type="dxa" w:w="4637"/>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Fifteen minutes of work, currently blocking every factual statement about the website.</w:t>
            </w:r>
          </w:p>
        </w:tc>
      </w:tr>
      <w:tr>
        <w:trPr>
          <w:cantSplit/>
        </w:trPr>
        <w:tc>
          <w:tcPr>
            <w:tcW w:type="dxa" w:w="1613"/>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2F86B3"/>
                <w:sz w:val="18"/>
                <w:szCs w:val="18"/>
              </w:rPr>
              <w:t xml:space="preserve"/>
            </w:r>
          </w:p>
        </w:tc>
        <w:tc>
          <w:tcPr>
            <w:tcW w:type="dxa" w:w="2419"/>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MarTech stack audit</w:t>
            </w:r>
          </w:p>
        </w:tc>
        <w:tc>
          <w:tcPr>
            <w:tcW w:type="dxa" w:w="141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val="false"/>
                <w:bCs w:val="false"/>
                <w:color w:val="A4462F"/>
                <w:sz w:val="18"/>
                <w:szCs w:val="18"/>
              </w:rPr>
              <w:t xml:space="preserve">Gap · Next</w:t>
            </w:r>
          </w:p>
        </w:tc>
        <w:tc>
          <w:tcPr>
            <w:tcW w:type="dxa" w:w="4637"/>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Nobody has written down what actually exists — CRM, email, CMS, forms.</w:t>
            </w:r>
          </w:p>
        </w:tc>
      </w:tr>
      <w:tr>
        <w:trPr>
          <w:cantSplit/>
        </w:trPr>
        <w:tc>
          <w:tcPr>
            <w:tcW w:type="dxa" w:w="1613"/>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2F86B3"/>
                <w:sz w:val="18"/>
                <w:szCs w:val="18"/>
              </w:rPr>
              <w:t xml:space="preserve"/>
            </w:r>
          </w:p>
        </w:tc>
        <w:tc>
          <w:tcPr>
            <w:tcW w:type="dxa" w:w="241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Website operations</w:t>
            </w:r>
          </w:p>
        </w:tc>
        <w:tc>
          <w:tcPr>
            <w:tcW w:type="dxa" w:w="141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val="false"/>
                <w:bCs w:val="false"/>
                <w:color w:val="A4462F"/>
                <w:sz w:val="18"/>
                <w:szCs w:val="18"/>
              </w:rPr>
              <w:t xml:space="preserve">Gap · Next</w:t>
            </w:r>
          </w:p>
        </w:tc>
        <w:tc>
          <w:tcPr>
            <w:tcW w:type="dxa" w:w="4637"/>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Unclear who can publish a page and how fast. That governs campaign speed more than any creative decision.</w:t>
            </w:r>
          </w:p>
        </w:tc>
      </w:tr>
      <w:tr>
        <w:trPr>
          <w:cantSplit/>
        </w:trPr>
        <w:tc>
          <w:tcPr>
            <w:tcW w:type="dxa" w:w="1613"/>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2F86B3"/>
                <w:sz w:val="18"/>
                <w:szCs w:val="18"/>
              </w:rPr>
              <w:t xml:space="preserve"/>
            </w:r>
          </w:p>
        </w:tc>
        <w:tc>
          <w:tcPr>
            <w:tcW w:type="dxa" w:w="2419"/>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Marketing data privacy compliance</w:t>
            </w:r>
          </w:p>
        </w:tc>
        <w:tc>
          <w:tcPr>
            <w:tcW w:type="dxa" w:w="141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A4462F"/>
                <w:sz w:val="18"/>
                <w:szCs w:val="18"/>
              </w:rPr>
              <w:t xml:space="preserve">Gap · DO FIRST</w:t>
            </w:r>
          </w:p>
        </w:tc>
        <w:tc>
          <w:tcPr>
            <w:tcW w:type="dxa" w:w="4637"/>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The outreach sequence needs CAN-SPAM handling, and GDPR or CASL if any prospect sits in the EU, UK or Canada.</w:t>
            </w:r>
          </w:p>
        </w:tc>
      </w:tr>
      <w:tr>
        <w:trPr>
          <w:cantSplit/>
        </w:trPr>
        <w:tc>
          <w:tcPr>
            <w:tcW w:type="dxa" w:w="1613"/>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2F86B3"/>
                <w:sz w:val="18"/>
                <w:szCs w:val="18"/>
              </w:rPr>
              <w:t xml:space="preserve"/>
            </w:r>
          </w:p>
        </w:tc>
        <w:tc>
          <w:tcPr>
            <w:tcW w:type="dxa" w:w="241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Accessibility standard</w:t>
            </w:r>
          </w:p>
        </w:tc>
        <w:tc>
          <w:tcPr>
            <w:tcW w:type="dxa" w:w="141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val="false"/>
                <w:bCs w:val="false"/>
                <w:color w:val="A8781F"/>
                <w:sz w:val="18"/>
                <w:szCs w:val="18"/>
              </w:rPr>
              <w:t xml:space="preserve">Partial · Later</w:t>
            </w:r>
          </w:p>
        </w:tc>
        <w:tc>
          <w:tcPr>
            <w:tcW w:type="dxa" w:w="4637"/>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Contrast failures documented but no standard adopted. Matters more once a public-sector or regulated buyer audits the site.</w:t>
            </w:r>
          </w:p>
        </w:tc>
      </w:tr>
      <w:tr>
        <w:trPr>
          <w:cantSplit/>
        </w:trPr>
        <w:tc>
          <w:tcPr>
            <w:tcW w:type="dxa" w:w="1613"/>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2F86B3"/>
                <w:sz w:val="18"/>
                <w:szCs w:val="18"/>
              </w:rPr>
              <w:t xml:space="preserve"/>
            </w:r>
          </w:p>
        </w:tc>
        <w:tc>
          <w:tcPr>
            <w:tcW w:type="dxa" w:w="2419"/>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Multi-touch attribution</w:t>
            </w:r>
          </w:p>
        </w:tc>
        <w:tc>
          <w:tcPr>
            <w:tcW w:type="dxa" w:w="141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val="false"/>
                <w:bCs w:val="false"/>
                <w:color w:val="6B7A8C"/>
                <w:sz w:val="18"/>
                <w:szCs w:val="18"/>
              </w:rPr>
              <w:t xml:space="preserve">Skip</w:t>
            </w:r>
          </w:p>
        </w:tc>
        <w:tc>
          <w:tcPr>
            <w:tcW w:type="dxa" w:w="4637"/>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Meaningless at this deal volume. “How did you hear about us?” on the form is more accurate and free.</w:t>
            </w:r>
          </w:p>
        </w:tc>
      </w:tr>
      <w:tr>
        <w:trPr>
          <w:cantSplit/>
        </w:trPr>
        <w:tc>
          <w:tcPr>
            <w:tcW w:type="dxa" w:w="1613"/>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2F86B3"/>
                <w:sz w:val="18"/>
                <w:szCs w:val="18"/>
              </w:rPr>
              <w:t xml:space="preserve">Customer marketing</w:t>
            </w:r>
          </w:p>
        </w:tc>
        <w:tc>
          <w:tcPr>
            <w:tcW w:type="dxa" w:w="241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Expansion motion: Snapshot to programme</w:t>
            </w:r>
          </w:p>
        </w:tc>
        <w:tc>
          <w:tcPr>
            <w:tcW w:type="dxa" w:w="141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A4462F"/>
                <w:sz w:val="18"/>
                <w:szCs w:val="18"/>
              </w:rPr>
              <w:t xml:space="preserve">Gap · DO FIRST</w:t>
            </w:r>
          </w:p>
        </w:tc>
        <w:tc>
          <w:tcPr>
            <w:tcW w:type="dxa" w:w="4637"/>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This is the business model, and there is no defined motion.</w:t>
            </w:r>
          </w:p>
        </w:tc>
      </w:tr>
      <w:tr>
        <w:trPr>
          <w:cantSplit/>
        </w:trPr>
        <w:tc>
          <w:tcPr>
            <w:tcW w:type="dxa" w:w="1613"/>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2F86B3"/>
                <w:sz w:val="18"/>
                <w:szCs w:val="18"/>
              </w:rPr>
              <w:t xml:space="preserve"/>
            </w:r>
          </w:p>
        </w:tc>
        <w:tc>
          <w:tcPr>
            <w:tcW w:type="dxa" w:w="2419"/>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Advocacy &amp; reference generation</w:t>
            </w:r>
          </w:p>
        </w:tc>
        <w:tc>
          <w:tcPr>
            <w:tcW w:type="dxa" w:w="141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val="false"/>
                <w:bCs w:val="false"/>
                <w:color w:val="A4462F"/>
                <w:sz w:val="18"/>
                <w:szCs w:val="18"/>
              </w:rPr>
              <w:t xml:space="preserve">Gap · Next</w:t>
            </w:r>
          </w:p>
        </w:tc>
        <w:tc>
          <w:tcPr>
            <w:tcW w:type="dxa" w:w="4637"/>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Should be triggered at the moment an engagement succeeds. Currently nothing asks.</w:t>
            </w:r>
          </w:p>
        </w:tc>
      </w:tr>
      <w:tr>
        <w:trPr>
          <w:cantSplit/>
        </w:trPr>
        <w:tc>
          <w:tcPr>
            <w:tcW w:type="dxa" w:w="1613"/>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2F86B3"/>
                <w:sz w:val="18"/>
                <w:szCs w:val="18"/>
              </w:rPr>
              <w:t xml:space="preserve"/>
            </w:r>
          </w:p>
        </w:tc>
        <w:tc>
          <w:tcPr>
            <w:tcW w:type="dxa" w:w="241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Onboarding communications</w:t>
            </w:r>
          </w:p>
        </w:tc>
        <w:tc>
          <w:tcPr>
            <w:tcW w:type="dxa" w:w="141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val="false"/>
                <w:bCs w:val="false"/>
                <w:color w:val="A4462F"/>
                <w:sz w:val="18"/>
                <w:szCs w:val="18"/>
              </w:rPr>
              <w:t xml:space="preserve">Gap · Later</w:t>
            </w:r>
          </w:p>
        </w:tc>
        <w:tc>
          <w:tcPr>
            <w:tcW w:type="dxa" w:w="4637"/>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Sets the tone for the retainer relationship and reduces early churn.</w:t>
            </w:r>
          </w:p>
        </w:tc>
      </w:tr>
      <w:tr>
        <w:trPr>
          <w:cantSplit/>
        </w:trPr>
        <w:tc>
          <w:tcPr>
            <w:tcW w:type="dxa" w:w="1613"/>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2F86B3"/>
                <w:sz w:val="18"/>
                <w:szCs w:val="18"/>
              </w:rPr>
              <w:t xml:space="preserve"/>
            </w:r>
          </w:p>
        </w:tc>
        <w:tc>
          <w:tcPr>
            <w:tcW w:type="dxa" w:w="2419"/>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Satisfaction measurement</w:t>
            </w:r>
          </w:p>
        </w:tc>
        <w:tc>
          <w:tcPr>
            <w:tcW w:type="dxa" w:w="141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val="false"/>
                <w:bCs w:val="false"/>
                <w:color w:val="A4462F"/>
                <w:sz w:val="18"/>
                <w:szCs w:val="18"/>
              </w:rPr>
              <w:t xml:space="preserve">Gap · Later</w:t>
            </w:r>
          </w:p>
        </w:tc>
        <w:tc>
          <w:tcPr>
            <w:tcW w:type="dxa" w:w="4637"/>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Even a single question at engagement close would be more than exists now.</w:t>
            </w:r>
          </w:p>
        </w:tc>
      </w:tr>
      <w:tr>
        <w:trPr>
          <w:cantSplit/>
        </w:trPr>
        <w:tc>
          <w:tcPr>
            <w:tcW w:type="dxa" w:w="1613"/>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2F86B3"/>
                <w:sz w:val="18"/>
                <w:szCs w:val="18"/>
              </w:rPr>
              <w:t xml:space="preserve"/>
            </w:r>
          </w:p>
        </w:tc>
        <w:tc>
          <w:tcPr>
            <w:tcW w:type="dxa" w:w="241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Community building</w:t>
            </w:r>
          </w:p>
        </w:tc>
        <w:tc>
          <w:tcPr>
            <w:tcW w:type="dxa" w:w="141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val="false"/>
                <w:bCs w:val="false"/>
                <w:color w:val="6B7A8C"/>
                <w:sz w:val="18"/>
                <w:szCs w:val="18"/>
              </w:rPr>
              <w:t xml:space="preserve">Skip</w:t>
            </w:r>
          </w:p>
        </w:tc>
        <w:tc>
          <w:tcPr>
            <w:tcW w:type="dxa" w:w="4637"/>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Expensive, slow, and not where this buyer is. Participate in existing practitioner communities instead.</w:t>
            </w:r>
          </w:p>
        </w:tc>
      </w:tr>
    </w:tbl>
    <w:p>
      <w:pPr>
        <w:spacing w:after="180" w:before="0" w:line="276"/>
      </w:pPr>
      <w:r>
        <w:rPr>
          <w:rFonts w:ascii="Calibri" w:cs="Calibri" w:eastAsia="Calibri" w:hAnsi="Calibri"/>
          <w:color w:val="3D4A5A"/>
          <w:sz w:val="8"/>
          <w:szCs w:val="8"/>
        </w:rPr>
        <w:t xml:space="preserve"/>
      </w:r>
    </w:p>
    <w:p>
      <w:pPr>
        <w:pStyle w:val="Heading3"/>
        <w:keepNext/>
        <w:spacing w:after="80" w:before="240"/>
      </w:pPr>
      <w:r>
        <w:rPr>
          <w:rFonts w:ascii="Calibri" w:cs="Calibri" w:eastAsia="Calibri" w:hAnsi="Calibri"/>
          <w:b/>
          <w:bCs/>
          <w:color w:val="14202E"/>
          <w:sz w:val="22"/>
          <w:szCs w:val="22"/>
        </w:rPr>
        <w:t xml:space="preserve">45.3  Three sequencing rules</w:t>
      </w:r>
    </w:p>
    <w:tbl>
      <w:tblPr>
        <w:tblW w:type="dxa" w:w="10080"/>
        <w:tblBorders>
          <w:top w:val="single" w:color="D3DCE6" w:sz="2"/>
          <w:left w:val="none"/>
          <w:bottom w:val="single" w:color="D3DCE6" w:sz="2"/>
          <w:right w:val="none"/>
          <w:insideH w:val="single" w:color="D3DCE6" w:sz="2"/>
          <w:insideV w:val="none"/>
        </w:tblBorders>
      </w:tblPr>
      <w:tblGrid>
        <w:gridCol w:w="3427"/>
        <w:gridCol w:w="6653"/>
      </w:tblGrid>
      <w:tr>
        <w:trPr>
          <w:cantSplit/>
          <w:tblHeader/>
        </w:trPr>
        <w:tc>
          <w:tcPr>
            <w:tcW w:type="dxa" w:w="3427"/>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Rule</w:t>
            </w:r>
          </w:p>
        </w:tc>
        <w:tc>
          <w:tcPr>
            <w:tcW w:type="dxa" w:w="6653"/>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Why</w:t>
            </w:r>
          </w:p>
        </w:tc>
      </w:tr>
      <w:tr>
        <w:trPr>
          <w:cantSplit/>
        </w:trPr>
        <w:tc>
          <w:tcPr>
            <w:tcW w:type="dxa" w:w="3427"/>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Do the “do first” items, then stop and run for a quarter</w:t>
            </w:r>
          </w:p>
        </w:tc>
        <w:tc>
          <w:tcPr>
            <w:tcW w:type="dxa" w:w="6653"/>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The function works with those in place. Adding depth before anything has run produces documents rather than pipeline.</w:t>
            </w:r>
          </w:p>
        </w:tc>
      </w:tr>
      <w:tr>
        <w:trPr>
          <w:cantSplit/>
        </w:trPr>
        <w:tc>
          <w:tcPr>
            <w:tcW w:type="dxa" w:w="3427"/>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Fix instrumentation before creation</w:t>
            </w:r>
          </w:p>
        </w:tc>
        <w:tc>
          <w:tcPr>
            <w:tcW w:type="dxa" w:w="6653"/>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Analytics access, CRM stage definitions and win/loss capture are hours of work each and they make every later decision evidence-based instead of argued. They are also the only way the fit model ever gets validated.</w:t>
            </w:r>
          </w:p>
        </w:tc>
      </w:tr>
      <w:tr>
        <w:trPr>
          <w:cantSplit/>
        </w:trPr>
        <w:tc>
          <w:tcPr>
            <w:tcW w:type="dxa" w:w="3427"/>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Let the skips stay skipped</w:t>
            </w:r>
          </w:p>
        </w:tc>
        <w:tc>
          <w:tcPr>
            <w:tcW w:type="dxa" w:w="6653"/>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Analyst relations, attribution modelling, community building, category design and brand-purpose work are where small teams spend a year and get nothing. Revisit only when headcount or deal size genuinely changes.</w:t>
            </w:r>
          </w:p>
        </w:tc>
      </w:tr>
    </w:tbl>
    <w:p>
      <w:pPr>
        <w:spacing w:after="180" w:before="0" w:line="276"/>
      </w:pPr>
      <w:r>
        <w:rPr>
          <w:rFonts w:ascii="Calibri" w:cs="Calibri" w:eastAsia="Calibri" w:hAnsi="Calibri"/>
          <w:color w:val="3D4A5A"/>
          <w:sz w:val="8"/>
          <w:szCs w:val="8"/>
        </w:rPr>
        <w:t xml:space="preserve"/>
      </w:r>
    </w:p>
    <w:tbl>
      <w:tblPr>
        <w:tblW w:type="dxa" w:w="10080"/>
        <w:tblBorders>
          <w:top w:val="none"/>
          <w:left w:val="single" w:color="A8781F" w:sz="18"/>
          <w:bottom w:val="none"/>
          <w:right w:val="none"/>
          <w:insideH w:val="none"/>
          <w:insideV w:val="none"/>
        </w:tblBorders>
      </w:tblPr>
      <w:tblGrid>
        <w:gridCol w:w="10080"/>
      </w:tblGrid>
      <w:tr>
        <w:trPr>
          <w:cantSplit/>
        </w:trPr>
        <w:tc>
          <w:tcPr>
            <w:tcW w:type="dxa" w:w="10080"/>
            <w:tcBorders>
              <w:top w:val="none"/>
              <w:left w:val="none"/>
              <w:bottom w:val="none"/>
              <w:right w:val="none"/>
            </w:tcBorders>
            <w:shd w:fill="FBF4E6" w:color="auto" w:val="clear"/>
            <w:tcMar>
              <w:top w:type="dxa" w:w="130"/>
              <w:left w:type="dxa" w:w="180"/>
              <w:bottom w:type="dxa" w:w="130"/>
              <w:right w:type="dxa" w:w="160"/>
            </w:tcMar>
          </w:tcPr>
          <w:p>
            <w:pPr>
              <w:keepNext/>
              <w:spacing w:after="60" w:before="0" w:line="260"/>
            </w:pPr>
            <w:r>
              <w:rPr>
                <w:rFonts w:ascii="Calibri" w:cs="Calibri" w:eastAsia="Calibri" w:hAnsi="Calibri"/>
                <w:b/>
                <w:bCs/>
                <w:color w:val="A8781F"/>
                <w:sz w:val="19"/>
                <w:szCs w:val="19"/>
              </w:rPr>
              <w:t xml:space="preserve">One thing this map cannot tell you</w:t>
            </w:r>
          </w:p>
          <w:p>
            <w:pPr>
              <w:spacing w:after="40" w:before="0" w:line="265"/>
            </w:pPr>
            <w:r>
              <w:rPr>
                <w:rFonts w:ascii="Calibri" w:cs="Calibri" w:eastAsia="Calibri" w:hAnsi="Calibri"/>
                <w:color w:val="3D4A5A"/>
                <w:sz w:val="19"/>
                <w:szCs w:val="19"/>
              </w:rPr>
              <w:t xml:space="preserve">Whether the segmentation is right. That answer lives in won-lost data 3HUE has not captured yet, which is why win/loss and CRM stage definitions are marked “do first” despite being the least interesting items on the list. Re-score twenty closed deals against the fit model; if the tiers do not separate wins from losses, the weights move — not the segment definitions.</w:t>
            </w:r>
          </w:p>
        </w:tc>
      </w:tr>
    </w:tbl>
    <w:p>
      <w:pPr>
        <w:pStyle w:val="Heading2"/>
        <w:keepNext/>
        <w:spacing w:after="40" w:before="340"/>
      </w:pPr>
      <w:r>
        <w:rPr>
          <w:rFonts w:ascii="Calibri" w:cs="Calibri" w:eastAsia="Calibri" w:hAnsi="Calibri"/>
          <w:b/>
          <w:bCs/>
          <w:color w:val="2F86B3"/>
          <w:sz w:val="28"/>
          <w:szCs w:val="28"/>
        </w:rPr>
        <w:t xml:space="preserve">46. The marketing library</w:t>
      </w:r>
    </w:p>
    <w:p>
      <w:pPr>
        <w:keepNext/>
        <w:spacing w:after="140" w:before="0" w:line="276"/>
      </w:pPr>
      <w:r>
        <w:rPr>
          <w:rFonts w:ascii="Calibri" w:cs="Calibri" w:eastAsia="Calibri" w:hAnsi="Calibri"/>
          <w:i/>
          <w:iCs/>
          <w:color w:val="6B7A8C"/>
          <w:sz w:val="19"/>
          <w:szCs w:val="19"/>
        </w:rPr>
        <w:t xml:space="preserve">Twelve parents, 86 folders, three levels deep — shallow enough that OneDrive sync never breaks.</w:t>
      </w:r>
    </w:p>
    <w:p>
      <w:pPr>
        <w:spacing w:after="120" w:before="0" w:line="276"/>
      </w:pPr>
      <w:r>
        <w:rPr>
          <w:rFonts w:ascii="Calibri" w:cs="Calibri" w:eastAsia="Calibri" w:hAnsi="Calibri"/>
          <w:b/>
          <w:bCs/>
          <w:color w:val="14202E"/>
          <w:sz w:val="20"/>
          <w:szCs w:val="20"/>
        </w:rPr>
        <w:t xml:space="preserve">Design rules: </w:t>
      </w:r>
      <w:r>
        <w:rPr>
          <w:rFonts w:ascii="Calibri" w:cs="Calibri" w:eastAsia="Calibri" w:hAnsi="Calibri"/>
          <w:color w:val="3D4A5A"/>
          <w:sz w:val="20"/>
          <w:szCs w:val="20"/>
        </w:rPr>
        <w:t xml:space="preserve">numbered parents so sort order is deliberate; maximum three levels; hyphens, never spaces; nothing named “Misc,” “New folder” or anyone’s initials. Build every parent immediately — empty parents prevent people inventing their own — and only populate subfolders where something exists to put in them.</w:t>
      </w:r>
    </w:p>
    <w:tbl>
      <w:tblPr>
        <w:tblW w:type="dxa" w:w="10080"/>
        <w:tblBorders>
          <w:top w:val="single" w:color="D3DCE6" w:sz="2"/>
          <w:left w:val="none"/>
          <w:bottom w:val="single" w:color="D3DCE6" w:sz="2"/>
          <w:right w:val="none"/>
          <w:insideH w:val="single" w:color="D3DCE6" w:sz="2"/>
          <w:insideV w:val="none"/>
        </w:tblBorders>
      </w:tblPr>
      <w:tblGrid>
        <w:gridCol w:w="2016"/>
        <w:gridCol w:w="1008"/>
        <w:gridCol w:w="7056"/>
      </w:tblGrid>
      <w:tr>
        <w:trPr>
          <w:cantSplit/>
          <w:tblHeader/>
        </w:trPr>
        <w:tc>
          <w:tcPr>
            <w:tcW w:type="dxa" w:w="2016"/>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Parent</w:t>
            </w:r>
          </w:p>
        </w:tc>
        <w:tc>
          <w:tcPr>
            <w:tcW w:type="dxa" w:w="1008"/>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When</w:t>
            </w:r>
          </w:p>
        </w:tc>
        <w:tc>
          <w:tcPr>
            <w:tcW w:type="dxa" w:w="7056"/>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What it holds</w:t>
            </w:r>
          </w:p>
        </w:tc>
      </w:tr>
      <w:tr>
        <w:trPr>
          <w:cantSplit/>
        </w:trPr>
        <w:tc>
          <w:tcPr>
            <w:tcW w:type="dxa" w:w="201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00_Start-Here</w:t>
            </w:r>
          </w:p>
        </w:tc>
        <w:tc>
          <w:tcPr>
            <w:tcW w:type="dxa" w:w="100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Create now</w:t>
            </w:r>
          </w:p>
        </w:tc>
        <w:tc>
          <w:tcPr>
            <w:tcW w:type="dxa" w:w="705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The map, the rules, and who owns what: Folder-Map-and-Conventions, Who-Owns-What, Onboarding.</w:t>
            </w:r>
          </w:p>
        </w:tc>
      </w:tr>
      <w:tr>
        <w:trPr>
          <w:cantSplit/>
        </w:trPr>
        <w:tc>
          <w:tcPr>
            <w:tcW w:type="dxa" w:w="2016"/>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01_Strategy</w:t>
            </w:r>
          </w:p>
        </w:tc>
        <w:tc>
          <w:tcPr>
            <w:tcW w:type="dxa" w:w="1008"/>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Create now</w:t>
            </w:r>
          </w:p>
        </w:tc>
        <w:tc>
          <w:tcPr>
            <w:tcW w:type="dxa" w:w="7056"/>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Research (Market-Research, Social-Listening, Voice-of-Customer), ICP-and-Segmentation, Capability-Map-and-Roadmap, Plans-and-OKRs, Budget, Win-Loss.</w:t>
            </w:r>
          </w:p>
        </w:tc>
      </w:tr>
      <w:tr>
        <w:trPr>
          <w:cantSplit/>
        </w:trPr>
        <w:tc>
          <w:tcPr>
            <w:tcW w:type="dxa" w:w="201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02_Brand</w:t>
            </w:r>
          </w:p>
        </w:tc>
        <w:tc>
          <w:tcPr>
            <w:tcW w:type="dxa" w:w="100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Create now</w:t>
            </w:r>
          </w:p>
        </w:tc>
        <w:tc>
          <w:tcPr>
            <w:tcW w:type="dxa" w:w="705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Logos (3HUE-Master, Service-Marks, AiVRIC, Favicons-and-Avatars), Guidelines, Templates (Slides, Documents, Proposals-and-SOW, Email-Signatures, Social-Frames), Fonts, Imagery (Approved, Stock-and-Licences, Headshots).</w:t>
            </w:r>
          </w:p>
        </w:tc>
      </w:tr>
      <w:tr>
        <w:trPr>
          <w:cantSplit/>
        </w:trPr>
        <w:tc>
          <w:tcPr>
            <w:tcW w:type="dxa" w:w="2016"/>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03_Messaging</w:t>
            </w:r>
          </w:p>
        </w:tc>
        <w:tc>
          <w:tcPr>
            <w:tcW w:type="dxa" w:w="1008"/>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Create now</w:t>
            </w:r>
          </w:p>
        </w:tc>
        <w:tc>
          <w:tcPr>
            <w:tcW w:type="dxa" w:w="7056"/>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Message-Stack, Claims-Library-and-Evidence, Battlecards, Objection-Handling, Boilerplate-and-Bios.</w:t>
            </w:r>
          </w:p>
        </w:tc>
      </w:tr>
      <w:tr>
        <w:trPr>
          <w:cantSplit/>
        </w:trPr>
        <w:tc>
          <w:tcPr>
            <w:tcW w:type="dxa" w:w="201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04_Campaigns</w:t>
            </w:r>
          </w:p>
        </w:tc>
        <w:tc>
          <w:tcPr>
            <w:tcW w:type="dxa" w:w="100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Create now</w:t>
            </w:r>
          </w:p>
        </w:tc>
        <w:tc>
          <w:tcPr>
            <w:tcW w:type="dxa" w:w="705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_Campaign-Template (1-Brief through 7-Results), Active, Completed. Copy the whole template folder to start a campaign.</w:t>
            </w:r>
          </w:p>
        </w:tc>
      </w:tr>
      <w:tr>
        <w:trPr>
          <w:cantSplit/>
        </w:trPr>
        <w:tc>
          <w:tcPr>
            <w:tcW w:type="dxa" w:w="2016"/>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05_Content</w:t>
            </w:r>
          </w:p>
        </w:tc>
        <w:tc>
          <w:tcPr>
            <w:tcW w:type="dxa" w:w="1008"/>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Create now</w:t>
            </w:r>
          </w:p>
        </w:tc>
        <w:tc>
          <w:tcPr>
            <w:tcW w:type="dxa" w:w="7056"/>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Website (Page-Copy, SEO-Keyword-Map, Trust-Page), Articles-and-Thought-Leadership, Social (LinkedIn-Founder, LinkedIn-Company, Video-and-Shorts), Lead-Magnets, Case-Studies (Published, In-Progress), Webinars-and-Events.</w:t>
            </w:r>
          </w:p>
        </w:tc>
      </w:tr>
      <w:tr>
        <w:trPr>
          <w:cantSplit/>
        </w:trPr>
        <w:tc>
          <w:tcPr>
            <w:tcW w:type="dxa" w:w="201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06_Sales-Enablement</w:t>
            </w:r>
          </w:p>
        </w:tc>
        <w:tc>
          <w:tcPr>
            <w:tcW w:type="dxa" w:w="100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Create now</w:t>
            </w:r>
          </w:p>
        </w:tc>
        <w:tc>
          <w:tcPr>
            <w:tcW w:type="dxa" w:w="705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Pitch-Decks, One-Pagers, Discovery-and-Scripts, ROI-and-Business-Case, References-and-Testimonials, Competitive-Responses.</w:t>
            </w:r>
          </w:p>
        </w:tc>
      </w:tr>
      <w:tr>
        <w:trPr>
          <w:cantSplit/>
        </w:trPr>
        <w:tc>
          <w:tcPr>
            <w:tcW w:type="dxa" w:w="2016"/>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07_Demand-Engine</w:t>
            </w:r>
          </w:p>
        </w:tc>
        <w:tc>
          <w:tcPr>
            <w:tcW w:type="dxa" w:w="1008"/>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Later</w:t>
            </w:r>
          </w:p>
        </w:tc>
        <w:tc>
          <w:tcPr>
            <w:tcW w:type="dxa" w:w="7056"/>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Target-Lists, Trigger-Signals, Nurture-Programmes, Outreach-Sequences, Paid-Media, Events-and-Speaking.</w:t>
            </w:r>
          </w:p>
        </w:tc>
      </w:tr>
      <w:tr>
        <w:trPr>
          <w:cantSplit/>
        </w:trPr>
        <w:tc>
          <w:tcPr>
            <w:tcW w:type="dxa" w:w="201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08_Partners-and-Channel</w:t>
            </w:r>
          </w:p>
        </w:tc>
        <w:tc>
          <w:tcPr>
            <w:tcW w:type="dxa" w:w="100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Later</w:t>
            </w:r>
          </w:p>
        </w:tc>
        <w:tc>
          <w:tcPr>
            <w:tcW w:type="dxa" w:w="705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MSP-Partner-Program, Partner-Enablement-Kit, Co-Marketing.</w:t>
            </w:r>
          </w:p>
        </w:tc>
      </w:tr>
      <w:tr>
        <w:trPr>
          <w:cantSplit/>
        </w:trPr>
        <w:tc>
          <w:tcPr>
            <w:tcW w:type="dxa" w:w="2016"/>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09_Measurement</w:t>
            </w:r>
          </w:p>
        </w:tc>
        <w:tc>
          <w:tcPr>
            <w:tcW w:type="dxa" w:w="1008"/>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Later</w:t>
            </w:r>
          </w:p>
        </w:tc>
        <w:tc>
          <w:tcPr>
            <w:tcW w:type="dxa" w:w="7056"/>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Dashboards-and-Reports, Analytics-Config, Source-Data.</w:t>
            </w:r>
          </w:p>
        </w:tc>
      </w:tr>
      <w:tr>
        <w:trPr>
          <w:cantSplit/>
        </w:trPr>
        <w:tc>
          <w:tcPr>
            <w:tcW w:type="dxa" w:w="201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10_Legal-and-Compliance</w:t>
            </w:r>
          </w:p>
        </w:tc>
        <w:tc>
          <w:tcPr>
            <w:tcW w:type="dxa" w:w="100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Create now</w:t>
            </w:r>
          </w:p>
        </w:tc>
        <w:tc>
          <w:tcPr>
            <w:tcW w:type="dxa" w:w="705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Restricted. Claim-Approvals, Client-Consents, Trademarks, Email-and-Privacy, Vendor-Contracts.</w:t>
            </w:r>
          </w:p>
        </w:tc>
      </w:tr>
      <w:tr>
        <w:trPr>
          <w:cantSplit/>
        </w:trPr>
        <w:tc>
          <w:tcPr>
            <w:tcW w:type="dxa" w:w="2016"/>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11_Archive</w:t>
            </w:r>
          </w:p>
        </w:tc>
        <w:tc>
          <w:tcPr>
            <w:tcW w:type="dxa" w:w="1008"/>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Later</w:t>
            </w:r>
          </w:p>
        </w:tc>
        <w:tc>
          <w:tcPr>
            <w:tcW w:type="dxa" w:w="7056"/>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One folder per year. Move, do not delete.</w:t>
            </w:r>
          </w:p>
        </w:tc>
      </w:tr>
    </w:tbl>
    <w:p>
      <w:pPr>
        <w:spacing w:after="180" w:before="0" w:line="276"/>
      </w:pPr>
      <w:r>
        <w:rPr>
          <w:rFonts w:ascii="Calibri" w:cs="Calibri" w:eastAsia="Calibri" w:hAnsi="Calibri"/>
          <w:color w:val="3D4A5A"/>
          <w:sz w:val="8"/>
          <w:szCs w:val="8"/>
        </w:rPr>
        <w:t xml:space="preserve"/>
      </w:r>
    </w:p>
    <w:p>
      <w:pPr>
        <w:keepNext/>
        <w:spacing w:after="60" w:before="180"/>
      </w:pPr>
      <w:r>
        <w:rPr>
          <w:rFonts w:ascii="Calibri" w:cs="Calibri" w:eastAsia="Calibri" w:hAnsi="Calibri"/>
          <w:b/>
          <w:bCs/>
          <w:color w:val="3D4A5A"/>
          <w:sz w:val="20"/>
          <w:szCs w:val="20"/>
        </w:rPr>
        <w:t xml:space="preserve">File naming — four rules</w:t>
      </w:r>
    </w:p>
    <w:tbl>
      <w:tblPr>
        <w:tblW w:type="dxa" w:w="10080"/>
        <w:tblBorders>
          <w:top w:val="single" w:color="D3DCE6" w:sz="2"/>
          <w:left w:val="none"/>
          <w:bottom w:val="single" w:color="D3DCE6" w:sz="2"/>
          <w:right w:val="none"/>
          <w:insideH w:val="single" w:color="D3DCE6" w:sz="2"/>
          <w:insideV w:val="none"/>
        </w:tblBorders>
      </w:tblPr>
      <w:tblGrid>
        <w:gridCol w:w="2621"/>
        <w:gridCol w:w="3730"/>
        <w:gridCol w:w="3730"/>
      </w:tblGrid>
      <w:tr>
        <w:trPr>
          <w:cantSplit/>
          <w:tblHeader/>
        </w:trPr>
        <w:tc>
          <w:tcPr>
            <w:tcW w:type="dxa" w:w="2621"/>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Rule</w:t>
            </w:r>
          </w:p>
        </w:tc>
        <w:tc>
          <w:tcPr>
            <w:tcW w:type="dxa" w:w="3730"/>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Do</w:t>
            </w:r>
          </w:p>
        </w:tc>
        <w:tc>
          <w:tcPr>
            <w:tcW w:type="dxa" w:w="3730"/>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Not</w:t>
            </w:r>
          </w:p>
        </w:tc>
      </w:tr>
      <w:tr>
        <w:trPr>
          <w:cantSplit/>
        </w:trPr>
        <w:tc>
          <w:tcPr>
            <w:tcW w:type="dxa" w:w="262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Dates first, ISO format</w:t>
            </w:r>
          </w:p>
        </w:tc>
        <w:tc>
          <w:tcPr>
            <w:tcW w:type="dxa" w:w="373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2026-09-02-blocked-deal-brief.docx</w:t>
            </w:r>
          </w:p>
        </w:tc>
        <w:tc>
          <w:tcPr>
            <w:tcW w:type="dxa" w:w="373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Sept 2 brief.docx · 09-02-26 brief.docx</w:t>
            </w:r>
          </w:p>
        </w:tc>
      </w:tr>
      <w:tr>
        <w:trPr>
          <w:cantSplit/>
        </w:trPr>
        <w:tc>
          <w:tcPr>
            <w:tcW w:type="dxa" w:w="262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Hyphens, not spaces</w:t>
            </w:r>
          </w:p>
        </w:tc>
        <w:tc>
          <w:tcPr>
            <w:tcW w:type="dxa" w:w="3730"/>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message-stack-v1.html</w:t>
            </w:r>
          </w:p>
        </w:tc>
        <w:tc>
          <w:tcPr>
            <w:tcW w:type="dxa" w:w="3730"/>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Message Stack v1.html</w:t>
            </w:r>
          </w:p>
        </w:tc>
      </w:tr>
      <w:tr>
        <w:trPr>
          <w:cantSplit/>
        </w:trPr>
        <w:tc>
          <w:tcPr>
            <w:tcW w:type="dxa" w:w="262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Let SharePoint version it</w:t>
            </w:r>
          </w:p>
        </w:tc>
        <w:tc>
          <w:tcPr>
            <w:tcW w:type="dxa" w:w="373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pitch-deck-regulated.pptx · pitch-deck-saas.pptx</w:t>
            </w:r>
          </w:p>
        </w:tc>
        <w:tc>
          <w:tcPr>
            <w:tcW w:type="dxa" w:w="373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pitch-deck-v7-final.pptx</w:t>
            </w:r>
          </w:p>
        </w:tc>
      </w:tr>
      <w:tr>
        <w:trPr>
          <w:cantSplit/>
        </w:trPr>
        <w:tc>
          <w:tcPr>
            <w:tcW w:type="dxa" w:w="262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No client names without consent</w:t>
            </w:r>
          </w:p>
        </w:tc>
        <w:tc>
          <w:tcPr>
            <w:tcW w:type="dxa" w:w="3730"/>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case-study-transit-technologies.docx (consented)</w:t>
            </w:r>
          </w:p>
        </w:tc>
        <w:tc>
          <w:tcPr>
            <w:tcW w:type="dxa" w:w="3730"/>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case-study-large-bank-DO-NOT-SHARE.docx</w:t>
            </w:r>
          </w:p>
        </w:tc>
      </w:tr>
    </w:tbl>
    <w:p>
      <w:pPr>
        <w:spacing w:after="180" w:before="0" w:line="276"/>
      </w:pPr>
      <w:r>
        <w:rPr>
          <w:rFonts w:ascii="Calibri" w:cs="Calibri" w:eastAsia="Calibri" w:hAnsi="Calibri"/>
          <w:color w:val="3D4A5A"/>
          <w:sz w:val="8"/>
          <w:szCs w:val="8"/>
        </w:rPr>
        <w:t xml:space="preserve"/>
      </w:r>
    </w:p>
    <w:p>
      <w:pPr>
        <w:spacing w:after="160" w:before="0" w:line="276"/>
      </w:pPr>
      <w:r>
        <w:rPr>
          <w:rFonts w:ascii="Calibri" w:cs="Calibri" w:eastAsia="Calibri" w:hAnsi="Calibri"/>
          <w:i/>
          <w:iCs/>
          <w:color w:val="6B7A8C"/>
          <w:sz w:val="16"/>
          <w:szCs w:val="16"/>
        </w:rPr>
        <w:t xml:space="preserve">Characters SharePoint will reject or mangle: " * : &lt; &gt; ? / \ | and leading or trailing spaces. # and % work now but still break older integrations. SharePoint allows about 400 characters for the full encoded URL and OneDrive sync starts failing well before that; this structure is deliberately three levels deep with the longest folder path at 47 characters, which is the reason not to add a fourth level later.</w:t>
      </w:r>
    </w:p>
    <w:p>
      <w:pPr>
        <w:keepNext/>
        <w:spacing w:after="60" w:before="180"/>
      </w:pPr>
      <w:r>
        <w:rPr>
          <w:rFonts w:ascii="Calibri" w:cs="Calibri" w:eastAsia="Calibri" w:hAnsi="Calibri"/>
          <w:b/>
          <w:bCs/>
          <w:color w:val="3D4A5A"/>
          <w:sz w:val="20"/>
          <w:szCs w:val="20"/>
        </w:rPr>
        <w:t xml:space="preserve">Three folders to fill before anything else</w:t>
      </w:r>
    </w:p>
    <w:p>
      <w:pPr>
        <w:pStyle w:val="ListParagraph"/>
        <w:numPr>
          <w:ilvl w:val="0"/>
          <w:numId w:val="1"/>
        </w:numPr>
        <w:spacing w:after="70" w:line="270"/>
      </w:pPr>
      <w:r>
        <w:rPr>
          <w:rFonts w:ascii="Calibri" w:cs="Calibri" w:eastAsia="Calibri" w:hAnsi="Calibri"/>
          <w:b/>
          <w:bCs/>
          <w:color w:val="14202E"/>
          <w:sz w:val="20"/>
          <w:szCs w:val="20"/>
        </w:rPr>
        <w:t xml:space="preserve">01_Strategy/Win-Loss</w:t>
      </w:r>
      <w:r>
        <w:rPr>
          <w:rFonts w:ascii="Calibri" w:cs="Calibri" w:eastAsia="Calibri" w:hAnsi="Calibri"/>
          <w:color w:val="3D4A5A"/>
          <w:sz w:val="20"/>
          <w:szCs w:val="20"/>
        </w:rPr>
        <w:t xml:space="preserve"> — start scoring closed deals against the fit model. This is free and it validates the whole ICP.</w:t>
      </w:r>
    </w:p>
    <w:p>
      <w:pPr>
        <w:pStyle w:val="ListParagraph"/>
        <w:numPr>
          <w:ilvl w:val="0"/>
          <w:numId w:val="1"/>
        </w:numPr>
        <w:spacing w:after="70" w:line="270"/>
      </w:pPr>
      <w:r>
        <w:rPr>
          <w:rFonts w:ascii="Calibri" w:cs="Calibri" w:eastAsia="Calibri" w:hAnsi="Calibri"/>
          <w:b/>
          <w:bCs/>
          <w:color w:val="14202E"/>
          <w:sz w:val="20"/>
          <w:szCs w:val="20"/>
        </w:rPr>
        <w:t xml:space="preserve">10_Legal/Client-Consents</w:t>
      </w:r>
      <w:r>
        <w:rPr>
          <w:rFonts w:ascii="Calibri" w:cs="Calibri" w:eastAsia="Calibri" w:hAnsi="Calibri"/>
          <w:color w:val="3D4A5A"/>
          <w:sz w:val="20"/>
          <w:szCs w:val="20"/>
        </w:rPr>
        <w:t xml:space="preserve"> — every case study is blocked until consent exists.</w:t>
      </w:r>
    </w:p>
    <w:p>
      <w:pPr>
        <w:pStyle w:val="ListParagraph"/>
        <w:numPr>
          <w:ilvl w:val="0"/>
          <w:numId w:val="1"/>
        </w:numPr>
        <w:spacing w:after="70" w:line="270"/>
      </w:pPr>
      <w:r>
        <w:rPr>
          <w:rFonts w:ascii="Calibri" w:cs="Calibri" w:eastAsia="Calibri" w:hAnsi="Calibri"/>
          <w:b/>
          <w:bCs/>
          <w:color w:val="14202E"/>
          <w:sz w:val="20"/>
          <w:szCs w:val="20"/>
        </w:rPr>
        <w:t xml:space="preserve">02_Brand/Templates/Slides</w:t>
      </w:r>
      <w:r>
        <w:rPr>
          <w:rFonts w:ascii="Calibri" w:cs="Calibri" w:eastAsia="Calibri" w:hAnsi="Calibri"/>
          <w:color w:val="3D4A5A"/>
          <w:sz w:val="20"/>
          <w:szCs w:val="20"/>
        </w:rPr>
        <w:t xml:space="preserve"> — there is no deck template and it is the most-used surface the firm owns.</w:t>
      </w:r>
    </w:p>
    <w:p>
      <w:r>
        <w:br w:type="page"/>
      </w:r>
    </w:p>
    <w:p>
      <w:pPr>
        <w:spacing w:after="40" w:before="200"/>
      </w:pPr>
      <w:r>
        <w:rPr>
          <w:rFonts w:ascii="Calibri" w:cs="Calibri" w:eastAsia="Calibri" w:hAnsi="Calibri"/>
          <w:b/>
          <w:bCs/>
          <w:color w:val="44A8D9"/>
          <w:sz w:val="18"/>
          <w:szCs w:val="18"/>
        </w:rPr>
        <w:t xml:space="preserve">PART VIII</w:t>
      </w:r>
    </w:p>
    <w:p>
      <w:pPr>
        <w:pStyle w:val="Heading1"/>
        <w:spacing w:after="120" w:before="0"/>
      </w:pPr>
      <w:r>
        <w:rPr>
          <w:rFonts w:ascii="Calibri" w:cs="Calibri" w:eastAsia="Calibri" w:hAnsi="Calibri"/>
          <w:b/>
          <w:bCs/>
          <w:color w:val="14202E"/>
          <w:sz w:val="40"/>
          <w:szCs w:val="40"/>
        </w:rPr>
        <w:t xml:space="preserve">The Inherited Documents</w:t>
      </w:r>
    </w:p>
    <w:p>
      <w:pPr>
        <w:spacing w:after="200" w:before="0" w:line="276"/>
      </w:pPr>
      <w:r>
        <w:rPr>
          <w:rFonts w:ascii="Calibri" w:cs="Calibri" w:eastAsia="Calibri" w:hAnsi="Calibri"/>
          <w:color w:val="3D4A5A"/>
          <w:sz w:val="21"/>
          <w:szCs w:val="21"/>
        </w:rPr>
        <w:t xml:space="preserve">Two strategy documents handed over by the marketing leader, reconciled against the research: what carries forward, what is new, what conflicts, and the one finding that outweighs everything else in them.</w:t>
      </w:r>
    </w:p>
    <w:p>
      <w:pPr>
        <w:pBdr>
          <w:bottom w:val="single" w:color="D3DCE6" w:sz="6" w:space="1"/>
        </w:pBdr>
        <w:spacing w:after="160" w:before="0"/>
      </w:pPr>
      <w:r>
        <w:rPr>
          <w:rFonts w:ascii="Calibri" w:cs="Calibri" w:eastAsia="Calibri" w:hAnsi="Calibri"/>
          <w:color w:val="3D4A5A"/>
          <w:sz w:val="2"/>
          <w:szCs w:val="2"/>
        </w:rPr>
        <w:t xml:space="preserve"/>
      </w:r>
    </w:p>
    <w:p>
      <w:pPr>
        <w:pStyle w:val="Heading2"/>
        <w:keepNext/>
        <w:spacing w:after="120" w:before="340"/>
      </w:pPr>
      <w:r>
        <w:rPr>
          <w:rFonts w:ascii="Calibri" w:cs="Calibri" w:eastAsia="Calibri" w:hAnsi="Calibri"/>
          <w:b/>
          <w:bCs/>
          <w:color w:val="2F86B3"/>
          <w:sz w:val="28"/>
          <w:szCs w:val="28"/>
        </w:rPr>
        <w:t xml:space="preserve">47. What the two documents are</w:t>
      </w:r>
    </w:p>
    <w:tbl>
      <w:tblPr>
        <w:tblW w:type="dxa" w:w="10080"/>
        <w:tblBorders>
          <w:top w:val="single" w:color="D3DCE6" w:sz="2"/>
          <w:left w:val="none"/>
          <w:bottom w:val="single" w:color="D3DCE6" w:sz="2"/>
          <w:right w:val="none"/>
          <w:insideH w:val="single" w:color="D3DCE6" w:sz="2"/>
          <w:insideV w:val="none"/>
        </w:tblBorders>
      </w:tblPr>
      <w:tblGrid>
        <w:gridCol w:w="2621"/>
        <w:gridCol w:w="2218"/>
        <w:gridCol w:w="5242"/>
      </w:tblGrid>
      <w:tr>
        <w:trPr>
          <w:cantSplit/>
          <w:tblHeader/>
        </w:trPr>
        <w:tc>
          <w:tcPr>
            <w:tcW w:type="dxa" w:w="2621"/>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Document</w:t>
            </w:r>
          </w:p>
        </w:tc>
        <w:tc>
          <w:tcPr>
            <w:tcW w:type="dxa" w:w="2218"/>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What it is</w:t>
            </w:r>
          </w:p>
        </w:tc>
        <w:tc>
          <w:tcPr>
            <w:tcW w:type="dxa" w:w="5242"/>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What it supplies</w:t>
            </w:r>
          </w:p>
        </w:tc>
      </w:tr>
      <w:tr>
        <w:trPr>
          <w:cantSplit/>
        </w:trPr>
        <w:tc>
          <w:tcPr>
            <w:tcW w:type="dxa" w:w="262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3HUE Marketing Strategy &amp; Site Recommendations 2024</w:t>
            </w:r>
          </w:p>
        </w:tc>
        <w:tc>
          <w:tcPr>
            <w:tcW w:type="dxa" w:w="221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37 pages, by Pablo Alvarez</w:t>
            </w:r>
          </w:p>
        </w:tc>
        <w:tc>
          <w:tcPr>
            <w:tcW w:type="dxa" w:w="5242"/>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Business overview, tone and voice, target audience, buyer persona, consumer journey, content goals, SEO strategy, blog samples, inbound and email, social media, and a page-by-page website audit with a Semrush export.</w:t>
            </w:r>
          </w:p>
        </w:tc>
      </w:tr>
      <w:tr>
        <w:trPr>
          <w:cantSplit/>
        </w:trPr>
        <w:tc>
          <w:tcPr>
            <w:tcW w:type="dxa" w:w="262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3HUE 2026–2027 GTM &amp; Marketing Strategy</w:t>
            </w:r>
          </w:p>
        </w:tc>
        <w:tc>
          <w:tcPr>
            <w:tcW w:type="dxa" w:w="2218"/>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17 slides, marked “confidential draft for leadership discussion”</w:t>
            </w:r>
          </w:p>
        </w:tc>
        <w:tc>
          <w:tcPr>
            <w:tcW w:type="dxa" w:w="5242"/>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Positioning, ICP, buying committee, buying triggers, offer architecture, messaging framework, content pillars, channel strategy, YouTube approach, website conversion strategy, customer proof system, a 90-day plan and KPIs. Self-described as rebuilt from the 2024 deck plus a current website review.</w:t>
            </w:r>
          </w:p>
        </w:tc>
      </w:tr>
    </w:tbl>
    <w:p>
      <w:pPr>
        <w:spacing w:after="180" w:before="0" w:line="276"/>
      </w:pPr>
      <w:r>
        <w:rPr>
          <w:rFonts w:ascii="Calibri" w:cs="Calibri" w:eastAsia="Calibri" w:hAnsi="Calibri"/>
          <w:color w:val="3D4A5A"/>
          <w:sz w:val="8"/>
          <w:szCs w:val="8"/>
        </w:rPr>
        <w:t xml:space="preserve"/>
      </w:r>
    </w:p>
    <w:p>
      <w:pPr>
        <w:pStyle w:val="Heading2"/>
        <w:keepNext/>
        <w:spacing w:after="40" w:before="340"/>
      </w:pPr>
      <w:r>
        <w:rPr>
          <w:rFonts w:ascii="Calibri" w:cs="Calibri" w:eastAsia="Calibri" w:hAnsi="Calibri"/>
          <w:b/>
          <w:bCs/>
          <w:color w:val="2F86B3"/>
          <w:sz w:val="28"/>
          <w:szCs w:val="28"/>
        </w:rPr>
        <w:t xml:space="preserve">48. The standing diagnosis</w:t>
      </w:r>
    </w:p>
    <w:p>
      <w:pPr>
        <w:keepNext/>
        <w:spacing w:after="140" w:before="0" w:line="276"/>
      </w:pPr>
      <w:r>
        <w:rPr>
          <w:rFonts w:ascii="Calibri" w:cs="Calibri" w:eastAsia="Calibri" w:hAnsi="Calibri"/>
          <w:i/>
          <w:iCs/>
          <w:color w:val="6B7A8C"/>
          <w:sz w:val="19"/>
          <w:szCs w:val="19"/>
        </w:rPr>
        <w:t xml:space="preserve">A website problem diagnosed in February 2024, restated in the 2026 GTM deck, and still accurate today.</w:t>
      </w:r>
    </w:p>
    <w:p>
      <w:pPr>
        <w:spacing w:after="120" w:before="0" w:line="276"/>
      </w:pPr>
      <w:r>
        <w:rPr>
          <w:rFonts w:ascii="Calibri" w:cs="Calibri" w:eastAsia="Calibri" w:hAnsi="Calibri"/>
          <w:color w:val="3D4A5A"/>
          <w:sz w:val="20"/>
          <w:szCs w:val="20"/>
        </w:rPr>
        <w:t xml:space="preserve">Page 36 of the 2024 deck carries a Semrush export dated 29 February 2024. It is the most valuable page in either document, and not for a good reason.</w:t>
      </w:r>
    </w:p>
    <w:tbl>
      <w:tblPr>
        <w:tblW w:type="dxa" w:w="10080"/>
        <w:tblBorders>
          <w:top w:val="single" w:color="D3DCE6" w:sz="2"/>
          <w:left w:val="none"/>
          <w:bottom w:val="single" w:color="D3DCE6" w:sz="2"/>
          <w:right w:val="none"/>
          <w:insideH w:val="single" w:color="D3DCE6" w:sz="2"/>
          <w:insideV w:val="none"/>
        </w:tblBorders>
      </w:tblPr>
      <w:tblGrid>
        <w:gridCol w:w="2218"/>
        <w:gridCol w:w="2621"/>
        <w:gridCol w:w="3226"/>
        <w:gridCol w:w="2016"/>
      </w:tblGrid>
      <w:tr>
        <w:trPr>
          <w:cantSplit/>
          <w:tblHeader/>
        </w:trPr>
        <w:tc>
          <w:tcPr>
            <w:tcW w:type="dxa" w:w="2218"/>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Measure</w:t>
            </w:r>
          </w:p>
        </w:tc>
        <w:tc>
          <w:tcPr>
            <w:tcW w:type="dxa" w:w="2621"/>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29 February 2024</w:t>
            </w:r>
          </w:p>
        </w:tc>
        <w:tc>
          <w:tcPr>
            <w:tcW w:type="dxa" w:w="3226"/>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4 September 2026</w:t>
            </w:r>
          </w:p>
        </w:tc>
        <w:tc>
          <w:tcPr>
            <w:tcW w:type="dxa" w:w="2016"/>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Status</w:t>
            </w:r>
          </w:p>
        </w:tc>
      </w:tr>
      <w:tr>
        <w:trPr>
          <w:cantSplit/>
        </w:trPr>
        <w:tc>
          <w:tcPr>
            <w:tcW w:type="dxa" w:w="221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Organic search traffic</w:t>
            </w:r>
          </w:p>
        </w:tc>
        <w:tc>
          <w:tcPr>
            <w:tcW w:type="dxa" w:w="262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0</w:t>
            </w:r>
          </w:p>
        </w:tc>
        <w:tc>
          <w:tcPr>
            <w:tcW w:type="dxa" w:w="322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Still not ranking for the company name</w:t>
            </w:r>
          </w:p>
        </w:tc>
        <w:tc>
          <w:tcPr>
            <w:tcW w:type="dxa" w:w="201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A4462F"/>
                <w:sz w:val="18"/>
                <w:szCs w:val="18"/>
              </w:rPr>
              <w:t xml:space="preserve">Unchanged</w:t>
            </w:r>
          </w:p>
        </w:tc>
      </w:tr>
      <w:tr>
        <w:trPr>
          <w:cantSplit/>
        </w:trPr>
        <w:tc>
          <w:tcPr>
            <w:tcW w:type="dxa" w:w="2218"/>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Organic keywords</w:t>
            </w:r>
          </w:p>
        </w:tc>
        <w:tc>
          <w:tcPr>
            <w:tcW w:type="dxa" w:w="262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2</w:t>
            </w:r>
          </w:p>
        </w:tc>
        <w:tc>
          <w:tcPr>
            <w:tcW w:type="dxa" w:w="3226"/>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Page one for “3HUE” is Crunchbase, ZoomInfo, D&amp;B, BBB</w:t>
            </w:r>
          </w:p>
        </w:tc>
        <w:tc>
          <w:tcPr>
            <w:tcW w:type="dxa" w:w="2016"/>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A4462F"/>
                <w:sz w:val="18"/>
                <w:szCs w:val="18"/>
              </w:rPr>
              <w:t xml:space="preserve">Unchanged</w:t>
            </w:r>
          </w:p>
        </w:tc>
      </w:tr>
      <w:tr>
        <w:trPr>
          <w:cantSplit/>
        </w:trPr>
        <w:tc>
          <w:tcPr>
            <w:tcW w:type="dxa" w:w="221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Authority Score</w:t>
            </w:r>
          </w:p>
        </w:tc>
        <w:tc>
          <w:tcPr>
            <w:tcW w:type="dxa" w:w="262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2 (falling)</w:t>
            </w:r>
          </w:p>
        </w:tc>
        <w:tc>
          <w:tcPr>
            <w:tcW w:type="dxa" w:w="322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Not re-measured</w:t>
            </w:r>
          </w:p>
        </w:tc>
        <w:tc>
          <w:tcPr>
            <w:tcW w:type="dxa" w:w="201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w:t>
            </w:r>
          </w:p>
        </w:tc>
      </w:tr>
      <w:tr>
        <w:trPr>
          <w:cantSplit/>
        </w:trPr>
        <w:tc>
          <w:tcPr>
            <w:tcW w:type="dxa" w:w="2218"/>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Backlinks / referring domains</w:t>
            </w:r>
          </w:p>
        </w:tc>
        <w:tc>
          <w:tcPr>
            <w:tcW w:type="dxa" w:w="262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155 / 33</w:t>
            </w:r>
          </w:p>
        </w:tc>
        <w:tc>
          <w:tcPr>
            <w:tcW w:type="dxa" w:w="3226"/>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Not re-measured</w:t>
            </w:r>
          </w:p>
        </w:tc>
        <w:tc>
          <w:tcPr>
            <w:tcW w:type="dxa" w:w="2016"/>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6B7A8C"/>
                <w:sz w:val="18"/>
                <w:szCs w:val="18"/>
              </w:rPr>
              <w:t xml:space="preserve">Not the bottleneck</w:t>
            </w:r>
          </w:p>
        </w:tc>
      </w:tr>
      <w:tr>
        <w:trPr>
          <w:cantSplit/>
        </w:trPr>
        <w:tc>
          <w:tcPr>
            <w:tcW w:type="dxa" w:w="221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Site health</w:t>
            </w:r>
          </w:p>
        </w:tc>
        <w:tc>
          <w:tcPr>
            <w:tcW w:type="dxa" w:w="262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87% · 39 pages crawled · 11 errors · 241 warnings · 34 notices</w:t>
            </w:r>
          </w:p>
        </w:tc>
        <w:tc>
          <w:tcPr>
            <w:tcW w:type="dxa" w:w="322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Not re-measured</w:t>
            </w:r>
          </w:p>
        </w:tc>
        <w:tc>
          <w:tcPr>
            <w:tcW w:type="dxa" w:w="201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w:t>
            </w:r>
          </w:p>
        </w:tc>
      </w:tr>
      <w:tr>
        <w:trPr>
          <w:cantSplit/>
        </w:trPr>
        <w:tc>
          <w:tcPr>
            <w:tcW w:type="dxa" w:w="2218"/>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Indexation basics</w:t>
            </w:r>
          </w:p>
        </w:tc>
        <w:tc>
          <w:tcPr>
            <w:tcW w:type="dxa" w:w="262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4 pages returning 4XX · 19 pages with no h1 · 20 with low text-to-HTML ratio</w:t>
            </w:r>
          </w:p>
        </w:tc>
        <w:tc>
          <w:tcPr>
            <w:tcW w:type="dxa" w:w="3226"/>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No sitemap.xml · no canonical · no og:url · zero JSON-LD</w:t>
            </w:r>
          </w:p>
        </w:tc>
        <w:tc>
          <w:tcPr>
            <w:tcW w:type="dxa" w:w="2016"/>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A4462F"/>
                <w:sz w:val="18"/>
                <w:szCs w:val="18"/>
              </w:rPr>
              <w:t xml:space="preserve">Worse</w:t>
            </w:r>
          </w:p>
        </w:tc>
      </w:tr>
      <w:tr>
        <w:trPr>
          <w:cantSplit/>
        </w:trPr>
        <w:tc>
          <w:tcPr>
            <w:tcW w:type="dxa" w:w="2218"/>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One site or two</w:t>
            </w:r>
          </w:p>
        </w:tc>
        <w:tc>
          <w:tcPr>
            <w:tcW w:type="dxa" w:w="262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One</w:t>
            </w:r>
          </w:p>
        </w:tc>
        <w:tc>
          <w:tcPr>
            <w:tcW w:type="dxa" w:w="322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Apex and www serve two different sites</w:t>
            </w:r>
          </w:p>
        </w:tc>
        <w:tc>
          <w:tcPr>
            <w:tcW w:type="dxa" w:w="2016"/>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A4462F"/>
                <w:sz w:val="18"/>
                <w:szCs w:val="18"/>
              </w:rPr>
              <w:t xml:space="preserve">New failure</w:t>
            </w:r>
          </w:p>
        </w:tc>
      </w:tr>
      <w:tr>
        <w:trPr>
          <w:cantSplit/>
        </w:trPr>
        <w:tc>
          <w:tcPr>
            <w:tcW w:type="dxa" w:w="2218"/>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Availability copy</w:t>
            </w:r>
          </w:p>
        </w:tc>
        <w:tc>
          <w:tcPr>
            <w:tcW w:type="dxa" w:w="262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w:t>
            </w:r>
          </w:p>
        </w:tc>
        <w:tc>
          <w:tcPr>
            <w:tcW w:type="dxa" w:w="3226"/>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“Now accepting Q2 2026 Snapshot engagements”</w:t>
            </w:r>
          </w:p>
        </w:tc>
        <w:tc>
          <w:tcPr>
            <w:tcW w:type="dxa" w:w="2016"/>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A4462F"/>
                <w:sz w:val="18"/>
                <w:szCs w:val="18"/>
              </w:rPr>
              <w:t xml:space="preserve">Stale since 30 June</w:t>
            </w:r>
          </w:p>
        </w:tc>
      </w:tr>
    </w:tbl>
    <w:p>
      <w:pPr>
        <w:spacing w:after="180" w:before="0" w:line="276"/>
      </w:pPr>
      <w:r>
        <w:rPr>
          <w:rFonts w:ascii="Calibri" w:cs="Calibri" w:eastAsia="Calibri" w:hAnsi="Calibri"/>
          <w:color w:val="3D4A5A"/>
          <w:sz w:val="8"/>
          <w:szCs w:val="8"/>
        </w:rPr>
        <w:t xml:space="preserve"/>
      </w:r>
    </w:p>
    <w:p>
      <w:pPr>
        <w:spacing w:after="120" w:before="0" w:line="276"/>
      </w:pPr>
      <w:r>
        <w:rPr>
          <w:rFonts w:ascii="Calibri" w:cs="Calibri" w:eastAsia="Calibri" w:hAnsi="Calibri"/>
          <w:b/>
          <w:bCs/>
          <w:color w:val="14202E"/>
          <w:sz w:val="20"/>
          <w:szCs w:val="20"/>
        </w:rPr>
        <w:t xml:space="preserve">The GTM deck names the fix precisely: </w:t>
      </w:r>
      <w:r>
        <w:rPr>
          <w:rFonts w:ascii="Calibri" w:cs="Calibri" w:eastAsia="Calibri" w:hAnsi="Calibri"/>
          <w:color w:val="3D4A5A"/>
          <w:sz w:val="20"/>
          <w:szCs w:val="20"/>
        </w:rPr>
        <w:t xml:space="preserve">“Highest-priority fix: remove/update dated availability language such as Q2 2026 and make all CTAs current.” That exact string is still on the homepage.</w:t>
      </w:r>
    </w:p>
    <w:tbl>
      <w:tblPr>
        <w:tblW w:type="dxa" w:w="10080"/>
        <w:tblBorders>
          <w:top w:val="none"/>
          <w:left w:val="single" w:color="A4462F" w:sz="18"/>
          <w:bottom w:val="none"/>
          <w:right w:val="none"/>
          <w:insideH w:val="none"/>
          <w:insideV w:val="none"/>
        </w:tblBorders>
      </w:tblPr>
      <w:tblGrid>
        <w:gridCol w:w="10080"/>
      </w:tblGrid>
      <w:tr>
        <w:trPr>
          <w:cantSplit/>
        </w:trPr>
        <w:tc>
          <w:tcPr>
            <w:tcW w:type="dxa" w:w="10080"/>
            <w:tcBorders>
              <w:top w:val="none"/>
              <w:left w:val="none"/>
              <w:bottom w:val="none"/>
              <w:right w:val="none"/>
            </w:tcBorders>
            <w:shd w:fill="FBEEEA" w:color="auto" w:val="clear"/>
            <w:tcMar>
              <w:top w:type="dxa" w:w="130"/>
              <w:left w:type="dxa" w:w="180"/>
              <w:bottom w:type="dxa" w:w="130"/>
              <w:right w:type="dxa" w:w="160"/>
            </w:tcMar>
          </w:tcPr>
          <w:p>
            <w:pPr>
              <w:keepNext/>
              <w:spacing w:after="60" w:before="0" w:line="260"/>
            </w:pPr>
            <w:r>
              <w:rPr>
                <w:rFonts w:ascii="Calibri" w:cs="Calibri" w:eastAsia="Calibri" w:hAnsi="Calibri"/>
                <w:b/>
                <w:bCs/>
                <w:color w:val="A4462F"/>
                <w:sz w:val="19"/>
                <w:szCs w:val="19"/>
              </w:rPr>
              <w:t xml:space="preserve">The honest read</w:t>
            </w:r>
          </w:p>
          <w:p>
            <w:pPr>
              <w:spacing w:after="40" w:before="0" w:line="265"/>
            </w:pPr>
            <w:r>
              <w:rPr>
                <w:rFonts w:ascii="Calibri" w:cs="Calibri" w:eastAsia="Calibri" w:hAnsi="Calibri"/>
                <w:color w:val="3D4A5A"/>
                <w:sz w:val="19"/>
                <w:szCs w:val="19"/>
              </w:rPr>
              <w:t xml:space="preserve">This is not a research gap. Two separate consultants, thirty months apart, found the same problem and wrote it down. What is missing is not analysis — it is an owner, developer time, and a date. Every channel plan in this report inherits it, because every plan eventually points at the website.</w:t>
            </w:r>
          </w:p>
        </w:tc>
      </w:tr>
    </w:tbl>
    <w:p>
      <w:pPr>
        <w:pStyle w:val="Heading2"/>
        <w:keepNext/>
        <w:spacing w:after="120" w:before="340"/>
      </w:pPr>
      <w:r>
        <w:rPr>
          <w:rFonts w:ascii="Calibri" w:cs="Calibri" w:eastAsia="Calibri" w:hAnsi="Calibri"/>
          <w:b/>
          <w:bCs/>
          <w:color w:val="2F86B3"/>
          <w:sz w:val="28"/>
          <w:szCs w:val="28"/>
        </w:rPr>
        <w:t xml:space="preserve">49. Six things the handover supplied that no public source did</w:t>
      </w:r>
    </w:p>
    <w:p>
      <w:pPr>
        <w:keepNext/>
        <w:spacing w:after="60" w:before="180"/>
      </w:pPr>
      <w:r>
        <w:rPr>
          <w:rFonts w:ascii="Calibri" w:cs="Calibri" w:eastAsia="Calibri" w:hAnsi="Calibri"/>
          <w:b/>
          <w:bCs/>
          <w:color w:val="3D4A5A"/>
          <w:sz w:val="20"/>
          <w:szCs w:val="20"/>
        </w:rPr>
        <w:t xml:space="preserve">1 · 3HUE is a Veteran-Owned Small Business</w:t>
      </w:r>
    </w:p>
    <w:p>
      <w:pPr>
        <w:spacing w:after="120" w:before="0" w:line="276"/>
      </w:pPr>
      <w:r>
        <w:rPr>
          <w:rFonts w:ascii="Calibri" w:cs="Calibri" w:eastAsia="Calibri" w:hAnsi="Calibri"/>
          <w:color w:val="3D4A5A"/>
          <w:sz w:val="20"/>
          <w:szCs w:val="20"/>
        </w:rPr>
        <w:t xml:space="preserve">The 2024 deck states it plainly on the About Our Company slide, alongside “Founded in 2015” and “2020 Go-To-Market.” It appears on no current page of 3hue.net, in no third-party listing found, and in none of the other documents. For the regulated and federal-adjacent buyers in the ICP — and for supplier-diversity programs inside large enterprises — this is a qualification, not a nice-to-have.</w:t>
      </w:r>
    </w:p>
    <w:p>
      <w:pPr>
        <w:spacing w:after="160" w:before="0" w:line="276"/>
      </w:pPr>
      <w:r>
        <w:rPr>
          <w:rFonts w:ascii="Calibri" w:cs="Calibri" w:eastAsia="Calibri" w:hAnsi="Calibri"/>
          <w:i/>
          <w:iCs/>
          <w:color w:val="6B7A8C"/>
          <w:sz w:val="16"/>
          <w:szCs w:val="16"/>
        </w:rPr>
        <w:t xml:space="preserve">Action: confirm VOSB versus SDVOSB and current SBA registration before it goes anywhere public. Then it belongs in the site footer, the LinkedIn page and the claims library.</w:t>
      </w:r>
    </w:p>
    <w:p>
      <w:pPr>
        <w:keepNext/>
        <w:spacing w:after="60" w:before="180"/>
      </w:pPr>
      <w:r>
        <w:rPr>
          <w:rFonts w:ascii="Calibri" w:cs="Calibri" w:eastAsia="Calibri" w:hAnsi="Calibri"/>
          <w:b/>
          <w:bCs/>
          <w:color w:val="3D4A5A"/>
          <w:sz w:val="20"/>
          <w:szCs w:val="20"/>
        </w:rPr>
        <w:t xml:space="preserve">2 · There is a four-person on-camera bench</w:t>
      </w:r>
    </w:p>
    <w:p>
      <w:pPr>
        <w:spacing w:after="120" w:before="0" w:line="276"/>
      </w:pPr>
      <w:r>
        <w:rPr>
          <w:rFonts w:ascii="Calibri" w:cs="Calibri" w:eastAsia="Calibri" w:hAnsi="Calibri"/>
          <w:color w:val="3D4A5A"/>
          <w:sz w:val="20"/>
          <w:szCs w:val="20"/>
        </w:rPr>
        <w:t xml:space="preserve">The GTM deck names the YouTube cast: Andrew on board-level AI risk, Shay on how AI changes incident response and monitoring, Ariel on Power Platform automation and where governance must lead, Teriah on turning business ideas into controlled AI use cases. This answers what was the single open question in the channel plan and removes the founder dependency that was its biggest structural risk.</w:t>
      </w:r>
    </w:p>
    <w:p>
      <w:pPr>
        <w:keepNext/>
        <w:spacing w:after="60" w:before="180"/>
      </w:pPr>
      <w:r>
        <w:rPr>
          <w:rFonts w:ascii="Calibri" w:cs="Calibri" w:eastAsia="Calibri" w:hAnsi="Calibri"/>
          <w:b/>
          <w:bCs/>
          <w:color w:val="3D4A5A"/>
          <w:sz w:val="20"/>
          <w:szCs w:val="20"/>
        </w:rPr>
        <w:t xml:space="preserve">3 · 3HUE has published real prices before</w:t>
      </w:r>
    </w:p>
    <w:p>
      <w:pPr>
        <w:spacing w:after="120" w:before="0" w:line="276"/>
      </w:pPr>
      <w:r>
        <w:rPr>
          <w:rFonts w:ascii="Calibri" w:cs="Calibri" w:eastAsia="Calibri" w:hAnsi="Calibri"/>
          <w:color w:val="3D4A5A"/>
          <w:sz w:val="20"/>
          <w:szCs w:val="20"/>
        </w:rPr>
        <w:t xml:space="preserve">The 2024 site carried “Starting as low as $15 per endpoint” on the MDR page, with a $15 EDR and $45 XDR call-to-action pair, and named SentinelOne as the agent. The current site publishes nothing. The 2024 website was commercially more transparent than the 2026 one — which removes the “we don’t publish pricing” objection to a published pricing architecture. There is precedent, and it was 3HUE’s own.</w:t>
      </w:r>
    </w:p>
    <w:p>
      <w:pPr>
        <w:keepNext/>
        <w:spacing w:after="60" w:before="180"/>
      </w:pPr>
      <w:r>
        <w:rPr>
          <w:rFonts w:ascii="Calibri" w:cs="Calibri" w:eastAsia="Calibri" w:hAnsi="Calibri"/>
          <w:b/>
          <w:bCs/>
          <w:color w:val="3D4A5A"/>
          <w:sz w:val="20"/>
          <w:szCs w:val="20"/>
        </w:rPr>
        <w:t xml:space="preserve">4 · The old quote form is a ready-made ROI model</w:t>
      </w:r>
    </w:p>
    <w:p>
      <w:pPr>
        <w:spacing w:after="120" w:before="0" w:line="276"/>
      </w:pPr>
      <w:r>
        <w:rPr>
          <w:rFonts w:ascii="Calibri" w:cs="Calibri" w:eastAsia="Calibri" w:hAnsi="Calibri"/>
          <w:color w:val="3D4A5A"/>
          <w:sz w:val="20"/>
          <w:szCs w:val="20"/>
        </w:rPr>
        <w:t xml:space="preserve">The three-step “Get a Quote” flow collected: user endpoints, server endpoints, AWS accounts, Azure accounts, mobile devices, technology assets, vendors with access to sensitive data, physical locations, users, employees and admin users — plus yes/no on PCI-DSS, HITRUST, SOC 2, CMMC and HIPAA. That is a complete scoping input set, and it is 3HUE’s own historical logic rather than something invented. Use it as the input model for the ROI calculator instead of designing one from scratch.</w:t>
      </w:r>
    </w:p>
    <w:p>
      <w:pPr>
        <w:keepNext/>
        <w:spacing w:after="60" w:before="180"/>
      </w:pPr>
      <w:r>
        <w:rPr>
          <w:rFonts w:ascii="Calibri" w:cs="Calibri" w:eastAsia="Calibri" w:hAnsi="Calibri"/>
          <w:b/>
          <w:bCs/>
          <w:color w:val="3D4A5A"/>
          <w:sz w:val="20"/>
          <w:szCs w:val="20"/>
        </w:rPr>
        <w:t xml:space="preserve">5 · Named partners nobody is using</w:t>
      </w:r>
    </w:p>
    <w:p>
      <w:pPr>
        <w:spacing w:after="120" w:before="0" w:line="276"/>
      </w:pPr>
      <w:r>
        <w:rPr>
          <w:rFonts w:ascii="Calibri" w:cs="Calibri" w:eastAsia="Calibri" w:hAnsi="Calibri"/>
          <w:color w:val="3D4A5A"/>
          <w:sz w:val="20"/>
          <w:szCs w:val="20"/>
        </w:rPr>
        <w:t xml:space="preserve">The 2024 material names SentinelOne as the EDR/XDR technology, Roar Technical Inspectors as a partner, “White Dog” as the whitepaper producer, and HubSpot’s free tier as the email platform. None appear in current materials. The LinkedIn company page had 211 followers at the time of the screenshot — a useful launch baseline. Confirm which relationships are live; partner logos and a co-marketing motion are among the cheapest credibility available.</w:t>
      </w:r>
    </w:p>
    <w:p>
      <w:pPr>
        <w:keepNext/>
        <w:spacing w:after="60" w:before="180"/>
      </w:pPr>
      <w:r>
        <w:rPr>
          <w:rFonts w:ascii="Calibri" w:cs="Calibri" w:eastAsia="Calibri" w:hAnsi="Calibri"/>
          <w:b/>
          <w:bCs/>
          <w:color w:val="3D4A5A"/>
          <w:sz w:val="20"/>
          <w:szCs w:val="20"/>
        </w:rPr>
        <w:t xml:space="preserve">6 · Three public surfaces, two founding years</w:t>
      </w:r>
    </w:p>
    <w:p>
      <w:pPr>
        <w:spacing w:after="120" w:before="0" w:line="276"/>
      </w:pPr>
      <w:r>
        <w:rPr>
          <w:rFonts w:ascii="Calibri" w:cs="Calibri" w:eastAsia="Calibri" w:hAnsi="Calibri"/>
          <w:color w:val="3D4A5A"/>
          <w:sz w:val="20"/>
          <w:szCs w:val="20"/>
        </w:rPr>
        <w:t xml:space="preserve">The site and the 2024 deck say founded 2015. BBB lists incorporation on 27 July 2015. The LinkedIn company About text, screenshotted inside the 2024 deck, says “established in 2017 and debuted its one-of-a-kind Virtual CIO managed services in 2020.” Resolve before any “X years in business” claim ships. A buyer who checks two sources and finds two answers stops checking.</w:t>
      </w:r>
    </w:p>
    <w:p>
      <w:pPr>
        <w:pStyle w:val="Heading2"/>
        <w:keepNext/>
        <w:spacing w:after="40" w:before="340"/>
      </w:pPr>
      <w:r>
        <w:rPr>
          <w:rFonts w:ascii="Calibri" w:cs="Calibri" w:eastAsia="Calibri" w:hAnsi="Calibri"/>
          <w:b/>
          <w:bCs/>
          <w:color w:val="2F86B3"/>
          <w:sz w:val="28"/>
          <w:szCs w:val="28"/>
        </w:rPr>
        <w:t xml:space="preserve">50. Where the strategy and the research converge</w:t>
      </w:r>
    </w:p>
    <w:p>
      <w:pPr>
        <w:keepNext/>
        <w:spacing w:after="140" w:before="0" w:line="276"/>
      </w:pPr>
      <w:r>
        <w:rPr>
          <w:rFonts w:ascii="Calibri" w:cs="Calibri" w:eastAsia="Calibri" w:hAnsi="Calibri"/>
          <w:i/>
          <w:iCs/>
          <w:color w:val="6B7A8C"/>
          <w:sz w:val="19"/>
          <w:szCs w:val="19"/>
        </w:rPr>
        <w:t xml:space="preserve">Worth stating plainly, because it is unusual.</w:t>
      </w:r>
    </w:p>
    <w:p>
      <w:pPr>
        <w:spacing w:after="120" w:before="0" w:line="276"/>
      </w:pPr>
      <w:r>
        <w:rPr>
          <w:rFonts w:ascii="Calibri" w:cs="Calibri" w:eastAsia="Calibri" w:hAnsi="Calibri"/>
          <w:color w:val="3D4A5A"/>
          <w:sz w:val="20"/>
          <w:szCs w:val="20"/>
        </w:rPr>
        <w:t xml:space="preserve">The GTM deck was written from the 2024 material and a website review. This research was built from public sources, social listening and keyword data. Neither saw the other. They arrive at the same place on seven substantive calls.</w:t>
      </w:r>
    </w:p>
    <w:tbl>
      <w:tblPr>
        <w:tblW w:type="dxa" w:w="10080"/>
        <w:tblBorders>
          <w:top w:val="single" w:color="D3DCE6" w:sz="2"/>
          <w:left w:val="none"/>
          <w:bottom w:val="single" w:color="D3DCE6" w:sz="2"/>
          <w:right w:val="none"/>
          <w:insideH w:val="single" w:color="D3DCE6" w:sz="2"/>
          <w:insideV w:val="none"/>
        </w:tblBorders>
      </w:tblPr>
      <w:tblGrid>
        <w:gridCol w:w="5645"/>
        <w:gridCol w:w="4435"/>
      </w:tblGrid>
      <w:tr>
        <w:trPr>
          <w:cantSplit/>
          <w:tblHeader/>
        </w:trPr>
        <w:tc>
          <w:tcPr>
            <w:tcW w:type="dxa" w:w="5645"/>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Independent agreement</w:t>
            </w:r>
          </w:p>
        </w:tc>
        <w:tc>
          <w:tcPr>
            <w:tcW w:type="dxa" w:w="4435"/>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Where it appears in this report</w:t>
            </w:r>
          </w:p>
        </w:tc>
      </w:tr>
      <w:tr>
        <w:trPr>
          <w:cantSplit/>
        </w:trPr>
        <w:tc>
          <w:tcPr>
            <w:tcW w:type="dxa" w:w="5645"/>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Snapshot → Build → Operate as the offer architecture</w:t>
            </w:r>
          </w:p>
        </w:tc>
        <w:tc>
          <w:tcPr>
            <w:tcW w:type="dxa" w:w="4435"/>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Part VII, offer one-pagers</w:t>
            </w:r>
          </w:p>
        </w:tc>
      </w:tr>
      <w:tr>
        <w:trPr>
          <w:cantSplit/>
        </w:trPr>
        <w:tc>
          <w:tcPr>
            <w:tcW w:type="dxa" w:w="5645"/>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An ICP defined by buying pain, urgency and readiness rather than demographics</w:t>
            </w:r>
          </w:p>
        </w:tc>
        <w:tc>
          <w:tcPr>
            <w:tcW w:type="dxa" w:w="4435"/>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Part II, the fit model</w:t>
            </w:r>
          </w:p>
        </w:tc>
      </w:tr>
      <w:tr>
        <w:trPr>
          <w:cantSplit/>
        </w:trPr>
        <w:tc>
          <w:tcPr>
            <w:tcW w:type="dxa" w:w="5645"/>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Buying triggers: board pressure, tool adoption, governance gap, customer assurance, audit pressure, shadow AI</w:t>
            </w:r>
          </w:p>
        </w:tc>
        <w:tc>
          <w:tcPr>
            <w:tcW w:type="dxa" w:w="4435"/>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Part II, trigger events</w:t>
            </w:r>
          </w:p>
        </w:tc>
      </w:tr>
      <w:tr>
        <w:trPr>
          <w:cantSplit/>
        </w:trPr>
        <w:tc>
          <w:tcPr>
            <w:tcW w:type="dxa" w:w="5645"/>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Channel jobs: website converts · LinkedIn distributes · YouTube teaches · email nurtures · search gets you found</w:t>
            </w:r>
          </w:p>
        </w:tc>
        <w:tc>
          <w:tcPr>
            <w:tcW w:type="dxa" w:w="4435"/>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Part VI, the linking map</w:t>
            </w:r>
          </w:p>
        </w:tc>
      </w:tr>
      <w:tr>
        <w:trPr>
          <w:cantSplit/>
        </w:trPr>
        <w:tc>
          <w:tcPr>
            <w:tcW w:type="dxa" w:w="5645"/>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“Measure pipeline quality, not vanity traffic,” with YouTube watch time demoted to a secondary health metric</w:t>
            </w:r>
          </w:p>
        </w:tc>
        <w:tc>
          <w:tcPr>
            <w:tcW w:type="dxa" w:w="4435"/>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Part VI, what “working” looks like</w:t>
            </w:r>
          </w:p>
        </w:tc>
      </w:tr>
      <w:tr>
        <w:trPr>
          <w:cantSplit/>
        </w:trPr>
        <w:tc>
          <w:tcPr>
            <w:tcW w:type="dxa" w:w="5645"/>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A 90-day shape: fix the site and messaging, then launch LinkedIn and the first YouTube batch, then run the campaign and report pipeline</w:t>
            </w:r>
          </w:p>
        </w:tc>
        <w:tc>
          <w:tcPr>
            <w:tcW w:type="dxa" w:w="4435"/>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Part VI, the twelve-week rollout</w:t>
            </w:r>
          </w:p>
        </w:tc>
      </w:tr>
      <w:tr>
        <w:trPr>
          <w:cantSplit/>
        </w:trPr>
        <w:tc>
          <w:tcPr>
            <w:tcW w:type="dxa" w:w="5645"/>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Case studies packaged five ways: web page, one-page PDF, LinkedIn post, short video, sales proof slide</w:t>
            </w:r>
          </w:p>
        </w:tc>
        <w:tc>
          <w:tcPr>
            <w:tcW w:type="dxa" w:w="4435"/>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Part VII, case study rebuild</w:t>
            </w:r>
          </w:p>
        </w:tc>
      </w:tr>
    </w:tbl>
    <w:p>
      <w:pPr>
        <w:spacing w:after="180" w:before="0" w:line="276"/>
      </w:pPr>
      <w:r>
        <w:rPr>
          <w:rFonts w:ascii="Calibri" w:cs="Calibri" w:eastAsia="Calibri" w:hAnsi="Calibri"/>
          <w:color w:val="3D4A5A"/>
          <w:sz w:val="8"/>
          <w:szCs w:val="8"/>
        </w:rPr>
        <w:t xml:space="preserve"/>
      </w:r>
    </w:p>
    <w:tbl>
      <w:tblPr>
        <w:tblW w:type="dxa" w:w="10080"/>
        <w:tblBorders>
          <w:top w:val="none"/>
          <w:left w:val="single" w:color="2F8562" w:sz="18"/>
          <w:bottom w:val="none"/>
          <w:right w:val="none"/>
          <w:insideH w:val="none"/>
          <w:insideV w:val="none"/>
        </w:tblBorders>
      </w:tblPr>
      <w:tblGrid>
        <w:gridCol w:w="10080"/>
      </w:tblGrid>
      <w:tr>
        <w:trPr>
          <w:cantSplit/>
        </w:trPr>
        <w:tc>
          <w:tcPr>
            <w:tcW w:type="dxa" w:w="10080"/>
            <w:tcBorders>
              <w:top w:val="none"/>
              <w:left w:val="none"/>
              <w:bottom w:val="none"/>
              <w:right w:val="none"/>
            </w:tcBorders>
            <w:shd w:fill="EAF4EF" w:color="auto" w:val="clear"/>
            <w:tcMar>
              <w:top w:type="dxa" w:w="130"/>
              <w:left w:type="dxa" w:w="180"/>
              <w:bottom w:type="dxa" w:w="130"/>
              <w:right w:type="dxa" w:w="160"/>
            </w:tcMar>
          </w:tcPr>
          <w:p>
            <w:pPr>
              <w:keepNext/>
              <w:spacing w:after="60" w:before="0" w:line="260"/>
            </w:pPr>
            <w:r>
              <w:rPr>
                <w:rFonts w:ascii="Calibri" w:cs="Calibri" w:eastAsia="Calibri" w:hAnsi="Calibri"/>
                <w:b/>
                <w:bCs/>
                <w:color w:val="2F8562"/>
                <w:sz w:val="19"/>
                <w:szCs w:val="19"/>
              </w:rPr>
              <w:t xml:space="preserve">What this is worth</w:t>
            </w:r>
          </w:p>
          <w:p>
            <w:pPr>
              <w:spacing w:after="40" w:before="0" w:line="265"/>
            </w:pPr>
            <w:r>
              <w:rPr>
                <w:rFonts w:ascii="Calibri" w:cs="Calibri" w:eastAsia="Calibri" w:hAnsi="Calibri"/>
                <w:color w:val="3D4A5A"/>
                <w:sz w:val="19"/>
                <w:szCs w:val="19"/>
              </w:rPr>
              <w:t xml:space="preserve">Independent convergence is the strongest evidence available that the direction is right. It also means the marketing leader’s deck and this research are not competing plans — the GTM deck is the strategy at leadership altitude, and this report is the execution layer underneath it.</w:t>
            </w:r>
          </w:p>
        </w:tc>
      </w:tr>
    </w:tbl>
    <w:p>
      <w:pPr>
        <w:pStyle w:val="Heading2"/>
        <w:keepNext/>
        <w:spacing w:after="120" w:before="340"/>
      </w:pPr>
      <w:r>
        <w:rPr>
          <w:rFonts w:ascii="Calibri" w:cs="Calibri" w:eastAsia="Calibri" w:hAnsi="Calibri"/>
          <w:b/>
          <w:bCs/>
          <w:color w:val="2F86B3"/>
          <w:sz w:val="28"/>
          <w:szCs w:val="28"/>
        </w:rPr>
        <w:t xml:space="preserve">51. Four conflicts, and how each resolves</w:t>
      </w:r>
    </w:p>
    <w:tbl>
      <w:tblPr>
        <w:tblW w:type="dxa" w:w="10080"/>
        <w:tblBorders>
          <w:top w:val="single" w:color="D3DCE6" w:sz="2"/>
          <w:left w:val="none"/>
          <w:bottom w:val="single" w:color="D3DCE6" w:sz="2"/>
          <w:right w:val="none"/>
          <w:insideH w:val="single" w:color="D3DCE6" w:sz="2"/>
          <w:insideV w:val="none"/>
        </w:tblBorders>
      </w:tblPr>
      <w:tblGrid>
        <w:gridCol w:w="1814"/>
        <w:gridCol w:w="4435"/>
        <w:gridCol w:w="3830"/>
      </w:tblGrid>
      <w:tr>
        <w:trPr>
          <w:cantSplit/>
          <w:tblHeader/>
        </w:trPr>
        <w:tc>
          <w:tcPr>
            <w:tcW w:type="dxa" w:w="1814"/>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Conflict</w:t>
            </w:r>
          </w:p>
        </w:tc>
        <w:tc>
          <w:tcPr>
            <w:tcW w:type="dxa" w:w="4435"/>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The two positions</w:t>
            </w:r>
          </w:p>
        </w:tc>
        <w:tc>
          <w:tcPr>
            <w:tcW w:type="dxa" w:w="3830"/>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Resolution</w:t>
            </w:r>
          </w:p>
        </w:tc>
      </w:tr>
      <w:tr>
        <w:trPr>
          <w:cantSplit/>
        </w:trPr>
        <w:tc>
          <w:tcPr>
            <w:tcW w:type="dxa" w:w="1814"/>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A · Video length</w:t>
            </w:r>
          </w:p>
        </w:tc>
        <w:tc>
          <w:tcPr>
            <w:tcW w:type="dxa" w:w="4435"/>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The GTM deck specifies 6–10 minute explainers. Measured peer data says longer wins: ControlCase’s long-form averages roughly 22 minutes (19 uploads → 4.1M views), Summit 7’s about 16, and the highest-velocity video in the competitive set is a 51-minute guest episode.</w:t>
            </w:r>
          </w:p>
        </w:tc>
        <w:tc>
          <w:tcPr>
            <w:tcW w:type="dxa" w:w="383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2F8562"/>
                <w:sz w:val="18"/>
                <w:szCs w:val="18"/>
              </w:rPr>
              <w:t xml:space="preserve">Length follows the franchise, not a house rule. 6–10 minutes for The Bench; 15–25 for The Snapshot and The Findings; 30–50 for The Room.</w:t>
            </w:r>
          </w:p>
        </w:tc>
      </w:tr>
      <w:tr>
        <w:trPr>
          <w:cantSplit/>
        </w:trPr>
        <w:tc>
          <w:tcPr>
            <w:tcW w:type="dxa" w:w="1814"/>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B · Are practitioners a target?</w:t>
            </w:r>
          </w:p>
        </w:tc>
        <w:tc>
          <w:tcPr>
            <w:tcW w:type="dxa" w:w="4435"/>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The 2024 deck lists “Cybersecurity Professionals” as a target audience with broad category blog titles to match. The keyword data says practitioners searching YouTube are overwhelmingly career-intent, and every broad category term is contracting.</w:t>
            </w:r>
          </w:p>
        </w:tc>
        <w:tc>
          <w:tcPr>
            <w:tcW w:type="dxa" w:w="3830"/>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2F8562"/>
                <w:sz w:val="18"/>
                <w:szCs w:val="18"/>
              </w:rPr>
              <w:t xml:space="preserve">The GTM deck already corrects this by moving the ICP off demographics. Practitioners stay as an influence audience — people who recommend 3HUE — not a demand-generation target.</w:t>
            </w:r>
          </w:p>
        </w:tc>
      </w:tr>
      <w:tr>
        <w:trPr>
          <w:cantSplit/>
        </w:trPr>
        <w:tc>
          <w:tcPr>
            <w:tcW w:type="dxa" w:w="1814"/>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C · What needs approval</w:t>
            </w:r>
          </w:p>
        </w:tc>
        <w:tc>
          <w:tcPr>
            <w:tcW w:type="dxa" w:w="4435"/>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The GTM deck requests leadership sign-off on four items: positioning and ICP, the Snapshot-first CTA, the 90-day rollout, and website fixes. Andrew has explicitly delegated marketing direction.</w:t>
            </w:r>
          </w:p>
        </w:tc>
        <w:tc>
          <w:tcPr>
            <w:tcW w:type="dxa" w:w="383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2F8562"/>
                <w:sz w:val="18"/>
                <w:szCs w:val="18"/>
              </w:rPr>
              <w:t xml:space="preserve">Three of the four are decided and documented. Only the website fix still needs something from leadership — and what it needs is an owner and developer hours, not a marketing decision.</w:t>
            </w:r>
          </w:p>
        </w:tc>
      </w:tr>
      <w:tr>
        <w:trPr>
          <w:cantSplit/>
        </w:trPr>
        <w:tc>
          <w:tcPr>
            <w:tcW w:type="dxa" w:w="1814"/>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D · Link-building priority</w:t>
            </w:r>
          </w:p>
        </w:tc>
        <w:tc>
          <w:tcPr>
            <w:tcW w:type="dxa" w:w="4435"/>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The 2024 deck recommends HARO/Connectively, prospecting, email outreach and the skyscraper technique. The site already had 155 backlinks from 33 referring domains in 2024 — and zero organic traffic.</w:t>
            </w:r>
          </w:p>
        </w:tc>
        <w:tc>
          <w:tcPr>
            <w:tcW w:type="dxa" w:w="3830"/>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2F8562"/>
                <w:sz w:val="18"/>
                <w:szCs w:val="18"/>
              </w:rPr>
              <w:t xml:space="preserve">Links were never the constraint. Fix indexation first: one hostname, a sitemap, canonicals, structured data. Link-building is a later-order problem and wasted effort until a crawler can tell which site is the site.</w:t>
            </w:r>
          </w:p>
        </w:tc>
      </w:tr>
    </w:tbl>
    <w:p>
      <w:pPr>
        <w:spacing w:after="180" w:before="0" w:line="276"/>
      </w:pPr>
      <w:r>
        <w:rPr>
          <w:rFonts w:ascii="Calibri" w:cs="Calibri" w:eastAsia="Calibri" w:hAnsi="Calibri"/>
          <w:color w:val="3D4A5A"/>
          <w:sz w:val="8"/>
          <w:szCs w:val="8"/>
        </w:rPr>
        <w:t xml:space="preserve"/>
      </w:r>
    </w:p>
    <w:p>
      <w:pPr>
        <w:pStyle w:val="Heading2"/>
        <w:keepNext/>
        <w:spacing w:after="40" w:before="340"/>
      </w:pPr>
      <w:r>
        <w:rPr>
          <w:rFonts w:ascii="Calibri" w:cs="Calibri" w:eastAsia="Calibri" w:hAnsi="Calibri"/>
          <w:b/>
          <w:bCs/>
          <w:color w:val="2F86B3"/>
          <w:sz w:val="28"/>
          <w:szCs w:val="28"/>
        </w:rPr>
        <w:t xml:space="preserve">52. What carries forward from 2024 unchanged</w:t>
      </w:r>
    </w:p>
    <w:p>
      <w:pPr>
        <w:keepNext/>
        <w:spacing w:after="140" w:before="0" w:line="276"/>
      </w:pPr>
      <w:r>
        <w:rPr>
          <w:rFonts w:ascii="Calibri" w:cs="Calibri" w:eastAsia="Calibri" w:hAnsi="Calibri"/>
          <w:i/>
          <w:iCs/>
          <w:color w:val="6B7A8C"/>
          <w:sz w:val="19"/>
          <w:szCs w:val="19"/>
        </w:rPr>
        <w:t xml:space="preserve">Most of the 2024 deck has been superseded. These six pieces have not been, and re-deriving them would be waste.</w:t>
      </w:r>
    </w:p>
    <w:p>
      <w:pPr>
        <w:pStyle w:val="ListParagraph"/>
        <w:numPr>
          <w:ilvl w:val="0"/>
          <w:numId w:val="1"/>
        </w:numPr>
        <w:spacing w:after="70" w:line="270"/>
      </w:pPr>
      <w:r>
        <w:rPr>
          <w:rFonts w:ascii="Calibri" w:cs="Calibri" w:eastAsia="Calibri" w:hAnsi="Calibri"/>
          <w:b/>
          <w:bCs/>
          <w:color w:val="14202E"/>
          <w:sz w:val="20"/>
          <w:szCs w:val="20"/>
        </w:rPr>
        <w:t xml:space="preserve">The tone and voice framework. </w:t>
      </w:r>
      <w:r>
        <w:rPr>
          <w:rFonts w:ascii="Calibri" w:cs="Calibri" w:eastAsia="Calibri" w:hAnsi="Calibri"/>
          <w:color w:val="3D4A5A"/>
          <w:sz w:val="20"/>
          <w:szCs w:val="20"/>
        </w:rPr>
        <w:t xml:space="preserve">Eight attributes, and “Confidence without Arrogance” is the best line in either document. It survives intact into the brand standard.</w:t>
      </w:r>
    </w:p>
    <w:p>
      <w:pPr>
        <w:pStyle w:val="ListParagraph"/>
        <w:numPr>
          <w:ilvl w:val="0"/>
          <w:numId w:val="1"/>
        </w:numPr>
        <w:spacing w:after="70" w:line="270"/>
      </w:pPr>
      <w:r>
        <w:rPr>
          <w:rFonts w:ascii="Calibri" w:cs="Calibri" w:eastAsia="Calibri" w:hAnsi="Calibri"/>
          <w:b/>
          <w:bCs/>
          <w:color w:val="14202E"/>
          <w:sz w:val="20"/>
          <w:szCs w:val="20"/>
        </w:rPr>
        <w:t xml:space="preserve">The consumer journey map. </w:t>
      </w:r>
      <w:r>
        <w:rPr>
          <w:rFonts w:ascii="Calibri" w:cs="Calibri" w:eastAsia="Calibri" w:hAnsi="Calibri"/>
          <w:color w:val="3D4A5A"/>
          <w:sz w:val="20"/>
          <w:szCs w:val="20"/>
        </w:rPr>
        <w:t xml:space="preserve">Awareness → Consideration → Acquisition → Service → Loyalty, with real touchpoints named at each stage. Still the right spine for the nurture program.</w:t>
      </w:r>
    </w:p>
    <w:p>
      <w:pPr>
        <w:pStyle w:val="ListParagraph"/>
        <w:numPr>
          <w:ilvl w:val="0"/>
          <w:numId w:val="1"/>
        </w:numPr>
        <w:spacing w:after="70" w:line="270"/>
      </w:pPr>
      <w:r>
        <w:rPr>
          <w:rFonts w:ascii="Calibri" w:cs="Calibri" w:eastAsia="Calibri" w:hAnsi="Calibri"/>
          <w:b/>
          <w:bCs/>
          <w:color w:val="14202E"/>
          <w:sz w:val="20"/>
          <w:szCs w:val="20"/>
        </w:rPr>
        <w:t xml:space="preserve">The “Company &amp; Culture” navigation concept. </w:t>
      </w:r>
      <w:r>
        <w:rPr>
          <w:rFonts w:ascii="Calibri" w:cs="Calibri" w:eastAsia="Calibri" w:hAnsi="Calibri"/>
          <w:color w:val="3D4A5A"/>
          <w:sz w:val="20"/>
          <w:szCs w:val="20"/>
        </w:rPr>
        <w:t xml:space="preserve">Our Story · Meet the Team · Careers · Contact, alongside Life at 3HUE · Partners · Awards &amp; Certifications. The current site has no equivalent, and a founder-led firm needs one.</w:t>
      </w:r>
    </w:p>
    <w:p>
      <w:pPr>
        <w:pStyle w:val="ListParagraph"/>
        <w:numPr>
          <w:ilvl w:val="0"/>
          <w:numId w:val="1"/>
        </w:numPr>
        <w:spacing w:after="70" w:line="270"/>
      </w:pPr>
      <w:r>
        <w:rPr>
          <w:rFonts w:ascii="Calibri" w:cs="Calibri" w:eastAsia="Calibri" w:hAnsi="Calibri"/>
          <w:b/>
          <w:bCs/>
          <w:color w:val="14202E"/>
          <w:sz w:val="20"/>
          <w:szCs w:val="20"/>
        </w:rPr>
        <w:t xml:space="preserve">Non-LinkedIn social carries culture, not leads. </w:t>
      </w:r>
      <w:r>
        <w:rPr>
          <w:rFonts w:ascii="Calibri" w:cs="Calibri" w:eastAsia="Calibri" w:hAnsi="Calibri"/>
          <w:color w:val="3D4A5A"/>
          <w:sz w:val="20"/>
          <w:szCs w:val="20"/>
        </w:rPr>
        <w:t xml:space="preserve">Correct in 2024 and correct now. It saves the team from trying to make five platforms do demand generation.</w:t>
      </w:r>
    </w:p>
    <w:p>
      <w:pPr>
        <w:pStyle w:val="ListParagraph"/>
        <w:numPr>
          <w:ilvl w:val="0"/>
          <w:numId w:val="1"/>
        </w:numPr>
        <w:spacing w:after="70" w:line="270"/>
      </w:pPr>
      <w:r>
        <w:rPr>
          <w:rFonts w:ascii="Calibri" w:cs="Calibri" w:eastAsia="Calibri" w:hAnsi="Calibri"/>
          <w:b/>
          <w:bCs/>
          <w:color w:val="14202E"/>
          <w:sz w:val="20"/>
          <w:szCs w:val="20"/>
        </w:rPr>
        <w:t xml:space="preserve">The buyer-persona discipline. </w:t>
      </w:r>
      <w:r>
        <w:rPr>
          <w:rFonts w:ascii="Calibri" w:cs="Calibri" w:eastAsia="Calibri" w:hAnsi="Calibri"/>
          <w:color w:val="3D4A5A"/>
          <w:sz w:val="20"/>
          <w:szCs w:val="20"/>
        </w:rPr>
        <w:t xml:space="preserve">Keep the method — how they research, how they want to be reached, what they are measured on. Drop the demographic detail; “45–54, mostly male” is not a targeting instruction.</w:t>
      </w:r>
    </w:p>
    <w:p>
      <w:pPr>
        <w:pStyle w:val="ListParagraph"/>
        <w:numPr>
          <w:ilvl w:val="0"/>
          <w:numId w:val="1"/>
        </w:numPr>
        <w:spacing w:after="70" w:line="270"/>
      </w:pPr>
      <w:r>
        <w:rPr>
          <w:rFonts w:ascii="Calibri" w:cs="Calibri" w:eastAsia="Calibri" w:hAnsi="Calibri"/>
          <w:b/>
          <w:bCs/>
          <w:color w:val="14202E"/>
          <w:sz w:val="20"/>
          <w:szCs w:val="20"/>
        </w:rPr>
        <w:t xml:space="preserve">The GTM deck’s buying committee. </w:t>
      </w:r>
      <w:r>
        <w:rPr>
          <w:rFonts w:ascii="Calibri" w:cs="Calibri" w:eastAsia="Calibri" w:hAnsi="Calibri"/>
          <w:color w:val="3D4A5A"/>
          <w:sz w:val="20"/>
          <w:szCs w:val="20"/>
        </w:rPr>
        <w:t xml:space="preserve">Risk · Executive · Finance · Tech · Operations, each needing the message translated. Better than anything derived independently, and absorbed into Part II of this report.</w:t>
      </w:r>
    </w:p>
    <w:p>
      <w:r>
        <w:br w:type="page"/>
      </w:r>
    </w:p>
    <w:p>
      <w:pPr>
        <w:spacing w:after="40" w:before="200"/>
      </w:pPr>
      <w:r>
        <w:rPr>
          <w:rFonts w:ascii="Calibri" w:cs="Calibri" w:eastAsia="Calibri" w:hAnsi="Calibri"/>
          <w:b/>
          <w:bCs/>
          <w:color w:val="44A8D9"/>
          <w:sz w:val="18"/>
          <w:szCs w:val="18"/>
        </w:rPr>
        <w:t xml:space="preserve">PART IX</w:t>
      </w:r>
    </w:p>
    <w:p>
      <w:pPr>
        <w:pStyle w:val="Heading1"/>
        <w:spacing w:after="120" w:before="0"/>
      </w:pPr>
      <w:r>
        <w:rPr>
          <w:rFonts w:ascii="Calibri" w:cs="Calibri" w:eastAsia="Calibri" w:hAnsi="Calibri"/>
          <w:b/>
          <w:bCs/>
          <w:color w:val="14202E"/>
          <w:sz w:val="40"/>
          <w:szCs w:val="40"/>
        </w:rPr>
        <w:t xml:space="preserve">Decisions, Open Items and Sources</w:t>
      </w:r>
    </w:p>
    <w:p>
      <w:pPr>
        <w:spacing w:after="200" w:before="0" w:line="276"/>
      </w:pPr>
      <w:r>
        <w:rPr>
          <w:rFonts w:ascii="Calibri" w:cs="Calibri" w:eastAsia="Calibri" w:hAnsi="Calibri"/>
          <w:color w:val="3D4A5A"/>
          <w:sz w:val="21"/>
          <w:szCs w:val="21"/>
        </w:rPr>
        <w:t xml:space="preserve">What has been decided, what still needs a human answer, what must never be said, and where every figure came from.</w:t>
      </w:r>
    </w:p>
    <w:p>
      <w:pPr>
        <w:pBdr>
          <w:bottom w:val="single" w:color="D3DCE6" w:sz="6" w:space="1"/>
        </w:pBdr>
        <w:spacing w:after="160" w:before="0"/>
      </w:pPr>
      <w:r>
        <w:rPr>
          <w:rFonts w:ascii="Calibri" w:cs="Calibri" w:eastAsia="Calibri" w:hAnsi="Calibri"/>
          <w:color w:val="3D4A5A"/>
          <w:sz w:val="2"/>
          <w:szCs w:val="2"/>
        </w:rPr>
        <w:t xml:space="preserve"/>
      </w:r>
    </w:p>
    <w:p>
      <w:pPr>
        <w:pStyle w:val="Heading2"/>
        <w:keepNext/>
        <w:spacing w:after="40" w:before="340"/>
      </w:pPr>
      <w:r>
        <w:rPr>
          <w:rFonts w:ascii="Calibri" w:cs="Calibri" w:eastAsia="Calibri" w:hAnsi="Calibri"/>
          <w:b/>
          <w:bCs/>
          <w:color w:val="2F86B3"/>
          <w:sz w:val="28"/>
          <w:szCs w:val="28"/>
        </w:rPr>
        <w:t xml:space="preserve">53. Decisions made</w:t>
      </w:r>
    </w:p>
    <w:p>
      <w:pPr>
        <w:keepNext/>
        <w:spacing w:after="140" w:before="0" w:line="276"/>
      </w:pPr>
      <w:r>
        <w:rPr>
          <w:rFonts w:ascii="Calibri" w:cs="Calibri" w:eastAsia="Calibri" w:hAnsi="Calibri"/>
          <w:i/>
          <w:iCs/>
          <w:color w:val="6B7A8C"/>
          <w:sz w:val="19"/>
          <w:szCs w:val="19"/>
        </w:rPr>
        <w:t xml:space="preserve">Made under the delegation Andrew has given on marketing direction, and logged here rather than escalated.</w:t>
      </w:r>
    </w:p>
    <w:tbl>
      <w:tblPr>
        <w:tblW w:type="dxa" w:w="10080"/>
        <w:tblBorders>
          <w:top w:val="single" w:color="D3DCE6" w:sz="2"/>
          <w:left w:val="none"/>
          <w:bottom w:val="single" w:color="D3DCE6" w:sz="2"/>
          <w:right w:val="none"/>
          <w:insideH w:val="single" w:color="D3DCE6" w:sz="2"/>
          <w:insideV w:val="none"/>
        </w:tblBorders>
      </w:tblPr>
      <w:tblGrid>
        <w:gridCol w:w="2419"/>
        <w:gridCol w:w="2419"/>
        <w:gridCol w:w="5242"/>
      </w:tblGrid>
      <w:tr>
        <w:trPr>
          <w:cantSplit/>
          <w:tblHeader/>
        </w:trPr>
        <w:tc>
          <w:tcPr>
            <w:tcW w:type="dxa" w:w="2419"/>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Question</w:t>
            </w:r>
          </w:p>
        </w:tc>
        <w:tc>
          <w:tcPr>
            <w:tcW w:type="dxa" w:w="2419"/>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The call</w:t>
            </w:r>
          </w:p>
        </w:tc>
        <w:tc>
          <w:tcPr>
            <w:tcW w:type="dxa" w:w="5242"/>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Reasoning</w:t>
            </w:r>
          </w:p>
        </w:tc>
      </w:tr>
      <w:tr>
        <w:trPr>
          <w:cantSplit/>
        </w:trPr>
        <w:tc>
          <w:tcPr>
            <w:tcW w:type="dxa" w:w="241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Which brand owns the YouTube channel?</w:t>
            </w:r>
          </w:p>
        </w:tc>
        <w:tc>
          <w:tcPr>
            <w:tcW w:type="dxa" w:w="241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3HUE</w:t>
            </w:r>
          </w:p>
        </w:tc>
        <w:tc>
          <w:tcPr>
            <w:tcW w:type="dxa" w:w="5242"/>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AiVRIC gets its own channel when it has a product-led motion to feed. Today the buyer is buying an advisor, and splitting attention across two young channels halves both.</w:t>
            </w:r>
          </w:p>
        </w:tc>
      </w:tr>
      <w:tr>
        <w:trPr>
          <w:cantSplit/>
        </w:trPr>
        <w:tc>
          <w:tcPr>
            <w:tcW w:type="dxa" w:w="2419"/>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Which keyword lane?</w:t>
            </w:r>
          </w:p>
        </w:tc>
        <w:tc>
          <w:tcPr>
            <w:tcW w:type="dxa" w:w="2419"/>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AI governance operations and ISO 42001</w:t>
            </w:r>
          </w:p>
        </w:tc>
        <w:tc>
          <w:tcPr>
            <w:tcW w:type="dxa" w:w="5242"/>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Not vCISO — the term returns under 750 searches a month and every variant is dead. Not generic cybersecurity — the category is contracting 19–23% year over year. ISO 42001 is growing 164% at a competition score of 23.</w:t>
            </w:r>
          </w:p>
        </w:tc>
      </w:tr>
      <w:tr>
        <w:trPr>
          <w:cantSplit/>
        </w:trPr>
        <w:tc>
          <w:tcPr>
            <w:tcW w:type="dxa" w:w="241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Cadence?</w:t>
            </w:r>
          </w:p>
        </w:tc>
        <w:tc>
          <w:tcPr>
            <w:tcW w:type="dxa" w:w="241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One long-form a week, three Shorts a week, batched into one shoot day a month</w:t>
            </w:r>
          </w:p>
        </w:tc>
        <w:tc>
          <w:tcPr>
            <w:tcW w:type="dxa" w:w="5242"/>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Volume without focus produced 159 views per video for SecureGovernance across 199 uploads. Frequency is the easiest thing to fake and the fastest way to burn the founder’s calendar.</w:t>
            </w:r>
          </w:p>
        </w:tc>
      </w:tr>
      <w:tr>
        <w:trPr>
          <w:cantSplit/>
        </w:trPr>
        <w:tc>
          <w:tcPr>
            <w:tcW w:type="dxa" w:w="2419"/>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Gate the content?</w:t>
            </w:r>
          </w:p>
        </w:tc>
        <w:tc>
          <w:tcPr>
            <w:tcW w:type="dxa" w:w="2419"/>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No, with one exception</w:t>
            </w:r>
          </w:p>
        </w:tc>
        <w:tc>
          <w:tcPr>
            <w:tcW w:type="dxa" w:w="5242"/>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Every video artifact is ungated except the AI governance audit report template, which is the single form-fill that feeds the fit scorer. One gate people want beats five nobody fills.</w:t>
            </w:r>
          </w:p>
        </w:tc>
      </w:tr>
      <w:tr>
        <w:trPr>
          <w:cantSplit/>
        </w:trPr>
        <w:tc>
          <w:tcPr>
            <w:tcW w:type="dxa" w:w="241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Shorts CTA?</w:t>
            </w:r>
          </w:p>
        </w:tc>
        <w:tc>
          <w:tcPr>
            <w:tcW w:type="dxa" w:w="241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The long-form video, always</w:t>
            </w:r>
          </w:p>
        </w:tc>
        <w:tc>
          <w:tcPr>
            <w:tcW w:type="dxa" w:w="5242"/>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Never the website. Shorts traffic converts off-platform at close to zero. Stuart Barker: 388 Shorts at 975 views each versus 32 long videos at 11,928 each.</w:t>
            </w:r>
          </w:p>
        </w:tc>
      </w:tr>
      <w:tr>
        <w:trPr>
          <w:cantSplit/>
        </w:trPr>
        <w:tc>
          <w:tcPr>
            <w:tcW w:type="dxa" w:w="2419"/>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Who is on camera?</w:t>
            </w:r>
          </w:p>
        </w:tc>
        <w:tc>
          <w:tcPr>
            <w:tcW w:type="dxa" w:w="2419"/>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Four people: Andrew, Shay, Ariel, Teriah</w:t>
            </w:r>
          </w:p>
        </w:tc>
        <w:tc>
          <w:tcPr>
            <w:tcW w:type="dxa" w:w="5242"/>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Named in the GTM deck. Andrew fronts The Snapshot and hosts The Room — roughly one day a month. The Bench carries the biweekly slot without him, which removes the founder dependency.</w:t>
            </w:r>
          </w:p>
        </w:tc>
      </w:tr>
      <w:tr>
        <w:trPr>
          <w:cantSplit/>
        </w:trPr>
        <w:tc>
          <w:tcPr>
            <w:tcW w:type="dxa" w:w="241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Anchor ICP?</w:t>
            </w:r>
          </w:p>
        </w:tc>
        <w:tc>
          <w:tcPr>
            <w:tcW w:type="dxa" w:w="2419"/>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The Provable Vendor, at roughly 60% of effort</w:t>
            </w:r>
          </w:p>
        </w:tc>
        <w:tc>
          <w:tcPr>
            <w:tcW w:type="dxa" w:w="5242"/>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Highest trigger frequency, strongest existing proof (Transit Technologies), and the segment where 3HUE’s scope-negotiation differentiator matters most.</w:t>
            </w:r>
          </w:p>
        </w:tc>
      </w:tr>
      <w:tr>
        <w:trPr>
          <w:cantSplit/>
        </w:trPr>
        <w:tc>
          <w:tcPr>
            <w:tcW w:type="dxa" w:w="2419"/>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Lead magnet?</w:t>
            </w:r>
          </w:p>
        </w:tc>
        <w:tc>
          <w:tcPr>
            <w:tcW w:type="dxa" w:w="2419"/>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The Security Questionnaire Teardown</w:t>
            </w:r>
          </w:p>
        </w:tc>
        <w:tc>
          <w:tcPr>
            <w:tcW w:type="dxa" w:w="5242"/>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The most quantified pain in the entire corpus — $2 a question, 200+ questions, five to ten a week — and it qualifies hard by definition.</w:t>
            </w:r>
          </w:p>
        </w:tc>
      </w:tr>
    </w:tbl>
    <w:p>
      <w:pPr>
        <w:spacing w:after="180" w:before="0" w:line="276"/>
      </w:pPr>
      <w:r>
        <w:rPr>
          <w:rFonts w:ascii="Calibri" w:cs="Calibri" w:eastAsia="Calibri" w:hAnsi="Calibri"/>
          <w:color w:val="3D4A5A"/>
          <w:sz w:val="8"/>
          <w:szCs w:val="8"/>
        </w:rPr>
        <w:t xml:space="preserve"/>
      </w:r>
    </w:p>
    <w:p>
      <w:pPr>
        <w:pStyle w:val="Heading2"/>
        <w:keepNext/>
        <w:spacing w:after="40" w:before="340"/>
      </w:pPr>
      <w:r>
        <w:rPr>
          <w:rFonts w:ascii="Calibri" w:cs="Calibri" w:eastAsia="Calibri" w:hAnsi="Calibri"/>
          <w:b/>
          <w:bCs/>
          <w:color w:val="2F86B3"/>
          <w:sz w:val="28"/>
          <w:szCs w:val="28"/>
        </w:rPr>
        <w:t xml:space="preserve">54. Open items</w:t>
      </w:r>
    </w:p>
    <w:p>
      <w:pPr>
        <w:keepNext/>
        <w:spacing w:after="140" w:before="0" w:line="276"/>
      </w:pPr>
      <w:r>
        <w:rPr>
          <w:rFonts w:ascii="Calibri" w:cs="Calibri" w:eastAsia="Calibri" w:hAnsi="Calibri"/>
          <w:i/>
          <w:iCs/>
          <w:color w:val="6B7A8C"/>
          <w:sz w:val="19"/>
          <w:szCs w:val="19"/>
        </w:rPr>
        <w:t xml:space="preserve">Four of these are verification, not decision. Two are genuine judgment calls that belong to Andrew.</w:t>
      </w:r>
    </w:p>
    <w:tbl>
      <w:tblPr>
        <w:tblW w:type="dxa" w:w="10080"/>
        <w:tblBorders>
          <w:top w:val="single" w:color="D3DCE6" w:sz="2"/>
          <w:left w:val="none"/>
          <w:bottom w:val="single" w:color="D3DCE6" w:sz="2"/>
          <w:right w:val="none"/>
          <w:insideH w:val="single" w:color="D3DCE6" w:sz="2"/>
          <w:insideV w:val="none"/>
        </w:tblBorders>
      </w:tblPr>
      <w:tblGrid>
        <w:gridCol w:w="2621"/>
        <w:gridCol w:w="1210"/>
        <w:gridCol w:w="6250"/>
      </w:tblGrid>
      <w:tr>
        <w:trPr>
          <w:cantSplit/>
          <w:tblHeader/>
        </w:trPr>
        <w:tc>
          <w:tcPr>
            <w:tcW w:type="dxa" w:w="2621"/>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Item</w:t>
            </w:r>
          </w:p>
        </w:tc>
        <w:tc>
          <w:tcPr>
            <w:tcW w:type="dxa" w:w="1210"/>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Type</w:t>
            </w:r>
          </w:p>
        </w:tc>
        <w:tc>
          <w:tcPr>
            <w:tcW w:type="dxa" w:w="6250"/>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What is needed</w:t>
            </w:r>
          </w:p>
        </w:tc>
      </w:tr>
      <w:tr>
        <w:trPr>
          <w:cantSplit/>
        </w:trPr>
        <w:tc>
          <w:tcPr>
            <w:tcW w:type="dxa" w:w="262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Veteran-owned certification status</w:t>
            </w:r>
          </w:p>
        </w:tc>
        <w:tc>
          <w:tcPr>
            <w:tcW w:type="dxa" w:w="121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A8781F"/>
                <w:sz w:val="18"/>
                <w:szCs w:val="18"/>
              </w:rPr>
              <w:t xml:space="preserve">Verify</w:t>
            </w:r>
          </w:p>
        </w:tc>
        <w:tc>
          <w:tcPr>
            <w:tcW w:type="dxa" w:w="625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Confirm VOSB versus SDVOSB and current SBA registration. Stated in the 2024 deck, published nowhere. Potentially the most under-used asset in the company.</w:t>
            </w:r>
          </w:p>
        </w:tc>
      </w:tr>
      <w:tr>
        <w:trPr>
          <w:cantSplit/>
        </w:trPr>
        <w:tc>
          <w:tcPr>
            <w:tcW w:type="dxa" w:w="262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The founding-year conflict</w:t>
            </w:r>
          </w:p>
        </w:tc>
        <w:tc>
          <w:tcPr>
            <w:tcW w:type="dxa" w:w="1210"/>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A8781F"/>
                <w:sz w:val="18"/>
                <w:szCs w:val="18"/>
              </w:rPr>
              <w:t xml:space="preserve">Verify</w:t>
            </w:r>
          </w:p>
        </w:tc>
        <w:tc>
          <w:tcPr>
            <w:tcW w:type="dxa" w:w="6250"/>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2015 on the site and BBB; 2017 on LinkedIn. Three public surfaces, two answers. Resolve before any “years in business” claim.</w:t>
            </w:r>
          </w:p>
        </w:tc>
      </w:tr>
      <w:tr>
        <w:trPr>
          <w:cantSplit/>
        </w:trPr>
        <w:tc>
          <w:tcPr>
            <w:tcW w:type="dxa" w:w="262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Which partner relationships are live</w:t>
            </w:r>
          </w:p>
        </w:tc>
        <w:tc>
          <w:tcPr>
            <w:tcW w:type="dxa" w:w="121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A8781F"/>
                <w:sz w:val="18"/>
                <w:szCs w:val="18"/>
              </w:rPr>
              <w:t xml:space="preserve">Verify</w:t>
            </w:r>
          </w:p>
        </w:tc>
        <w:tc>
          <w:tcPr>
            <w:tcW w:type="dxa" w:w="625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SentinelOne, Roar Technical Inspectors, White Dog and HubSpot all appear in 2024 material and nowhere current.</w:t>
            </w:r>
          </w:p>
        </w:tc>
      </w:tr>
      <w:tr>
        <w:trPr>
          <w:cantSplit/>
        </w:trPr>
        <w:tc>
          <w:tcPr>
            <w:tcW w:type="dxa" w:w="262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Whether any 2024 pricing still applies</w:t>
            </w:r>
          </w:p>
        </w:tc>
        <w:tc>
          <w:tcPr>
            <w:tcW w:type="dxa" w:w="1210"/>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A8781F"/>
                <w:sz w:val="18"/>
                <w:szCs w:val="18"/>
              </w:rPr>
              <w:t xml:space="preserve">Verify</w:t>
            </w:r>
          </w:p>
        </w:tc>
        <w:tc>
          <w:tcPr>
            <w:tcW w:type="dxa" w:w="6250"/>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$15 per endpoint EDR and $45 XDR were published in 2024. If still valid, they are precedent for publishing a price band now.</w:t>
            </w:r>
          </w:p>
        </w:tc>
      </w:tr>
      <w:tr>
        <w:trPr>
          <w:cantSplit/>
        </w:trPr>
        <w:tc>
          <w:tcPr>
            <w:tcW w:type="dxa" w:w="262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Pricing architecture</w:t>
            </w:r>
          </w:p>
        </w:tc>
        <w:tc>
          <w:tcPr>
            <w:tcW w:type="dxa" w:w="121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A4462F"/>
                <w:sz w:val="18"/>
                <w:szCs w:val="18"/>
              </w:rPr>
              <w:t xml:space="preserve">Decide</w:t>
            </w:r>
          </w:p>
        </w:tc>
        <w:tc>
          <w:tcPr>
            <w:tcW w:type="dxa" w:w="625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Blocks the one-pagers, the website pricing page, the proposal template and the vCISO-cost keyword target. Buyers in this research explicitly rewarded transparency and noted almost nobody offers it.</w:t>
            </w:r>
          </w:p>
        </w:tc>
      </w:tr>
      <w:tr>
        <w:trPr>
          <w:cantSplit/>
        </w:trPr>
        <w:tc>
          <w:tcPr>
            <w:tcW w:type="dxa" w:w="262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3HUE / AiVRIC naming architecture</w:t>
            </w:r>
          </w:p>
        </w:tc>
        <w:tc>
          <w:tcPr>
            <w:tcW w:type="dxa" w:w="1210"/>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A4462F"/>
                <w:sz w:val="18"/>
                <w:szCs w:val="18"/>
              </w:rPr>
              <w:t xml:space="preserve">Decide</w:t>
            </w:r>
          </w:p>
        </w:tc>
        <w:tc>
          <w:tcPr>
            <w:tcW w:type="dxa" w:w="6250"/>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Endorsement (“AiVRIC, from 3HUE”), powered-by (“3HUE managed programs, running on AiVRIC”), or full separation. The boilerplate currently uses powered-by as the most defensible reading. Once decided it becomes a brand rule, and the three self-descriptions on the website, LinkedIn and BBB should be reconciled to match.</w:t>
            </w:r>
          </w:p>
        </w:tc>
      </w:tr>
      <w:tr>
        <w:trPr>
          <w:cantSplit/>
        </w:trPr>
        <w:tc>
          <w:tcPr>
            <w:tcW w:type="dxa" w:w="262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14202E"/>
                <w:sz w:val="18"/>
                <w:szCs w:val="18"/>
              </w:rPr>
              <w:t xml:space="preserve">Website ownership and a date</w:t>
            </w:r>
          </w:p>
        </w:tc>
        <w:tc>
          <w:tcPr>
            <w:tcW w:type="dxa" w:w="121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A4462F"/>
                <w:sz w:val="18"/>
                <w:szCs w:val="18"/>
              </w:rPr>
              <w:t xml:space="preserve">Assign</w:t>
            </w:r>
          </w:p>
        </w:tc>
        <w:tc>
          <w:tcPr>
            <w:tcW w:type="dxa" w:w="6250"/>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The one thing this report cannot decide for itself. Diagnosed February 2024, restated in the GTM deck, still unfixed. Needs a named owner and a target date.</w:t>
            </w:r>
          </w:p>
        </w:tc>
      </w:tr>
    </w:tbl>
    <w:p>
      <w:pPr>
        <w:spacing w:after="180" w:before="0" w:line="276"/>
      </w:pPr>
      <w:r>
        <w:rPr>
          <w:rFonts w:ascii="Calibri" w:cs="Calibri" w:eastAsia="Calibri" w:hAnsi="Calibri"/>
          <w:color w:val="3D4A5A"/>
          <w:sz w:val="8"/>
          <w:szCs w:val="8"/>
        </w:rPr>
        <w:t xml:space="preserve"/>
      </w:r>
    </w:p>
    <w:p>
      <w:pPr>
        <w:pStyle w:val="Heading2"/>
        <w:keepNext/>
        <w:spacing w:after="40" w:before="340"/>
      </w:pPr>
      <w:r>
        <w:rPr>
          <w:rFonts w:ascii="Calibri" w:cs="Calibri" w:eastAsia="Calibri" w:hAnsi="Calibri"/>
          <w:b/>
          <w:bCs/>
          <w:color w:val="2F86B3"/>
          <w:sz w:val="28"/>
          <w:szCs w:val="28"/>
        </w:rPr>
        <w:t xml:space="preserve">55. The do-not-use register</w:t>
      </w:r>
    </w:p>
    <w:p>
      <w:pPr>
        <w:keepNext/>
        <w:spacing w:after="140" w:before="0" w:line="276"/>
      </w:pPr>
      <w:r>
        <w:rPr>
          <w:rFonts w:ascii="Calibri" w:cs="Calibri" w:eastAsia="Calibri" w:hAnsi="Calibri"/>
          <w:i/>
          <w:iCs/>
          <w:color w:val="6B7A8C"/>
          <w:sz w:val="19"/>
          <w:szCs w:val="19"/>
        </w:rPr>
        <w:t xml:space="preserve">Consolidated from across this report. Nothing on this list should reach a prospect, a page, a deck or a proposal — including as a verbal aside on a call.</w:t>
      </w:r>
    </w:p>
    <w:tbl>
      <w:tblPr>
        <w:tblW w:type="dxa" w:w="10080"/>
        <w:tblBorders>
          <w:top w:val="single" w:color="D3DCE6" w:sz="2"/>
          <w:left w:val="none"/>
          <w:bottom w:val="single" w:color="D3DCE6" w:sz="2"/>
          <w:right w:val="none"/>
          <w:insideH w:val="single" w:color="D3DCE6" w:sz="2"/>
          <w:insideV w:val="none"/>
        </w:tblBorders>
      </w:tblPr>
      <w:tblGrid>
        <w:gridCol w:w="2621"/>
        <w:gridCol w:w="3427"/>
        <w:gridCol w:w="4032"/>
      </w:tblGrid>
      <w:tr>
        <w:trPr>
          <w:cantSplit/>
          <w:tblHeader/>
        </w:trPr>
        <w:tc>
          <w:tcPr>
            <w:tcW w:type="dxa" w:w="2621"/>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Claim or figure</w:t>
            </w:r>
          </w:p>
        </w:tc>
        <w:tc>
          <w:tcPr>
            <w:tcW w:type="dxa" w:w="3427"/>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Why it is blocked</w:t>
            </w:r>
          </w:p>
        </w:tc>
        <w:tc>
          <w:tcPr>
            <w:tcW w:type="dxa" w:w="4032"/>
            <w:tcBorders>
              <w:top w:val="single" w:color="D3DCE6" w:sz="2"/>
              <w:left w:val="none"/>
              <w:bottom w:val="single" w:color="D3DCE6" w:sz="2"/>
              <w:right w:val="none"/>
            </w:tcBorders>
            <w:shd w:fill="F5F7FA" w:color="auto" w:val="clear"/>
            <w:tcMar>
              <w:top w:type="dxa" w:w="70"/>
              <w:left w:type="dxa" w:w="100"/>
              <w:bottom w:type="dxa" w:w="70"/>
              <w:right w:type="dxa" w:w="100"/>
            </w:tcMar>
          </w:tcPr>
          <w:p>
            <w:pPr>
              <w:spacing w:after="0" w:before="0" w:line="250"/>
            </w:pPr>
            <w:r>
              <w:rPr>
                <w:rFonts w:ascii="Calibri" w:cs="Calibri" w:eastAsia="Calibri" w:hAnsi="Calibri"/>
                <w:b/>
                <w:bCs/>
                <w:color w:val="6B7A8C"/>
                <w:sz w:val="16"/>
                <w:szCs w:val="16"/>
              </w:rPr>
              <w:t xml:space="preserve">What to say instead</w:t>
            </w:r>
          </w:p>
        </w:tc>
      </w:tr>
      <w:tr>
        <w:trPr>
          <w:cantSplit/>
        </w:trPr>
        <w:tc>
          <w:tcPr>
            <w:tcW w:type="dxa" w:w="262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A4462F"/>
                <w:sz w:val="18"/>
                <w:szCs w:val="18"/>
              </w:rPr>
              <w:t xml:space="preserve">“We reduce audit cost / time by X%”</w:t>
            </w:r>
          </w:p>
        </w:tc>
        <w:tc>
          <w:tcPr>
            <w:tcW w:type="dxa" w:w="3427"/>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No measured baseline exists. No engagement has published before-and-after figures.</w:t>
            </w:r>
          </w:p>
        </w:tc>
        <w:tc>
          <w:tcPr>
            <w:tcW w:type="dxa" w:w="4032"/>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Nothing, until 3HUE instruments its own delivery. Worth fixing — this is the claim buyers most want.</w:t>
            </w:r>
          </w:p>
        </w:tc>
      </w:tr>
      <w:tr>
        <w:trPr>
          <w:cantSplit/>
        </w:trPr>
        <w:tc>
          <w:tcPr>
            <w:tcW w:type="dxa" w:w="262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A4462F"/>
                <w:sz w:val="18"/>
                <w:szCs w:val="18"/>
              </w:rPr>
              <w:t xml:space="preserve">“Trusted by N companies” / any client count</w:t>
            </w:r>
          </w:p>
        </w:tc>
        <w:tc>
          <w:tcPr>
            <w:tcW w:type="dxa" w:w="3427"/>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No verifiable count is public.</w:t>
            </w:r>
          </w:p>
        </w:tc>
        <w:tc>
          <w:tcPr>
            <w:tcW w:type="dxa" w:w="4032"/>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Name the engagements that are published, and nothing more.</w:t>
            </w:r>
          </w:p>
        </w:tc>
      </w:tr>
      <w:tr>
        <w:trPr>
          <w:cantSplit/>
        </w:trPr>
        <w:tc>
          <w:tcPr>
            <w:tcW w:type="dxa" w:w="262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A4462F"/>
                <w:sz w:val="18"/>
                <w:szCs w:val="18"/>
              </w:rPr>
              <w:t xml:space="preserve">“40% of cyber insurance claims were denied”</w:t>
            </w:r>
          </w:p>
        </w:tc>
        <w:tc>
          <w:tcPr>
            <w:tcW w:type="dxa" w:w="3427"/>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Appears in a LinkedIn post with no source attached. No carrier report supports it.</w:t>
            </w:r>
          </w:p>
        </w:tc>
        <w:tc>
          <w:tcPr>
            <w:tcW w:type="dxa" w:w="4032"/>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Use the mechanism — controls attested versus controls demonstrated at claim time. The story converts without the number.</w:t>
            </w:r>
          </w:p>
        </w:tc>
      </w:tr>
      <w:tr>
        <w:trPr>
          <w:cantSplit/>
        </w:trPr>
        <w:tc>
          <w:tcPr>
            <w:tcW w:type="dxa" w:w="262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A4462F"/>
                <w:sz w:val="18"/>
                <w:szCs w:val="18"/>
              </w:rPr>
              <w:t xml:space="preserve">Any dollar size for “the vCISO market”</w:t>
            </w:r>
          </w:p>
        </w:tc>
        <w:tc>
          <w:tcPr>
            <w:tcW w:type="dxa" w:w="3427"/>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Only SEO aggregators publish one. No credible primary source found.</w:t>
            </w:r>
          </w:p>
        </w:tc>
        <w:tc>
          <w:tcPr>
            <w:tcW w:type="dxa" w:w="4032"/>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The adoption trend: MSPs offering vCISO went from 21% to 67% in a year (Cynomi 2025).</w:t>
            </w:r>
          </w:p>
        </w:tc>
      </w:tr>
      <w:tr>
        <w:trPr>
          <w:cantSplit/>
        </w:trPr>
        <w:tc>
          <w:tcPr>
            <w:tcW w:type="dxa" w:w="262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A4462F"/>
                <w:sz w:val="18"/>
                <w:szCs w:val="18"/>
              </w:rPr>
              <w:t xml:space="preserve">Current TOGAF or COBIT adoption rates</w:t>
            </w:r>
          </w:p>
        </w:tc>
        <w:tc>
          <w:tcPr>
            <w:tcW w:type="dxa" w:w="3427"/>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No current data exists. The newest ITIL adoption survey found is from 2020.</w:t>
            </w:r>
          </w:p>
        </w:tc>
        <w:tc>
          <w:tcPr>
            <w:tcW w:type="dxa" w:w="4032"/>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Nothing. Do not estimate.</w:t>
            </w:r>
          </w:p>
        </w:tc>
      </w:tr>
      <w:tr>
        <w:trPr>
          <w:cantSplit/>
        </w:trPr>
        <w:tc>
          <w:tcPr>
            <w:tcW w:type="dxa" w:w="262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A4462F"/>
                <w:sz w:val="18"/>
                <w:szCs w:val="18"/>
              </w:rPr>
              <w:t xml:space="preserve">“ISO 27001 certifications doubled”</w:t>
            </w:r>
          </w:p>
        </w:tc>
        <w:tc>
          <w:tcPr>
            <w:tcW w:type="dxa" w:w="3427"/>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The apparent jump in the 2024 ISO Survey is a reporting-method change, not growth.</w:t>
            </w:r>
          </w:p>
        </w:tc>
        <w:tc>
          <w:tcPr>
            <w:tcW w:type="dxa" w:w="4032"/>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Cite the level — 96,709 valid certificates — never the growth.</w:t>
            </w:r>
          </w:p>
        </w:tc>
      </w:tr>
      <w:tr>
        <w:trPr>
          <w:cantSplit/>
        </w:trPr>
        <w:tc>
          <w:tcPr>
            <w:tcW w:type="dxa" w:w="262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A8781F"/>
                <w:sz w:val="18"/>
                <w:szCs w:val="18"/>
              </w:rPr>
              <w:t xml:space="preserve">CMMC as a live, enforced requirement</w:t>
            </w:r>
          </w:p>
        </w:tc>
        <w:tc>
          <w:tcPr>
            <w:tcW w:type="dxa" w:w="3427"/>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Phase II was suspended 13 July 2026 pending a reform task force.</w:t>
            </w:r>
          </w:p>
        </w:tc>
        <w:tc>
          <w:tcPr>
            <w:tcW w:type="dxa" w:w="4032"/>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“The certification paused; the controls didn’t.” Phase I self-assessments, NIST SP 800-171 and DFARS 252.204-7012 still apply. Re-verify before any defense campaign.</w:t>
            </w:r>
          </w:p>
        </w:tc>
      </w:tr>
      <w:tr>
        <w:trPr>
          <w:cantSplit/>
        </w:trPr>
        <w:tc>
          <w:tcPr>
            <w:tcW w:type="dxa" w:w="262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A8781F"/>
                <w:sz w:val="18"/>
                <w:szCs w:val="18"/>
              </w:rPr>
              <w:t xml:space="preserve">Any client name not already published</w:t>
            </w:r>
          </w:p>
        </w:tc>
        <w:tc>
          <w:tcPr>
            <w:tcW w:type="dxa" w:w="3427"/>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Only Transit Technologies and Rolly Marine appear publicly.</w:t>
            </w:r>
          </w:p>
        </w:tc>
        <w:tc>
          <w:tcPr>
            <w:tcW w:type="dxa" w:w="4032"/>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“A large North American bank.” Get written consent before any new name appears anywhere.</w:t>
            </w:r>
          </w:p>
        </w:tc>
      </w:tr>
      <w:tr>
        <w:trPr>
          <w:cantSplit/>
        </w:trPr>
        <w:tc>
          <w:tcPr>
            <w:tcW w:type="dxa" w:w="2621"/>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b/>
                <w:bCs/>
                <w:color w:val="A8781F"/>
                <w:sz w:val="18"/>
                <w:szCs w:val="18"/>
              </w:rPr>
              <w:t xml:space="preserve">AiVRIC beta or alpha modules as available</w:t>
            </w:r>
          </w:p>
        </w:tc>
        <w:tc>
          <w:tcPr>
            <w:tcW w:type="dxa" w:w="3427"/>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Only CloudSignals+RiskOps is generally available.</w:t>
            </w:r>
          </w:p>
        </w:tc>
        <w:tc>
          <w:tcPr>
            <w:tcW w:type="dxa" w:w="4032"/>
            <w:tcBorders>
              <w:top w:val="single" w:color="D3DCE6" w:sz="2"/>
              <w:left w:val="none"/>
              <w:bottom w:val="single" w:color="D3DCE6" w:sz="2"/>
              <w:right w:val="none"/>
            </w:tcBorders>
            <w:shd w:fill="EEF4F9" w:color="auto" w:val="clear"/>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“Available today” for CloudSignals only. Everything else is “in development,” in writing, every time.</w:t>
            </w:r>
          </w:p>
        </w:tc>
      </w:tr>
      <w:tr>
        <w:trPr>
          <w:cantSplit/>
        </w:trPr>
        <w:tc>
          <w:tcPr>
            <w:tcW w:type="dxa" w:w="2621"/>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b/>
                <w:bCs/>
                <w:color w:val="A8781F"/>
                <w:sz w:val="18"/>
                <w:szCs w:val="18"/>
              </w:rPr>
              <w:t xml:space="preserve">Veteran-owned status</w:t>
            </w:r>
          </w:p>
        </w:tc>
        <w:tc>
          <w:tcPr>
            <w:tcW w:type="dxa" w:w="3427"/>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Stated in an internal 2024 deck; not verified against SBA records.</w:t>
            </w:r>
          </w:p>
        </w:tc>
        <w:tc>
          <w:tcPr>
            <w:tcW w:type="dxa" w:w="4032"/>
            <w:tcBorders>
              <w:top w:val="single" w:color="D3DCE6" w:sz="2"/>
              <w:left w:val="none"/>
              <w:bottom w:val="single" w:color="D3DCE6" w:sz="2"/>
              <w:right w:val="none"/>
            </w:tcBorders>
            <w:tcMar>
              <w:top w:type="dxa" w:w="70"/>
              <w:left w:type="dxa" w:w="100"/>
              <w:bottom w:type="dxa" w:w="70"/>
              <w:right w:type="dxa" w:w="100"/>
            </w:tcMar>
          </w:tcPr>
          <w:p>
            <w:pPr>
              <w:spacing w:after="0" w:before="0" w:line="250"/>
            </w:pPr>
            <w:r>
              <w:rPr>
                <w:rFonts w:ascii="Calibri" w:cs="Calibri" w:eastAsia="Calibri" w:hAnsi="Calibri"/>
                <w:color w:val="3D4A5A"/>
                <w:sz w:val="18"/>
                <w:szCs w:val="18"/>
              </w:rPr>
              <w:t xml:space="preserve">Nothing, until verified. Then it belongs everywhere.</w:t>
            </w:r>
          </w:p>
        </w:tc>
      </w:tr>
    </w:tbl>
    <w:p>
      <w:pPr>
        <w:spacing w:after="180" w:before="0" w:line="276"/>
      </w:pPr>
      <w:r>
        <w:rPr>
          <w:rFonts w:ascii="Calibri" w:cs="Calibri" w:eastAsia="Calibri" w:hAnsi="Calibri"/>
          <w:color w:val="3D4A5A"/>
          <w:sz w:val="8"/>
          <w:szCs w:val="8"/>
        </w:rPr>
        <w:t xml:space="preserve"/>
      </w:r>
    </w:p>
    <w:p>
      <w:pPr>
        <w:pStyle w:val="Heading2"/>
        <w:keepNext/>
        <w:spacing w:after="120" w:before="340"/>
      </w:pPr>
      <w:r>
        <w:rPr>
          <w:rFonts w:ascii="Calibri" w:cs="Calibri" w:eastAsia="Calibri" w:hAnsi="Calibri"/>
          <w:b/>
          <w:bCs/>
          <w:color w:val="2F86B3"/>
          <w:sz w:val="28"/>
          <w:szCs w:val="28"/>
        </w:rPr>
        <w:t xml:space="preserve">56. Method and limits</w:t>
      </w:r>
    </w:p>
    <w:p>
      <w:pPr>
        <w:keepNext/>
        <w:spacing w:after="60" w:before="180"/>
      </w:pPr>
      <w:r>
        <w:rPr>
          <w:rFonts w:ascii="Calibri" w:cs="Calibri" w:eastAsia="Calibri" w:hAnsi="Calibri"/>
          <w:b/>
          <w:bCs/>
          <w:color w:val="3D4A5A"/>
          <w:sz w:val="20"/>
          <w:szCs w:val="20"/>
        </w:rPr>
        <w:t xml:space="preserve">How this was built</w:t>
      </w:r>
    </w:p>
    <w:p>
      <w:pPr>
        <w:spacing w:after="120" w:before="0" w:line="276"/>
      </w:pPr>
      <w:r>
        <w:rPr>
          <w:rFonts w:ascii="Calibri" w:cs="Calibri" w:eastAsia="Calibri" w:hAnsi="Calibri"/>
          <w:color w:val="3D4A5A"/>
          <w:sz w:val="20"/>
          <w:szCs w:val="20"/>
        </w:rPr>
        <w:t xml:space="preserve">Public company research — websites, BBB, Crunchbase, LinkedIn pages and the founder’s published articles — on 2 September 2026, re-verified 4 September. Sixty-plus statistics from 2024–2026 reports, each confirmed on its source page. Social listening across LinkedIn, X and TikTok in logged-in sessions, Reddit through a logged-in browser, YouTube watch pages, and Hacker News threads. YouTube keyword and channel data pulled from vidIQ on 2–3 September 2026. Live SERP observation across 40+ queries. Two inherited strategy documents read in full on 4 September 2026.</w:t>
      </w:r>
    </w:p>
    <w:p>
      <w:pPr>
        <w:keepNext/>
        <w:spacing w:after="60" w:before="180"/>
      </w:pPr>
      <w:r>
        <w:rPr>
          <w:rFonts w:ascii="Calibri" w:cs="Calibri" w:eastAsia="Calibri" w:hAnsi="Calibri"/>
          <w:b/>
          <w:bCs/>
          <w:color w:val="3D4A5A"/>
          <w:sz w:val="20"/>
          <w:szCs w:val="20"/>
        </w:rPr>
        <w:t xml:space="preserve">Limits, stated plainly</w:t>
      </w:r>
    </w:p>
    <w:p>
      <w:pPr>
        <w:pStyle w:val="ListParagraph"/>
        <w:numPr>
          <w:ilvl w:val="0"/>
          <w:numId w:val="1"/>
        </w:numPr>
        <w:spacing w:after="70" w:line="270"/>
      </w:pPr>
      <w:r>
        <w:rPr>
          <w:rFonts w:ascii="Calibri" w:cs="Calibri" w:eastAsia="Calibri" w:hAnsi="Calibri"/>
          <w:b/>
          <w:bCs/>
          <w:color w:val="14202E"/>
          <w:sz w:val="20"/>
          <w:szCs w:val="20"/>
        </w:rPr>
        <w:t xml:space="preserve">No web search volume. </w:t>
      </w:r>
      <w:r>
        <w:rPr>
          <w:rFonts w:ascii="Calibri" w:cs="Calibri" w:eastAsia="Calibri" w:hAnsi="Calibri"/>
          <w:color w:val="3D4A5A"/>
          <w:sz w:val="20"/>
          <w:szCs w:val="20"/>
        </w:rPr>
        <w:t xml:space="preserve">No keyword volume tool was available for web search. Every SERP verdict in Part V describes who you would compete against, not how many people search. Two high-verdict terms — MRA remediation and the trigger-language queries — are likely low volume and are recommended on value per visit rather than traffic.</w:t>
      </w:r>
    </w:p>
    <w:p>
      <w:pPr>
        <w:pStyle w:val="ListParagraph"/>
        <w:numPr>
          <w:ilvl w:val="0"/>
          <w:numId w:val="1"/>
        </w:numPr>
        <w:spacing w:after="70" w:line="270"/>
      </w:pPr>
      <w:r>
        <w:rPr>
          <w:rFonts w:ascii="Calibri" w:cs="Calibri" w:eastAsia="Calibri" w:hAnsi="Calibri"/>
          <w:b/>
          <w:bCs/>
          <w:color w:val="14202E"/>
          <w:sz w:val="20"/>
          <w:szCs w:val="20"/>
        </w:rPr>
        <w:t xml:space="preserve">Screenshots could not be exported. </w:t>
      </w:r>
      <w:r>
        <w:rPr>
          <w:rFonts w:ascii="Calibri" w:cs="Calibri" w:eastAsia="Calibri" w:hAnsi="Calibri"/>
          <w:color w:val="3D4A5A"/>
          <w:sz w:val="20"/>
          <w:szCs w:val="20"/>
        </w:rPr>
        <w:t xml:space="preserve">Browser screenshots taken during social listening could not be saved as files, so the evidence trail is quote plus link. Engagement counts are as displayed on the day and will drift.</w:t>
      </w:r>
    </w:p>
    <w:p>
      <w:pPr>
        <w:pStyle w:val="ListParagraph"/>
        <w:numPr>
          <w:ilvl w:val="0"/>
          <w:numId w:val="1"/>
        </w:numPr>
        <w:spacing w:after="70" w:line="270"/>
      </w:pPr>
      <w:r>
        <w:rPr>
          <w:rFonts w:ascii="Calibri" w:cs="Calibri" w:eastAsia="Calibri" w:hAnsi="Calibri"/>
          <w:b/>
          <w:bCs/>
          <w:color w:val="14202E"/>
          <w:sz w:val="20"/>
          <w:szCs w:val="20"/>
        </w:rPr>
        <w:t xml:space="preserve">No current rankings or analytics. </w:t>
      </w:r>
      <w:r>
        <w:rPr>
          <w:rFonts w:ascii="Calibri" w:cs="Calibri" w:eastAsia="Calibri" w:hAnsi="Calibri"/>
          <w:color w:val="3D4A5A"/>
          <w:sz w:val="20"/>
          <w:szCs w:val="20"/>
        </w:rPr>
        <w:t xml:space="preserve">Actual positions, impressions and indexed page count need Search Console access, which does not exist yet. This is the fifteen-minute unblock flagged repeatedly.</w:t>
      </w:r>
    </w:p>
    <w:p>
      <w:pPr>
        <w:pStyle w:val="ListParagraph"/>
        <w:numPr>
          <w:ilvl w:val="0"/>
          <w:numId w:val="1"/>
        </w:numPr>
        <w:spacing w:after="70" w:line="270"/>
      </w:pPr>
      <w:r>
        <w:rPr>
          <w:rFonts w:ascii="Calibri" w:cs="Calibri" w:eastAsia="Calibri" w:hAnsi="Calibri"/>
          <w:b/>
          <w:bCs/>
          <w:color w:val="14202E"/>
          <w:sz w:val="20"/>
          <w:szCs w:val="20"/>
        </w:rPr>
        <w:t xml:space="preserve">The segment weightings are hypotheses. </w:t>
      </w:r>
      <w:r>
        <w:rPr>
          <w:rFonts w:ascii="Calibri" w:cs="Calibri" w:eastAsia="Calibri" w:hAnsi="Calibri"/>
          <w:color w:val="3D4A5A"/>
          <w:sz w:val="20"/>
          <w:szCs w:val="20"/>
        </w:rPr>
        <w:t xml:space="preserve">The 60/25/15 split and the revenue bands are judgment calls. Re-score twenty closed deals against the fit model; if the tiers do not separate wins from losses, move the weights.</w:t>
      </w:r>
    </w:p>
    <w:p>
      <w:pPr>
        <w:pStyle w:val="ListParagraph"/>
        <w:numPr>
          <w:ilvl w:val="0"/>
          <w:numId w:val="1"/>
        </w:numPr>
        <w:spacing w:after="70" w:line="270"/>
      </w:pPr>
      <w:r>
        <w:rPr>
          <w:rFonts w:ascii="Calibri" w:cs="Calibri" w:eastAsia="Calibri" w:hAnsi="Calibri"/>
          <w:b/>
          <w:bCs/>
          <w:color w:val="14202E"/>
          <w:sz w:val="20"/>
          <w:szCs w:val="20"/>
        </w:rPr>
        <w:t xml:space="preserve">Everything expires. </w:t>
      </w:r>
      <w:r>
        <w:rPr>
          <w:rFonts w:ascii="Calibri" w:cs="Calibri" w:eastAsia="Calibri" w:hAnsi="Calibri"/>
          <w:color w:val="3D4A5A"/>
          <w:sz w:val="20"/>
          <w:szCs w:val="20"/>
        </w:rPr>
        <w:t xml:space="preserve">These are 2024–2026 surveys, most refreshing annually. Re-check the statistics table each January and re-verify anything CMMC-related before use.</w:t>
      </w:r>
    </w:p>
    <w:p>
      <w:pPr>
        <w:pStyle w:val="Heading2"/>
        <w:keepNext/>
        <w:spacing w:after="120" w:before="340"/>
      </w:pPr>
      <w:r>
        <w:rPr>
          <w:rFonts w:ascii="Calibri" w:cs="Calibri" w:eastAsia="Calibri" w:hAnsi="Calibri"/>
          <w:b/>
          <w:bCs/>
          <w:color w:val="2F86B3"/>
          <w:sz w:val="28"/>
          <w:szCs w:val="28"/>
        </w:rPr>
        <w:t xml:space="preserve">57. Sources</w:t>
      </w:r>
    </w:p>
    <w:p>
      <w:pPr>
        <w:keepNext/>
        <w:spacing w:after="60" w:before="180"/>
      </w:pPr>
      <w:r>
        <w:rPr>
          <w:rFonts w:ascii="Calibri" w:cs="Calibri" w:eastAsia="Calibri" w:hAnsi="Calibri"/>
          <w:b/>
          <w:bCs/>
          <w:color w:val="3D4A5A"/>
          <w:sz w:val="20"/>
          <w:szCs w:val="20"/>
        </w:rPr>
        <w:t xml:space="preserve">Primary market research</w:t>
      </w:r>
    </w:p>
    <w:p>
      <w:pPr>
        <w:pStyle w:val="ListParagraph"/>
        <w:numPr>
          <w:ilvl w:val="0"/>
          <w:numId w:val="1"/>
        </w:numPr>
        <w:spacing w:after="70" w:line="270"/>
      </w:pPr>
      <w:r>
        <w:rPr>
          <w:rFonts w:ascii="Calibri" w:cs="Calibri" w:eastAsia="Calibri" w:hAnsi="Calibri"/>
          <w:color w:val="3D4A5A"/>
          <w:sz w:val="20"/>
          <w:szCs w:val="20"/>
        </w:rPr>
        <w:t xml:space="preserve">Secureframe, 2026 Cybersecurity and Compliance Benchmark Report (December 2025)</w:t>
      </w:r>
    </w:p>
    <w:p>
      <w:pPr>
        <w:pStyle w:val="ListParagraph"/>
        <w:numPr>
          <w:ilvl w:val="0"/>
          <w:numId w:val="1"/>
        </w:numPr>
        <w:spacing w:after="70" w:line="270"/>
      </w:pPr>
      <w:r>
        <w:rPr>
          <w:rFonts w:ascii="Calibri" w:cs="Calibri" w:eastAsia="Calibri" w:hAnsi="Calibri"/>
          <w:color w:val="3D4A5A"/>
          <w:sz w:val="20"/>
          <w:szCs w:val="20"/>
        </w:rPr>
        <w:t xml:space="preserve">A-LIGN, 2026 Compliance Benchmark Report (January 2026) and the 2025 edition</w:t>
      </w:r>
    </w:p>
    <w:p>
      <w:pPr>
        <w:pStyle w:val="ListParagraph"/>
        <w:numPr>
          <w:ilvl w:val="0"/>
          <w:numId w:val="1"/>
        </w:numPr>
        <w:spacing w:after="70" w:line="270"/>
      </w:pPr>
      <w:r>
        <w:rPr>
          <w:rFonts w:ascii="Calibri" w:cs="Calibri" w:eastAsia="Calibri" w:hAnsi="Calibri"/>
          <w:color w:val="3D4A5A"/>
          <w:sz w:val="20"/>
          <w:szCs w:val="20"/>
        </w:rPr>
        <w:t xml:space="preserve">ISACA, State of Cybersecurity 2025; ISACA 2026 AI Pulse Poll; ISACA Tech Trends 2026</w:t>
      </w:r>
    </w:p>
    <w:p>
      <w:pPr>
        <w:pStyle w:val="ListParagraph"/>
        <w:numPr>
          <w:ilvl w:val="0"/>
          <w:numId w:val="1"/>
        </w:numPr>
        <w:spacing w:after="70" w:line="270"/>
      </w:pPr>
      <w:r>
        <w:rPr>
          <w:rFonts w:ascii="Calibri" w:cs="Calibri" w:eastAsia="Calibri" w:hAnsi="Calibri"/>
          <w:color w:val="3D4A5A"/>
          <w:sz w:val="20"/>
          <w:szCs w:val="20"/>
        </w:rPr>
        <w:t xml:space="preserve">ISC2, 2025 Cybersecurity Workforce Study</w:t>
      </w:r>
    </w:p>
    <w:p>
      <w:pPr>
        <w:pStyle w:val="ListParagraph"/>
        <w:numPr>
          <w:ilvl w:val="0"/>
          <w:numId w:val="1"/>
        </w:numPr>
        <w:spacing w:after="70" w:line="270"/>
      </w:pPr>
      <w:r>
        <w:rPr>
          <w:rFonts w:ascii="Calibri" w:cs="Calibri" w:eastAsia="Calibri" w:hAnsi="Calibri"/>
          <w:color w:val="3D4A5A"/>
          <w:sz w:val="20"/>
          <w:szCs w:val="20"/>
        </w:rPr>
        <w:t xml:space="preserve">Cybersecurity Ventures with Sophos, 2026 CISO Report; Sophos State of Ransomware 2025</w:t>
      </w:r>
    </w:p>
    <w:p>
      <w:pPr>
        <w:pStyle w:val="ListParagraph"/>
        <w:numPr>
          <w:ilvl w:val="0"/>
          <w:numId w:val="1"/>
        </w:numPr>
        <w:spacing w:after="70" w:line="270"/>
      </w:pPr>
      <w:r>
        <w:rPr>
          <w:rFonts w:ascii="Calibri" w:cs="Calibri" w:eastAsia="Calibri" w:hAnsi="Calibri"/>
          <w:color w:val="3D4A5A"/>
          <w:sz w:val="20"/>
          <w:szCs w:val="20"/>
        </w:rPr>
        <w:t xml:space="preserve">Fortra, 2025 State of Cybersecurity Survey</w:t>
      </w:r>
    </w:p>
    <w:p>
      <w:pPr>
        <w:pStyle w:val="ListParagraph"/>
        <w:numPr>
          <w:ilvl w:val="0"/>
          <w:numId w:val="1"/>
        </w:numPr>
        <w:spacing w:after="70" w:line="270"/>
      </w:pPr>
      <w:r>
        <w:rPr>
          <w:rFonts w:ascii="Calibri" w:cs="Calibri" w:eastAsia="Calibri" w:hAnsi="Calibri"/>
          <w:color w:val="3D4A5A"/>
          <w:sz w:val="20"/>
          <w:szCs w:val="20"/>
        </w:rPr>
        <w:t xml:space="preserve">UK DSIT/Home Office, Cyber Security Breaches Survey 2025/2026</w:t>
      </w:r>
    </w:p>
    <w:p>
      <w:pPr>
        <w:pStyle w:val="ListParagraph"/>
        <w:numPr>
          <w:ilvl w:val="0"/>
          <w:numId w:val="1"/>
        </w:numPr>
        <w:spacing w:after="70" w:line="270"/>
      </w:pPr>
      <w:r>
        <w:rPr>
          <w:rFonts w:ascii="Calibri" w:cs="Calibri" w:eastAsia="Calibri" w:hAnsi="Calibri"/>
          <w:color w:val="3D4A5A"/>
          <w:sz w:val="20"/>
          <w:szCs w:val="20"/>
        </w:rPr>
        <w:t xml:space="preserve">World Economic Forum, Global Cybersecurity Outlook 2025; coverage in Cybersecurity Dive</w:t>
      </w:r>
    </w:p>
    <w:p>
      <w:pPr>
        <w:pStyle w:val="ListParagraph"/>
        <w:numPr>
          <w:ilvl w:val="0"/>
          <w:numId w:val="1"/>
        </w:numPr>
        <w:spacing w:after="70" w:line="270"/>
      </w:pPr>
      <w:r>
        <w:rPr>
          <w:rFonts w:ascii="Calibri" w:cs="Calibri" w:eastAsia="Calibri" w:hAnsi="Calibri"/>
          <w:color w:val="3D4A5A"/>
          <w:sz w:val="20"/>
          <w:szCs w:val="20"/>
        </w:rPr>
        <w:t xml:space="preserve">National Cybersecurity Alliance with CISA, 2026 Small Business Survey; figures via SecureWorld</w:t>
      </w:r>
    </w:p>
    <w:p>
      <w:pPr>
        <w:pStyle w:val="ListParagraph"/>
        <w:numPr>
          <w:ilvl w:val="0"/>
          <w:numId w:val="1"/>
        </w:numPr>
        <w:spacing w:after="70" w:line="270"/>
      </w:pPr>
      <w:r>
        <w:rPr>
          <w:rFonts w:ascii="Calibri" w:cs="Calibri" w:eastAsia="Calibri" w:hAnsi="Calibri"/>
          <w:color w:val="3D4A5A"/>
          <w:sz w:val="20"/>
          <w:szCs w:val="20"/>
        </w:rPr>
        <w:t xml:space="preserve">Techaisle, “The Great Cybersecurity Paradox” (October 2025)</w:t>
      </w:r>
    </w:p>
    <w:p>
      <w:pPr>
        <w:pStyle w:val="ListParagraph"/>
        <w:numPr>
          <w:ilvl w:val="0"/>
          <w:numId w:val="1"/>
        </w:numPr>
        <w:spacing w:after="70" w:line="270"/>
      </w:pPr>
      <w:r>
        <w:rPr>
          <w:rFonts w:ascii="Calibri" w:cs="Calibri" w:eastAsia="Calibri" w:hAnsi="Calibri"/>
          <w:color w:val="3D4A5A"/>
          <w:sz w:val="20"/>
          <w:szCs w:val="20"/>
        </w:rPr>
        <w:t xml:space="preserve">ConnectWise, State of SMB Cybersecurity (2024) and 2025 statistics</w:t>
      </w:r>
    </w:p>
    <w:p>
      <w:pPr>
        <w:pStyle w:val="ListParagraph"/>
        <w:numPr>
          <w:ilvl w:val="0"/>
          <w:numId w:val="1"/>
        </w:numPr>
        <w:spacing w:after="70" w:line="270"/>
      </w:pPr>
      <w:r>
        <w:rPr>
          <w:rFonts w:ascii="Calibri" w:cs="Calibri" w:eastAsia="Calibri" w:hAnsi="Calibri"/>
          <w:color w:val="3D4A5A"/>
          <w:sz w:val="20"/>
          <w:szCs w:val="20"/>
        </w:rPr>
        <w:t xml:space="preserve">Verizon DBIR 2025 (SMB findings); DBIR 2026 summary</w:t>
      </w:r>
    </w:p>
    <w:p>
      <w:pPr>
        <w:pStyle w:val="ListParagraph"/>
        <w:numPr>
          <w:ilvl w:val="0"/>
          <w:numId w:val="1"/>
        </w:numPr>
        <w:spacing w:after="70" w:line="270"/>
      </w:pPr>
      <w:r>
        <w:rPr>
          <w:rFonts w:ascii="Calibri" w:cs="Calibri" w:eastAsia="Calibri" w:hAnsi="Calibri"/>
          <w:color w:val="3D4A5A"/>
          <w:sz w:val="20"/>
          <w:szCs w:val="20"/>
        </w:rPr>
        <w:t xml:space="preserve">IBM, 2026 Cost of a Data Breach and its AI governance analysis; IBM IBV with Palo Alto Networks tool-sprawl study</w:t>
      </w:r>
    </w:p>
    <w:p>
      <w:pPr>
        <w:pStyle w:val="ListParagraph"/>
        <w:numPr>
          <w:ilvl w:val="0"/>
          <w:numId w:val="1"/>
        </w:numPr>
        <w:spacing w:after="70" w:line="270"/>
      </w:pPr>
      <w:r>
        <w:rPr>
          <w:rFonts w:ascii="Calibri" w:cs="Calibri" w:eastAsia="Calibri" w:hAnsi="Calibri"/>
          <w:color w:val="3D4A5A"/>
          <w:sz w:val="20"/>
          <w:szCs w:val="20"/>
        </w:rPr>
        <w:t xml:space="preserve">Kroll, Private Equity Cybersecurity (February 2026)</w:t>
      </w:r>
    </w:p>
    <w:p>
      <w:pPr>
        <w:pStyle w:val="ListParagraph"/>
        <w:numPr>
          <w:ilvl w:val="0"/>
          <w:numId w:val="1"/>
        </w:numPr>
        <w:spacing w:after="70" w:line="270"/>
      </w:pPr>
      <w:r>
        <w:rPr>
          <w:rFonts w:ascii="Calibri" w:cs="Calibri" w:eastAsia="Calibri" w:hAnsi="Calibri"/>
          <w:color w:val="3D4A5A"/>
          <w:sz w:val="20"/>
          <w:szCs w:val="20"/>
        </w:rPr>
        <w:t xml:space="preserve">Insurance Journal on Chubb cyber claim severity (May 2026); Coalition 2025 Cyber Claims Report</w:t>
      </w:r>
    </w:p>
    <w:p>
      <w:pPr>
        <w:pStyle w:val="ListParagraph"/>
        <w:numPr>
          <w:ilvl w:val="0"/>
          <w:numId w:val="1"/>
        </w:numPr>
        <w:spacing w:after="70" w:line="270"/>
      </w:pPr>
      <w:r>
        <w:rPr>
          <w:rFonts w:ascii="Calibri" w:cs="Calibri" w:eastAsia="Calibri" w:hAnsi="Calibri"/>
          <w:color w:val="3D4A5A"/>
          <w:sz w:val="20"/>
          <w:szCs w:val="20"/>
        </w:rPr>
        <w:t xml:space="preserve">Cynomi, 2025 State of the vCISO; Channel Insider interview</w:t>
      </w:r>
    </w:p>
    <w:p>
      <w:pPr>
        <w:pStyle w:val="ListParagraph"/>
        <w:numPr>
          <w:ilvl w:val="0"/>
          <w:numId w:val="1"/>
        </w:numPr>
        <w:spacing w:after="70" w:line="270"/>
      </w:pPr>
      <w:r>
        <w:rPr>
          <w:rFonts w:ascii="Calibri" w:cs="Calibri" w:eastAsia="Calibri" w:hAnsi="Calibri"/>
          <w:color w:val="3D4A5A"/>
          <w:sz w:val="20"/>
          <w:szCs w:val="20"/>
        </w:rPr>
        <w:t xml:space="preserve">Gartner security spend forecast (July 2025); Gartner AI governance platforms (February 2026)</w:t>
      </w:r>
    </w:p>
    <w:p>
      <w:pPr>
        <w:pStyle w:val="ListParagraph"/>
        <w:numPr>
          <w:ilvl w:val="0"/>
          <w:numId w:val="1"/>
        </w:numPr>
        <w:spacing w:after="70" w:line="270"/>
      </w:pPr>
      <w:r>
        <w:rPr>
          <w:rFonts w:ascii="Calibri" w:cs="Calibri" w:eastAsia="Calibri" w:hAnsi="Calibri"/>
          <w:color w:val="3D4A5A"/>
          <w:sz w:val="20"/>
          <w:szCs w:val="20"/>
        </w:rPr>
        <w:t xml:space="preserve">Drata, State of GRC 2025; RegScale, 2026 State of Continuous Controls Monitoring</w:t>
      </w:r>
    </w:p>
    <w:p>
      <w:pPr>
        <w:pStyle w:val="ListParagraph"/>
        <w:numPr>
          <w:ilvl w:val="0"/>
          <w:numId w:val="1"/>
        </w:numPr>
        <w:spacing w:after="70" w:line="270"/>
      </w:pPr>
      <w:r>
        <w:rPr>
          <w:rFonts w:ascii="Calibri" w:cs="Calibri" w:eastAsia="Calibri" w:hAnsi="Calibri"/>
          <w:color w:val="3D4A5A"/>
          <w:sz w:val="20"/>
          <w:szCs w:val="20"/>
        </w:rPr>
        <w:t xml:space="preserve">Hyperproof, 6th Annual Benchmark and Summer 2025 Benchmark</w:t>
      </w:r>
    </w:p>
    <w:p>
      <w:pPr>
        <w:pStyle w:val="ListParagraph"/>
        <w:numPr>
          <w:ilvl w:val="0"/>
          <w:numId w:val="1"/>
        </w:numPr>
        <w:spacing w:after="70" w:line="270"/>
      </w:pPr>
      <w:r>
        <w:rPr>
          <w:rFonts w:ascii="Calibri" w:cs="Calibri" w:eastAsia="Calibri" w:hAnsi="Calibri"/>
          <w:color w:val="3D4A5A"/>
          <w:sz w:val="20"/>
          <w:szCs w:val="20"/>
        </w:rPr>
        <w:t xml:space="preserve">Vanta, State of Trust 2024; Vanta Trust Maturity Report 2025</w:t>
      </w:r>
    </w:p>
    <w:p>
      <w:pPr>
        <w:pStyle w:val="ListParagraph"/>
        <w:numPr>
          <w:ilvl w:val="0"/>
          <w:numId w:val="1"/>
        </w:numPr>
        <w:spacing w:after="70" w:line="270"/>
      </w:pPr>
      <w:r>
        <w:rPr>
          <w:rFonts w:ascii="Calibri" w:cs="Calibri" w:eastAsia="Calibri" w:hAnsi="Calibri"/>
          <w:color w:val="3D4A5A"/>
          <w:sz w:val="20"/>
          <w:szCs w:val="20"/>
        </w:rPr>
        <w:t xml:space="preserve">Thales, 2025 Data Threat Report</w:t>
      </w:r>
    </w:p>
    <w:p>
      <w:pPr>
        <w:pStyle w:val="ListParagraph"/>
        <w:numPr>
          <w:ilvl w:val="0"/>
          <w:numId w:val="1"/>
        </w:numPr>
        <w:spacing w:after="70" w:line="270"/>
      </w:pPr>
      <w:r>
        <w:rPr>
          <w:rFonts w:ascii="Calibri" w:cs="Calibri" w:eastAsia="Calibri" w:hAnsi="Calibri"/>
          <w:color w:val="3D4A5A"/>
          <w:sz w:val="20"/>
          <w:szCs w:val="20"/>
        </w:rPr>
        <w:t xml:space="preserve">Lowry, Vance &amp; Vance via Columbia Law School Blue Sky Blog (August 2025)</w:t>
      </w:r>
    </w:p>
    <w:p>
      <w:pPr>
        <w:pStyle w:val="ListParagraph"/>
        <w:numPr>
          <w:ilvl w:val="0"/>
          <w:numId w:val="1"/>
        </w:numPr>
        <w:spacing w:after="70" w:line="270"/>
      </w:pPr>
      <w:r>
        <w:rPr>
          <w:rFonts w:ascii="Calibri" w:cs="Calibri" w:eastAsia="Calibri" w:hAnsi="Calibri"/>
          <w:color w:val="3D4A5A"/>
          <w:sz w:val="20"/>
          <w:szCs w:val="20"/>
        </w:rPr>
        <w:t xml:space="preserve">Pax8 SMB AI research (March 2026); Pax8 Q2 2026 SMB AI Pulse</w:t>
      </w:r>
    </w:p>
    <w:p>
      <w:pPr>
        <w:pStyle w:val="ListParagraph"/>
        <w:numPr>
          <w:ilvl w:val="0"/>
          <w:numId w:val="1"/>
        </w:numPr>
        <w:spacing w:after="70" w:line="270"/>
      </w:pPr>
      <w:r>
        <w:rPr>
          <w:rFonts w:ascii="Calibri" w:cs="Calibri" w:eastAsia="Calibri" w:hAnsi="Calibri"/>
          <w:color w:val="3D4A5A"/>
          <w:sz w:val="20"/>
          <w:szCs w:val="20"/>
        </w:rPr>
        <w:t xml:space="preserve">Hiscox Cyber Readiness Report 2025 and the 2026 US edition</w:t>
      </w:r>
    </w:p>
    <w:p>
      <w:pPr>
        <w:pStyle w:val="ListParagraph"/>
        <w:numPr>
          <w:ilvl w:val="0"/>
          <w:numId w:val="1"/>
        </w:numPr>
        <w:spacing w:after="70" w:line="270"/>
      </w:pPr>
      <w:r>
        <w:rPr>
          <w:rFonts w:ascii="Calibri" w:cs="Calibri" w:eastAsia="Calibri" w:hAnsi="Calibri"/>
          <w:color w:val="3D4A5A"/>
          <w:sz w:val="20"/>
          <w:szCs w:val="20"/>
        </w:rPr>
        <w:t xml:space="preserve">PreVeil on the CMMC final rule; DefenseScoop CMMC cost estimates; DoW CIO Phase II suspension (July 2026)</w:t>
      </w:r>
    </w:p>
    <w:p>
      <w:pPr>
        <w:pStyle w:val="ListParagraph"/>
        <w:numPr>
          <w:ilvl w:val="0"/>
          <w:numId w:val="1"/>
        </w:numPr>
        <w:spacing w:after="70" w:line="270"/>
      </w:pPr>
      <w:r>
        <w:rPr>
          <w:rFonts w:ascii="Calibri" w:cs="Calibri" w:eastAsia="Calibri" w:hAnsi="Calibri"/>
          <w:color w:val="3D4A5A"/>
          <w:sz w:val="20"/>
          <w:szCs w:val="20"/>
        </w:rPr>
        <w:t xml:space="preserve">CyberSmart NIS2 survey (April 2026); DORA readiness survey (July 2025)</w:t>
      </w:r>
    </w:p>
    <w:p>
      <w:pPr>
        <w:pStyle w:val="ListParagraph"/>
        <w:numPr>
          <w:ilvl w:val="0"/>
          <w:numId w:val="1"/>
        </w:numPr>
        <w:spacing w:after="70" w:line="270"/>
      </w:pPr>
      <w:r>
        <w:rPr>
          <w:rFonts w:ascii="Calibri" w:cs="Calibri" w:eastAsia="Calibri" w:hAnsi="Calibri"/>
          <w:color w:val="3D4A5A"/>
          <w:sz w:val="20"/>
          <w:szCs w:val="20"/>
        </w:rPr>
        <w:t xml:space="preserve">Steve Durbin, Corporate Compliance Insights (April 2026); Mark Thomas, ISACA (January 2026)</w:t>
      </w:r>
    </w:p>
    <w:p>
      <w:pPr>
        <w:pStyle w:val="ListParagraph"/>
        <w:numPr>
          <w:ilvl w:val="0"/>
          <w:numId w:val="1"/>
        </w:numPr>
        <w:spacing w:after="70" w:line="270"/>
      </w:pPr>
      <w:r>
        <w:rPr>
          <w:rFonts w:ascii="Calibri" w:cs="Calibri" w:eastAsia="Calibri" w:hAnsi="Calibri"/>
          <w:color w:val="3D4A5A"/>
          <w:sz w:val="20"/>
          <w:szCs w:val="20"/>
        </w:rPr>
        <w:t xml:space="preserve">Edera, “Who Gives a SOC 2” (March 2026); SaaStr, “Just Do the SOC-2” (July 2023)</w:t>
      </w:r>
    </w:p>
    <w:p>
      <w:pPr>
        <w:keepNext/>
        <w:spacing w:after="60" w:before="180"/>
      </w:pPr>
      <w:r>
        <w:rPr>
          <w:rFonts w:ascii="Calibri" w:cs="Calibri" w:eastAsia="Calibri" w:hAnsi="Calibri"/>
          <w:b/>
          <w:bCs/>
          <w:color w:val="3D4A5A"/>
          <w:sz w:val="20"/>
          <w:szCs w:val="20"/>
        </w:rPr>
        <w:t xml:space="preserve">Tooling and observation</w:t>
      </w:r>
    </w:p>
    <w:p>
      <w:pPr>
        <w:pStyle w:val="ListParagraph"/>
        <w:numPr>
          <w:ilvl w:val="0"/>
          <w:numId w:val="1"/>
        </w:numPr>
        <w:spacing w:after="70" w:line="270"/>
      </w:pPr>
      <w:r>
        <w:rPr>
          <w:rFonts w:ascii="Calibri" w:cs="Calibri" w:eastAsia="Calibri" w:hAnsi="Calibri"/>
          <w:color w:val="3D4A5A"/>
          <w:sz w:val="20"/>
          <w:szCs w:val="20"/>
        </w:rPr>
        <w:t xml:space="preserve">vidIQ keyword research and channel analytics, pulled 2–3 September 2026 (YouTube volume, competition scores, growth, competitor channels, title CTR scores)</w:t>
      </w:r>
    </w:p>
    <w:p>
      <w:pPr>
        <w:pStyle w:val="ListParagraph"/>
        <w:numPr>
          <w:ilvl w:val="0"/>
          <w:numId w:val="1"/>
        </w:numPr>
        <w:spacing w:after="70" w:line="270"/>
      </w:pPr>
      <w:r>
        <w:rPr>
          <w:rFonts w:ascii="Calibri" w:cs="Calibri" w:eastAsia="Calibri" w:hAnsi="Calibri"/>
          <w:color w:val="3D4A5A"/>
          <w:sz w:val="20"/>
          <w:szCs w:val="20"/>
        </w:rPr>
        <w:t xml:space="preserve">Live SERP observation across 40+ queries, September 2026</w:t>
      </w:r>
    </w:p>
    <w:p>
      <w:pPr>
        <w:pStyle w:val="ListParagraph"/>
        <w:numPr>
          <w:ilvl w:val="0"/>
          <w:numId w:val="1"/>
        </w:numPr>
        <w:spacing w:after="70" w:line="270"/>
      </w:pPr>
      <w:r>
        <w:rPr>
          <w:rFonts w:ascii="Calibri" w:cs="Calibri" w:eastAsia="Calibri" w:hAnsi="Calibri"/>
          <w:color w:val="3D4A5A"/>
          <w:sz w:val="20"/>
          <w:szCs w:val="20"/>
        </w:rPr>
        <w:t xml:space="preserve">Direct page fetches and TLS checks against 3hue.net and www.3hue.net, 2–4 September 2026</w:t>
      </w:r>
    </w:p>
    <w:p>
      <w:pPr>
        <w:pStyle w:val="ListParagraph"/>
        <w:numPr>
          <w:ilvl w:val="0"/>
          <w:numId w:val="1"/>
        </w:numPr>
        <w:spacing w:after="70" w:line="270"/>
      </w:pPr>
      <w:r>
        <w:rPr>
          <w:rFonts w:ascii="Calibri" w:cs="Calibri" w:eastAsia="Calibri" w:hAnsi="Calibri"/>
          <w:color w:val="3D4A5A"/>
          <w:sz w:val="20"/>
          <w:szCs w:val="20"/>
        </w:rPr>
        <w:t xml:space="preserve">Computed styles and CSS custom properties read live from 3hue.net and aivric.com for the brand section</w:t>
      </w:r>
    </w:p>
    <w:p>
      <w:pPr>
        <w:keepNext/>
        <w:spacing w:after="60" w:before="180"/>
      </w:pPr>
      <w:r>
        <w:rPr>
          <w:rFonts w:ascii="Calibri" w:cs="Calibri" w:eastAsia="Calibri" w:hAnsi="Calibri"/>
          <w:b/>
          <w:bCs/>
          <w:color w:val="3D4A5A"/>
          <w:sz w:val="20"/>
          <w:szCs w:val="20"/>
        </w:rPr>
        <w:t xml:space="preserve">Company and internal sources</w:t>
      </w:r>
    </w:p>
    <w:p>
      <w:pPr>
        <w:pStyle w:val="ListParagraph"/>
        <w:numPr>
          <w:ilvl w:val="0"/>
          <w:numId w:val="1"/>
        </w:numPr>
        <w:spacing w:after="70" w:line="270"/>
      </w:pPr>
      <w:r>
        <w:rPr>
          <w:rFonts w:ascii="Calibri" w:cs="Calibri" w:eastAsia="Calibri" w:hAnsi="Calibri"/>
          <w:color w:val="3D4A5A"/>
          <w:sz w:val="20"/>
          <w:szCs w:val="20"/>
        </w:rPr>
        <w:t xml:space="preserve">3hue.net — home, about, services, customer stories, insights, frameworks pages</w:t>
      </w:r>
    </w:p>
    <w:p>
      <w:pPr>
        <w:pStyle w:val="ListParagraph"/>
        <w:numPr>
          <w:ilvl w:val="0"/>
          <w:numId w:val="1"/>
        </w:numPr>
        <w:spacing w:after="70" w:line="270"/>
      </w:pPr>
      <w:r>
        <w:rPr>
          <w:rFonts w:ascii="Calibri" w:cs="Calibri" w:eastAsia="Calibri" w:hAnsi="Calibri"/>
          <w:color w:val="3D4A5A"/>
          <w:sz w:val="20"/>
          <w:szCs w:val="20"/>
        </w:rPr>
        <w:t xml:space="preserve">aivric.com — home, about, why AiVRIC, pricing, MSP and private-equity pages</w:t>
      </w:r>
    </w:p>
    <w:p>
      <w:pPr>
        <w:pStyle w:val="ListParagraph"/>
        <w:numPr>
          <w:ilvl w:val="0"/>
          <w:numId w:val="1"/>
        </w:numPr>
        <w:spacing w:after="70" w:line="270"/>
      </w:pPr>
      <w:r>
        <w:rPr>
          <w:rFonts w:ascii="Calibri" w:cs="Calibri" w:eastAsia="Calibri" w:hAnsi="Calibri"/>
          <w:color w:val="3D4A5A"/>
          <w:sz w:val="20"/>
          <w:szCs w:val="20"/>
        </w:rPr>
        <w:t xml:space="preserve">BBB profile, Crunchbase, ZoomInfo and D&amp;B listings for 3HUE Executive Consulting LLC</w:t>
      </w:r>
    </w:p>
    <w:p>
      <w:pPr>
        <w:pStyle w:val="ListParagraph"/>
        <w:numPr>
          <w:ilvl w:val="0"/>
          <w:numId w:val="1"/>
        </w:numPr>
        <w:spacing w:after="70" w:line="270"/>
      </w:pPr>
      <w:r>
        <w:rPr>
          <w:rFonts w:ascii="Calibri" w:cs="Calibri" w:eastAsia="Calibri" w:hAnsi="Calibri"/>
          <w:color w:val="3D4A5A"/>
          <w:sz w:val="20"/>
          <w:szCs w:val="20"/>
        </w:rPr>
        <w:t xml:space="preserve">Andrew Ramirez on LinkedIn: “Founder Thesis: Why AiVRIC Exists” (Feb 2026), “Stop Blaming Frameworks” (Mar 2026), “From Execution to Enablement: Lessons Learned in 2025” (Dec 2025), and eight further articles</w:t>
      </w:r>
    </w:p>
    <w:p>
      <w:pPr>
        <w:pStyle w:val="ListParagraph"/>
        <w:numPr>
          <w:ilvl w:val="0"/>
          <w:numId w:val="1"/>
        </w:numPr>
        <w:spacing w:after="70" w:line="270"/>
      </w:pPr>
      <w:r>
        <w:rPr>
          <w:rFonts w:ascii="Calibri" w:cs="Calibri" w:eastAsia="Calibri" w:hAnsi="Calibri"/>
          <w:color w:val="3D4A5A"/>
          <w:sz w:val="20"/>
          <w:szCs w:val="20"/>
        </w:rPr>
        <w:t xml:space="preserve">3HUE Marketing Strategy &amp; Site Recommendations 2024 (37pp, Pablo Alvarez) — supplied by the marketing leader</w:t>
      </w:r>
    </w:p>
    <w:p>
      <w:pPr>
        <w:pStyle w:val="ListParagraph"/>
        <w:numPr>
          <w:ilvl w:val="0"/>
          <w:numId w:val="1"/>
        </w:numPr>
        <w:spacing w:after="70" w:line="270"/>
      </w:pPr>
      <w:r>
        <w:rPr>
          <w:rFonts w:ascii="Calibri" w:cs="Calibri" w:eastAsia="Calibri" w:hAnsi="Calibri"/>
          <w:color w:val="3D4A5A"/>
          <w:sz w:val="20"/>
          <w:szCs w:val="20"/>
        </w:rPr>
        <w:t xml:space="preserve">3HUE 2026–2027 GTM &amp; Marketing Strategy (17 slides, confidential draft) — supplied by the marketing leader</w:t>
      </w:r>
    </w:p>
    <w:p>
      <w:pPr>
        <w:keepNext/>
        <w:spacing w:after="60" w:before="180"/>
      </w:pPr>
      <w:r>
        <w:rPr>
          <w:rFonts w:ascii="Calibri" w:cs="Calibri" w:eastAsia="Calibri" w:hAnsi="Calibri"/>
          <w:b/>
          <w:bCs/>
          <w:color w:val="3D4A5A"/>
          <w:sz w:val="20"/>
          <w:szCs w:val="20"/>
        </w:rPr>
        <w:t xml:space="preserve">Social listening</w:t>
      </w:r>
    </w:p>
    <w:p>
      <w:pPr>
        <w:pStyle w:val="ListParagraph"/>
        <w:numPr>
          <w:ilvl w:val="0"/>
          <w:numId w:val="1"/>
        </w:numPr>
        <w:spacing w:after="70" w:line="270"/>
      </w:pPr>
      <w:r>
        <w:rPr>
          <w:rFonts w:ascii="Calibri" w:cs="Calibri" w:eastAsia="Calibri" w:hAnsi="Calibri"/>
          <w:color w:val="3D4A5A"/>
          <w:sz w:val="20"/>
          <w:szCs w:val="20"/>
        </w:rPr>
        <w:t xml:space="preserve">LinkedIn — logged-in session, 2 September 2026. Fourteen posts opened and verified, plus six search-snippet leads.</w:t>
      </w:r>
    </w:p>
    <w:p>
      <w:pPr>
        <w:pStyle w:val="ListParagraph"/>
        <w:numPr>
          <w:ilvl w:val="0"/>
          <w:numId w:val="1"/>
        </w:numPr>
        <w:spacing w:after="70" w:line="270"/>
      </w:pPr>
      <w:r>
        <w:rPr>
          <w:rFonts w:ascii="Calibri" w:cs="Calibri" w:eastAsia="Calibri" w:hAnsi="Calibri"/>
          <w:color w:val="3D4A5A"/>
          <w:sz w:val="20"/>
          <w:szCs w:val="20"/>
        </w:rPr>
        <w:t xml:space="preserve">X — logged-in session, 2 September 2026. Six posts opened and verified, plus five snippet leads.</w:t>
      </w:r>
    </w:p>
    <w:p>
      <w:pPr>
        <w:pStyle w:val="ListParagraph"/>
        <w:numPr>
          <w:ilvl w:val="0"/>
          <w:numId w:val="1"/>
        </w:numPr>
        <w:spacing w:after="70" w:line="270"/>
      </w:pPr>
      <w:r>
        <w:rPr>
          <w:rFonts w:ascii="Calibri" w:cs="Calibri" w:eastAsia="Calibri" w:hAnsi="Calibri"/>
          <w:color w:val="3D4A5A"/>
          <w:sz w:val="20"/>
          <w:szCs w:val="20"/>
        </w:rPr>
        <w:t xml:space="preserve">Reddit — r/cybersecurity, r/ITManagers, r/Compliance, r/smallbusiness, r/sysadmin, r/msp. Seven threads read in full.</w:t>
      </w:r>
    </w:p>
    <w:p>
      <w:pPr>
        <w:pStyle w:val="ListParagraph"/>
        <w:numPr>
          <w:ilvl w:val="0"/>
          <w:numId w:val="1"/>
        </w:numPr>
        <w:spacing w:after="70" w:line="270"/>
      </w:pPr>
      <w:r>
        <w:rPr>
          <w:rFonts w:ascii="Calibri" w:cs="Calibri" w:eastAsia="Calibri" w:hAnsi="Calibri"/>
          <w:color w:val="3D4A5A"/>
          <w:sz w:val="20"/>
          <w:szCs w:val="20"/>
        </w:rPr>
        <w:t xml:space="preserve">Hacker News — nine threads fetched and read.</w:t>
      </w:r>
    </w:p>
    <w:p>
      <w:pPr>
        <w:pStyle w:val="ListParagraph"/>
        <w:numPr>
          <w:ilvl w:val="0"/>
          <w:numId w:val="1"/>
        </w:numPr>
        <w:spacing w:after="70" w:line="270"/>
      </w:pPr>
      <w:r>
        <w:rPr>
          <w:rFonts w:ascii="Calibri" w:cs="Calibri" w:eastAsia="Calibri" w:hAnsi="Calibri"/>
          <w:color w:val="3D4A5A"/>
          <w:sz w:val="20"/>
          <w:szCs w:val="20"/>
        </w:rPr>
        <w:t xml:space="preserve">YouTube — watch pages opened for view-count verification; remaining counts via public API.</w:t>
      </w:r>
    </w:p>
    <w:p>
      <w:pPr>
        <w:pStyle w:val="ListParagraph"/>
        <w:numPr>
          <w:ilvl w:val="0"/>
          <w:numId w:val="1"/>
        </w:numPr>
        <w:spacing w:after="70" w:line="270"/>
      </w:pPr>
      <w:r>
        <w:rPr>
          <w:rFonts w:ascii="Calibri" w:cs="Calibri" w:eastAsia="Calibri" w:hAnsi="Calibri"/>
          <w:color w:val="3D4A5A"/>
          <w:sz w:val="20"/>
          <w:szCs w:val="20"/>
        </w:rPr>
        <w:t xml:space="preserve">TikTok — logged-in session; three searches and several videos reviewed.</w:t>
      </w:r>
    </w:p>
    <w:p>
      <w:pPr>
        <w:pBdr>
          <w:bottom w:val="single" w:color="D3DCE6" w:sz="6" w:space="1"/>
        </w:pBdr>
        <w:spacing w:after="160" w:before="0"/>
      </w:pPr>
      <w:r>
        <w:rPr>
          <w:rFonts w:ascii="Calibri" w:cs="Calibri" w:eastAsia="Calibri" w:hAnsi="Calibri"/>
          <w:color w:val="3D4A5A"/>
          <w:sz w:val="2"/>
          <w:szCs w:val="2"/>
        </w:rPr>
        <w:t xml:space="preserve"/>
      </w:r>
    </w:p>
    <w:p>
      <w:pPr>
        <w:spacing w:after="120" w:before="0" w:line="276"/>
      </w:pPr>
      <w:r>
        <w:rPr>
          <w:rFonts w:ascii="Calibri" w:cs="Calibri" w:eastAsia="Calibri" w:hAnsi="Calibri"/>
          <w:color w:val="6B7A8C"/>
          <w:sz w:val="16"/>
          <w:szCs w:val="16"/>
        </w:rPr>
        <w:t xml:space="preserve">3HUE Marketing Intelligence Report · compiled 9 September 2026 from research conducted 2–4 September 2026. </w:t>
      </w:r>
      <w:r>
        <w:rPr>
          <w:rFonts w:ascii="Calibri" w:cs="Calibri" w:eastAsia="Calibri" w:hAnsi="Calibri"/>
          <w:color w:val="6B7A8C"/>
          <w:sz w:val="16"/>
          <w:szCs w:val="16"/>
        </w:rPr>
        <w:t xml:space="preserve">Every figure is traceable to a named source and dated. Where a metric was unavailable it is shown as an em dash rather than estimated. Items in the do-not-use register must not appear in any external material.</w:t>
      </w:r>
    </w:p>
    <w:sectPr>
      <w:headerReference w:type="default" r:id="rId7"/>
      <w:footerReference w:type="default" r:id="rId8"/>
      <w:pgSz w:w="12240" w:h="15840" w:orient="portrait"/>
      <w:pgMar w:top="1180" w:right="1080" w:bottom="11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80"/>
      <w:jc w:val="right"/>
    </w:pPr>
    <w:r>
      <w:rPr>
        <w:rFonts w:ascii="Calibri" w:cs="Calibri" w:eastAsia="Calibri" w:hAnsi="Calibri"/>
        <w:color w:val="6B7A8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CE6" w:sz="4" w:space="6"/>
      </w:pBdr>
      <w:spacing w:after="0"/>
      <w:jc w:val="right"/>
    </w:pPr>
    <w:r>
      <w:rPr>
        <w:rFonts w:ascii="Calibri" w:cs="Calibri" w:eastAsia="Calibri" w:hAnsi="Calibri"/>
        <w:color w:val="6B7A8C"/>
        <w:sz w:val="15"/>
        <w:szCs w:val="15"/>
      </w:rPr>
      <w:t xml:space="preserve">3HUE Marketing Intelligence Report</w:t>
    </w:r>
    <w:r>
      <w:rPr>
        <w:rFonts w:ascii="Calibri" w:cs="Calibri" w:eastAsia="Calibri" w:hAnsi="Calibri"/>
        <w:color w:val="44A8D9"/>
        <w:sz w:val="15"/>
        <w:szCs w:val="15"/>
      </w:rPr>
      <w:t xml:space="preserve">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16"/>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D4A5A"/>
        <w:sz w:val="20"/>
        <w:szCs w:val="20"/>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4202E"/>
      <w:sz w:val="40"/>
      <w:szCs w:val="40"/>
    </w:rPr>
  </w:style>
  <w:style w:type="paragraph" w:styleId="Heading2">
    <w:name w:val="Heading 2"/>
    <w:basedOn w:val="Normal"/>
    <w:next w:val="Normal"/>
    <w:qFormat/>
    <w:pPr>
      <w:spacing w:after="120" w:before="280"/>
      <w:outlineLvl w:val="1"/>
    </w:pPr>
    <w:rPr>
      <w:rFonts w:ascii="Calibri" w:cs="Calibri" w:eastAsia="Calibri" w:hAnsi="Calibri"/>
      <w:b/>
      <w:bCs/>
      <w:color w:val="2F86B3"/>
      <w:sz w:val="28"/>
      <w:szCs w:val="28"/>
    </w:rPr>
  </w:style>
  <w:style w:type="paragraph" w:styleId="Heading3">
    <w:name w:val="Heading 3"/>
    <w:basedOn w:val="Normal"/>
    <w:next w:val="Normal"/>
    <w:qFormat/>
    <w:pPr>
      <w:spacing w:after="120" w:before="280"/>
      <w:outlineLvl w:val="2"/>
    </w:pPr>
    <w:rPr>
      <w:rFonts w:ascii="Calibri" w:cs="Calibri" w:eastAsia="Calibri" w:hAnsi="Calibri"/>
      <w:b/>
      <w:bCs/>
      <w:color w:val="1420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3HUE Marketing Intelligence Report 2026</dc:title>
  <dc:creator>3HUE Marketing</dc:creator>
  <dc:description>Consolidated marketing research, ICP, messaging, brand, demand, channel plan and execution playbook.</dc:description>
  <cp:lastModifiedBy>Un-named</cp:lastModifiedBy>
  <cp:revision>1</cp:revision>
  <dcterms:created xsi:type="dcterms:W3CDTF">2026-09-09T05:53:00.974Z</dcterms:created>
  <dcterms:modified xsi:type="dcterms:W3CDTF">2026-09-09T05:53:00.974Z</dcterms:modified>
</cp:coreProperties>
</file>

<file path=docProps/custom.xml><?xml version="1.0" encoding="utf-8"?>
<Properties xmlns="http://schemas.openxmlformats.org/officeDocument/2006/custom-properties" xmlns:vt="http://schemas.openxmlformats.org/officeDocument/2006/docPropsVTypes"/>
</file>