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Cross-Domain Evaluation of Retrieval-Augmented Generation (RAG) Systems</w:t>
      </w:r>
    </w:p>
    <w:p>
      <w:pPr>
        <w:pStyle w:val="Heading1"/>
      </w:pPr>
      <w:r>
        <w:t>1. Introduction</w:t>
      </w:r>
    </w:p>
    <w:p>
      <w:r>
        <w:t>This project focuses on building and evaluating a Retrieval-Augmented Generation (RAG) system across two distinct domains: biomedical literature (PubMedQA) and general-domain knowledge (SQuAD). The primary goal is to study how domain mismatch affects retrieval quality and answer generation.</w:t>
        <w:br/>
        <w:br/>
        <w:t>Unlike a standard implementation-focused project, this work is structured as a controlled experimental study. The emphasis is not on building a complex system, but on understanding how retrieval and generation interact under different domain conditions.</w:t>
      </w:r>
    </w:p>
    <w:p>
      <w:pPr>
        <w:pStyle w:val="Heading1"/>
      </w:pPr>
      <w:r>
        <w:t>2. Original Proposal vs Revised Design</w:t>
      </w:r>
    </w:p>
    <w:p>
      <w:r>
        <w:t>The initial proposal included the use of TriviaQA, confidence estimation, multiple overlapping research questions, and a loosely defined embedding analysis component. While these ideas were conceptually interesting, they introduced several issues related to experimental validity, scope, and feasibility.</w:t>
        <w:br/>
        <w:br/>
        <w:t>The revised design simplifies the project while improving its scientific rigor. The following sections explain each change in detail and the reasoning behind it.</w:t>
      </w:r>
    </w:p>
    <w:p>
      <w:pPr>
        <w:pStyle w:val="Heading1"/>
      </w:pPr>
      <w:r>
        <w:t>3. Dataset Selection Revision</w:t>
      </w:r>
    </w:p>
    <w:p>
      <w:r>
        <w:t>Original Choice: TriviaQA (open-domain) and PubMedQA (biomedical)</w:t>
        <w:br/>
        <w:br/>
        <w:t>Issue:</w:t>
        <w:br/>
        <w:t>TriviaQA contains noisy, web-sourced data with inconsistent formatting and varying answer styles. PubMedQA, on the other hand, is structured and domain-specific. This mismatch introduces confounding variables such as noise and format differences.</w:t>
        <w:br/>
        <w:br/>
        <w:t>Why this is a problem:</w:t>
        <w:br/>
        <w:t>If performance differs between datasets, it becomes unclear whether the cause is domain difference or dataset quality.</w:t>
        <w:br/>
        <w:br/>
        <w:t>Revised Choice: SQuAD and PubMedQA</w:t>
        <w:br/>
        <w:br/>
        <w:t>Reason:</w:t>
        <w:br/>
        <w:t>SQuAD provides clean, extractive question-answer pairs with consistent structure. This allows for fair comparison across domains, ensuring that observed differences are due to domain mismatch rather than dataset inconsistencies.</w:t>
      </w:r>
    </w:p>
    <w:p>
      <w:pPr>
        <w:pStyle w:val="Heading1"/>
      </w:pPr>
      <w:r>
        <w:t>4. Removal of Confidence Estimation</w:t>
      </w:r>
    </w:p>
    <w:p>
      <w:r>
        <w:t>Original Idea: Evaluate model confidence and correlate it with correctness.</w:t>
        <w:br/>
        <w:br/>
        <w:t>Issue:</w:t>
        <w:br/>
        <w:t>Large Language Models do not provide calibrated confidence scores. Log probabilities or token-level likelihoods do not reliably indicate correctness. Proper confidence estimation requires advanced calibration techniques such as temperature scaling or self-consistency sampling.</w:t>
        <w:br/>
        <w:br/>
        <w:t>Why this is a problem:</w:t>
        <w:br/>
        <w:t>Including this component would significantly increase complexity without guaranteeing meaningful results.</w:t>
        <w:br/>
        <w:br/>
        <w:t>Decision:</w:t>
        <w:br/>
        <w:t>Confidence estimation was removed.</w:t>
        <w:br/>
        <w:br/>
        <w:t>Reason:</w:t>
        <w:br/>
        <w:t>The project focuses on measurable and interpretable metrics such as retrieval accuracy and answer correctness, which are more reliable and directly relevant.</w:t>
      </w:r>
    </w:p>
    <w:p>
      <w:pPr>
        <w:pStyle w:val="Heading1"/>
      </w:pPr>
      <w:r>
        <w:t>5. Reduction of Scope</w:t>
      </w:r>
    </w:p>
    <w:p>
      <w:r>
        <w:t>Original Proposal:</w:t>
        <w:br/>
        <w:t>Included multiple overlapping research questions and broad exploratory ideas.</w:t>
        <w:br/>
        <w:br/>
        <w:t>Issue:</w:t>
        <w:br/>
        <w:t>The scope was too wide, increasing the risk of shallow analysis and incomplete execution.</w:t>
        <w:br/>
        <w:br/>
        <w:t>Revised Approach:</w:t>
        <w:br/>
        <w:t>The project is now centered around a single core theme: domain mismatch in RAG systems.</w:t>
        <w:br/>
        <w:br/>
        <w:t>Reason:</w:t>
        <w:br/>
        <w:t>A focused scope allows for deeper analysis, clearer conclusions, and a more coherent narrative.</w:t>
      </w:r>
    </w:p>
    <w:p>
      <w:pPr>
        <w:pStyle w:val="Heading1"/>
      </w:pPr>
      <w:r>
        <w:t>6. Refinement of Embedding Analysis</w:t>
      </w:r>
    </w:p>
    <w:p>
      <w:r>
        <w:t>Original Idea:</w:t>
        <w:br/>
        <w:t>Study how embeddings represent semantic similarity across domains.</w:t>
        <w:br/>
        <w:br/>
        <w:t>Issue:</w:t>
        <w:br/>
        <w:t>This concept was not clearly defined or measurable.</w:t>
        <w:br/>
        <w:br/>
        <w:t>Revised Approach:</w:t>
        <w:br/>
        <w:t>Embedding behavior is evaluated indirectly through retrieval performance metrics such as Recall@k and MRR.</w:t>
        <w:br/>
        <w:br/>
        <w:t>Reason:</w:t>
        <w:br/>
        <w:t>This provides a concrete and quantifiable way to analyze embedding effectiveness without introducing abstract or subjective interpretations.</w:t>
      </w:r>
    </w:p>
    <w:p>
      <w:pPr>
        <w:pStyle w:val="Heading1"/>
      </w:pPr>
      <w:r>
        <w:t>7. Final Research Questions</w:t>
      </w:r>
    </w:p>
    <w:p>
      <w:r>
        <w:t>1. How does cross-domain retrieval affect retrieval relevance and answer accuracy?</w:t>
        <w:br/>
        <w:t>2. How does domain mismatch between queries and indexed corpora impact retrieval performance and generation quality?</w:t>
        <w:br/>
        <w:t>3. Where and why does the RAG pipeline fail across domains?</w:t>
      </w:r>
    </w:p>
    <w:p>
      <w:pPr>
        <w:pStyle w:val="Heading1"/>
      </w:pPr>
      <w:r>
        <w:t>8. System Pipeline</w:t>
      </w:r>
    </w:p>
    <w:p>
      <w:r>
        <w:t>The system follows a simple and controlled pipeline:</w:t>
        <w:br/>
        <w:br/>
        <w:t>1. Data Preparation: Convert datasets into a unified format (question, context, answer).</w:t>
        <w:br/>
        <w:t>2. Chunking: Split context into smaller segments to improve retrieval.</w:t>
        <w:br/>
        <w:t>3. Embedding: Generate vector representations using a lightweight model.</w:t>
        <w:br/>
        <w:t>4. Vector Store: Store embeddings using FAISS for efficient retrieval.</w:t>
        <w:br/>
        <w:t>5. Retrieval: Retrieve top-k relevant chunks for each query.</w:t>
        <w:br/>
        <w:t>6. Generation: Use an LLM to generate answers based on retrieved context.</w:t>
        <w:br/>
        <w:t>7. Evaluation: Measure performance across different configurations.</w:t>
      </w:r>
    </w:p>
    <w:p>
      <w:pPr>
        <w:pStyle w:val="Heading1"/>
      </w:pPr>
      <w:r>
        <w:t>9. Evaluation Metrics</w:t>
      </w:r>
    </w:p>
    <w:p>
      <w:r>
        <w:t>Retrieval Metrics:</w:t>
        <w:br/>
        <w:t>- Recall@5: Measures whether relevant context is retrieved.</w:t>
        <w:br/>
        <w:t>- MRR: Evaluates ranking quality.</w:t>
        <w:br/>
        <w:br/>
        <w:t>Answer Metrics:</w:t>
        <w:br/>
        <w:t>- Exact Match (EM)</w:t>
        <w:br/>
        <w:t>- F1 Score</w:t>
        <w:br/>
        <w:br/>
        <w:t>Grounding:</w:t>
        <w:br/>
        <w:t>- Context overlap to detect hallucination.</w:t>
      </w:r>
    </w:p>
    <w:p>
      <w:pPr>
        <w:pStyle w:val="Heading1"/>
      </w:pPr>
      <w:r>
        <w:t>10. Failure Analysis</w:t>
      </w:r>
    </w:p>
    <w:p>
      <w:r>
        <w:t>Failures are categorized into:</w:t>
        <w:br/>
        <w:t>- Retrieval Failure</w:t>
        <w:br/>
        <w:t>- Generation Failure</w:t>
        <w:br/>
        <w:t>- Domain Mismatch Failure</w:t>
        <w:br/>
        <w:br/>
        <w:t>This allows deeper understanding beyond simple accuracy metrics.</w:t>
      </w:r>
    </w:p>
    <w:p>
      <w:pPr>
        <w:pStyle w:val="Heading1"/>
      </w:pPr>
      <w:r>
        <w:t>11. Scope Control</w:t>
      </w:r>
    </w:p>
    <w:p>
      <w:r>
        <w:t>To maintain feasibility and clarity, the following are excluded:</w:t>
        <w:br/>
        <w:t>- Model fine-tuning</w:t>
        <w:br/>
        <w:t>- Confidence estimation</w:t>
        <w:br/>
        <w:t>- Complex architectures</w:t>
        <w:br/>
        <w:br/>
        <w:t>This ensures focus on the core research problem.</w:t>
      </w:r>
    </w:p>
    <w:p>
      <w:pPr>
        <w:pStyle w:val="Heading1"/>
      </w:pPr>
      <w:r>
        <w:t>12. Conclusion</w:t>
      </w:r>
    </w:p>
    <w:p>
      <w:r>
        <w:t>The revised project is a controlled and focused study of RAG systems under domain mismatch. By simplifying the design and emphasizing measurable evaluation, the project achieves clarity, feasibility, and meaningful analytical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