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LOG</w:t>
      </w:r>
    </w:p>
    <w:p>
      <w:pPr>
        <w:pStyle w:val="Subtitle"/>
      </w:pPr>
      <w:r>
        <w:t>Product Design &amp; Reliability Specification  |  Version 1.0  |  15 October 2026</w:t>
      </w:r>
    </w:p>
    <w:p>
      <w:r>
        <w:t>Status: Agreed product direction; implementation pending. This document preserves decisions from the planning discussion and identifies engineering choices requiring validation.</w:t>
      </w:r>
    </w:p>
    <w:p>
      <w:pPr>
        <w:pStyle w:val="Heading1"/>
      </w:pPr>
      <w:r>
        <w:t>1. Product vision</w:t>
      </w:r>
    </w:p>
    <w:p>
      <w:r>
        <w:t>Personal Log is a private, local-first Windows desktop application for spoken journaling. Voice is the input; a readable, durable written journal is the long-term record. Star Trek personal/captain’s logs inspire the terminology and restrained LCARS-style visual language. Recording must feel like thinking aloud, not dictating or editing a document.</w:t>
      </w:r>
    </w:p>
    <w:p>
      <w:pPr>
        <w:pStyle w:val="Heading1"/>
      </w:pPr>
      <w:r>
        <w:t>2. Non-negotiable experience</w:t>
      </w:r>
    </w:p>
    <w:p>
      <w:r>
        <w:t>Unlock the application, press Record, speak at any pace for any reasonable duration, and press Finish. Recording is immediately preserved; transcription, refinement, indexing, and saving proceed automatically without approval or rereading. The user can leave or begin another recording while processing continues. No forced pauses to let transcription catch up.</w:t>
      </w:r>
    </w:p>
    <w:p>
      <w:pPr>
        <w:pStyle w:val="Heading2"/>
      </w:pPr>
      <w:r>
        <w:t>Guiding principles</w:t>
      </w:r>
    </w:p>
    <w:p>
      <w:pPr>
        <w:pStyle w:val="ListBullet"/>
      </w:pPr>
      <w:r>
        <w:t>Capture first, process later; recording must never wait on AI.</w:t>
      </w:r>
    </w:p>
    <w:p>
      <w:pPr>
        <w:pStyle w:val="ListBullet"/>
      </w:pPr>
      <w:r>
        <w:t>No censorship, unsolicited advice, forced positivity, or sanitization of private thoughts. Preserve uncertainty, contradictions, profanity, self-corrections, and meaning.</w:t>
      </w:r>
    </w:p>
    <w:p>
      <w:pPr>
        <w:pStyle w:val="ListBullet"/>
      </w:pPr>
      <w:r>
        <w:t>Original raw transcript and readable text are distinct, immutable/versioned artifacts; never silently overwrite the original.</w:t>
      </w:r>
    </w:p>
    <w:p>
      <w:pPr>
        <w:pStyle w:val="ListBullet"/>
      </w:pPr>
      <w:r>
        <w:t>No cloud transmission, accounts, telemetry containing content, or synchronization by default.</w:t>
      </w:r>
    </w:p>
    <w:p>
      <w:pPr>
        <w:pStyle w:val="ListBullet"/>
      </w:pPr>
      <w:r>
        <w:t>Automatic saving, clear failure states, recoverability, and user-owned portable data.</w:t>
      </w:r>
    </w:p>
    <w:p>
      <w:pPr>
        <w:pStyle w:val="Heading1"/>
      </w:pPr>
      <w:r>
        <w:t>3. Entry model and supplemental logs</w:t>
      </w:r>
    </w:p>
    <w:p>
      <w:r>
        <w:t>A journal entry may contain multiple recording sessions. Every supplemental session retains its own timestamp and links to the parent entry; it can be added later the same day or much later. The interface can show a unified readable entry while preserving segment/session boundaries and provenance. “Personal Log,” “Captain’s Log,” and “Supplemental Log” are optional labels, not mandatory prompts.</w:t>
      </w:r>
    </w:p>
    <w:p>
      <w:pPr>
        <w:pStyle w:val="Heading1"/>
      </w:pPr>
      <w:r>
        <w:t>4. Audio capture and crash recovery</w:t>
      </w:r>
    </w:p>
    <w:p>
      <w:r>
        <w:t>Capture audio continuously to encrypted, independently finalized short segments (initial target 15–30 seconds, subject to testing). Avoid buffering full sessions in memory. Flush writes durably; maintain a recoverable session manifest and sequence numbers. After a crash, reopen and reconcile complete segments, flag possible loss in the final in-flight segment, and offer recovery without duplicating entries. Monitor microphone availability, device changes, sleep, storage pressure, and write failures. Never silently substitute microphones. Provide clear visible recording status and optional failure alert.</w:t>
      </w:r>
    </w:p>
    <w:p>
      <w:pPr>
        <w:pStyle w:val="Heading1"/>
      </w:pPr>
      <w:r>
        <w:t>5. Processing pipeline</w:t>
      </w:r>
    </w:p>
    <w:p>
      <w:r>
        <w:t>After Finish, enqueue background work: validate captured segments → local speech recognition → raw transcript → local language-model refinement → readable entry → full-text indexing. The recording engine and UI remain independent of AI work. Persist task state and retry interrupted jobs idempotently; never create duplicate entries. Initial candidates: faster-whisper for ASR and Ollama-hosted local model for refinement. Benchmark on the actual Windows laptop/RTX 4070; do not assume accuracy, speed, or GPU memory fit before testing.</w:t>
      </w:r>
    </w:p>
    <w:p>
      <w:pPr>
        <w:pStyle w:val="Heading2"/>
      </w:pPr>
      <w:r>
        <w:t>Refinement policy</w:t>
      </w:r>
    </w:p>
    <w:p>
      <w:pPr>
        <w:pStyle w:val="ListBullet"/>
      </w:pPr>
      <w:r>
        <w:t>Default Natural mode: punctuation, capitalization, paragraphs, and conservative filler cleanup only.</w:t>
      </w:r>
    </w:p>
    <w:p>
      <w:pPr>
        <w:pStyle w:val="ListBullet"/>
      </w:pPr>
      <w:r>
        <w:t>Optional Verbatim and Polished modes; Polished must never be confused with the raw record.</w:t>
      </w:r>
    </w:p>
    <w:p>
      <w:pPr>
        <w:pStyle w:val="ListBullet"/>
      </w:pPr>
      <w:r>
        <w:t>No invented transitions, interpretations, emotions, or facts. Preserve ambiguous statements rather than resolving them.</w:t>
      </w:r>
    </w:p>
    <w:p>
      <w:pPr>
        <w:pStyle w:val="ListBullet"/>
      </w:pPr>
      <w:r>
        <w:t>Flag uncertain or missing transcription instead of inventing words; preserve audio while unresolved.</w:t>
      </w:r>
    </w:p>
    <w:p>
      <w:pPr>
        <w:pStyle w:val="ListBullet"/>
      </w:pPr>
      <w:r>
        <w:t>Store processing model, parameters, prompt/rule version, timestamps, and errors for auditability.</w:t>
      </w:r>
    </w:p>
    <w:p>
      <w:pPr>
        <w:pStyle w:val="Heading1"/>
      </w:pPr>
      <w:r>
        <w:t>6. Audio lifecycle and retention — LOCKED</w:t>
      </w:r>
    </w:p>
    <w:p>
      <w:r>
        <w:t>Audio is temporary by default. Retain encrypted audio for seven days AFTER successful transcription, refinement, durable text commit, and required validation. On expiry, automatically remove audio without requesting approval. Failed, empty, incomplete, or flagged transcriptions are exempt until resolved. Each supplemental recording has its own eligibility clock. Users may mark individual recordings “Keep audio” or “Delete audio now” after successful processing. Text, raw transcripts, metadata, and historical text versions remain indefinitely unless explicitly deleted.</w:t>
      </w:r>
    </w:p>
    <w:p>
      <w:r>
        <w:t>Deletion design note: ordinary SSD deletion may not guarantee physical erasure. Use per-recording encryption keys and cryptographic erasure where feasible; define how backup copies and key lifecycles follow retention. Never claim secure erasure without testing the complete key/backup path.</w:t>
      </w:r>
    </w:p>
    <w:p>
      <w:pPr>
        <w:pStyle w:val="Heading1"/>
      </w:pPr>
      <w:r>
        <w:t>7. Security and privacy</w:t>
      </w:r>
    </w:p>
    <w:p>
      <w:r>
        <w:t>Require an unlock PIN; auto-lock on Windows lock and optionally inactivity. PIN UI locking alone is insufficient: encrypt the database (candidate SQLCipher) and audio (authenticated encryption), protect keys appropriately, and provide a recovery passphrase or equivalent recovery mechanism. A six-digit PIN must not be the sole offline defense for encryption keys. Avoid plaintext temp files, sensitive logs, cloud-synced storage paths, unencrypted crash dumps, and notification previews. The user explicitly initiates recording; no always-listening mode in v0.1. Define threat model and test recovery before accepting real journal data.</w:t>
      </w:r>
    </w:p>
    <w:p>
      <w:pPr>
        <w:pStyle w:val="Heading1"/>
      </w:pPr>
      <w:r>
        <w:t>8. Data model and preservation</w:t>
      </w:r>
    </w:p>
    <w:p>
      <w:r>
        <w:t>Proposed entities: JournalEntry, RecordingSession, AudioSegment, TranscriptVersion, ProcessingJob, EntryRevision, SupplementalLink, EncryptionKeyReference, BackupManifest, and (later) AnalysisRun / TopicAnnotation. Use stable unique IDs, UTC timestamps plus local display timezone, ordered segments, parent relationships, content hashes, processing provenance, and explicit retention states. Commit text and job status transactionally. Do not store sensitive text in diagnostic logs.</w:t>
      </w:r>
    </w:p>
    <w:p>
      <w:pPr>
        <w:pStyle w:val="Heading1"/>
      </w:pPr>
      <w:r>
        <w:t>9. Search and analytics roadmap</w:t>
      </w:r>
    </w:p>
    <w:p>
      <w:r>
        <w:t>v0.1/v0.2: chronological journal, text search via SQLite FTS5, filtering by date/type, and navigation to matching passages. Later: local semantic embeddings for natural-language searches (“When did I last think about…?”), topic frequency, monthly trends, sentiment/emotional-language estimates, recurring themes, and comparisons. Clearly distinguish measured facts from model inferences; cite source passages and allow the user to disable analysis. Avoid diagnosing feelings or presenting sentiment as ground truth. After audio expiry, playback and retranscription are unavailable; search remains text-based.</w:t>
      </w:r>
    </w:p>
    <w:p>
      <w:pPr>
        <w:pStyle w:val="Heading1"/>
      </w:pPr>
      <w:r>
        <w:t>10. Backup, portability, and retention safety</w:t>
      </w:r>
    </w:p>
    <w:p>
      <w:r>
        <w:t>Provide encrypted, versioned backups with restore testing and a documented export format (text, raw transcripts, revisions, timestamps, supplemental relationships, metadata, and any retained audio). Do not embed expired audio in persistent backups. Backup keys and recovery instructions must remain accessible to the user; forgotten credentials may make strongly encrypted content unrecoverable. Deletion and backup retention policies must be explicit. Never purge the only surviving copy of an unprocessed recording.</w:t>
      </w:r>
    </w:p>
    <w:p>
      <w:pPr>
        <w:pStyle w:val="Heading1"/>
      </w:pPr>
      <w:r>
        <w:t>11. Failure behavior and acceptance criteria</w:t>
      </w:r>
    </w:p>
    <w:p>
      <w:r>
        <w:t>The application must visibly report recording, transcription, encryption, storage, and backup failures without silently dropping data. Validate via deliberate power/process interruption, device unplugging, sleep/wake, disk-full, malformed segment, interrupted AI process, duplicate queue replay, bad PIN, key recovery, retention expiry, backup/restore, and long-session tests. Recording must remain responsive while AI is busy. Confirm no outbound content traffic in offline mode. Test that sensitive speech is faithfully transcribed, not softened or omitted.</w:t>
      </w:r>
    </w:p>
    <w:p>
      <w:pPr>
        <w:pStyle w:val="Heading1"/>
      </w:pPr>
      <w:r>
        <w:t>12. Implementation plan and scope</w:t>
      </w:r>
    </w:p>
    <w:p>
      <w:r>
        <w:t>Milestone A: native PySide6 prototype with robust local segmented capture and recovery using disposable test audio. Milestone B: local transcription/refinement and durable, idempotent job queue. Milestone C: encrypted database/audio, PIN/key recovery, retention/deletion, encrypted backup and restore. Milestone D: polished Personal Log UI, supplemental logs, browsing, and text search. Later: semantic search, opt-in analytics, export enhancements, optional voice commands. No real sensitive journaling until security and recovery tests pass.</w:t>
      </w:r>
    </w:p>
    <w:p>
      <w:pPr>
        <w:pStyle w:val="Heading1"/>
      </w:pPr>
      <w:r>
        <w:t>Decision register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Locked decision</w:t>
            </w:r>
          </w:p>
        </w:tc>
        <w:tc>
          <w:tcPr>
            <w:tcW w:type="dxa" w:w="4320"/>
          </w:tcPr>
          <w:p>
            <w:r>
              <w:t>Implementation interpretation</w:t>
            </w:r>
          </w:p>
        </w:tc>
      </w:tr>
      <w:tr>
        <w:tc>
          <w:tcPr>
            <w:tcW w:type="dxa" w:w="4320"/>
          </w:tcPr>
          <w:p>
            <w:r>
              <w:t>Platform</w:t>
            </w:r>
          </w:p>
        </w:tc>
        <w:tc>
          <w:tcPr>
            <w:tcW w:type="dxa" w:w="4320"/>
          </w:tcPr>
          <w:p>
            <w:r>
              <w:t>Native Windows desktop; Python + PySide6 preferred.</w:t>
            </w:r>
          </w:p>
        </w:tc>
      </w:tr>
      <w:tr>
        <w:tc>
          <w:tcPr>
            <w:tcW w:type="dxa" w:w="4320"/>
          </w:tcPr>
          <w:p>
            <w:r>
              <w:t>Input</w:t>
            </w:r>
          </w:p>
        </w:tc>
        <w:tc>
          <w:tcPr>
            <w:tcW w:type="dxa" w:w="4320"/>
          </w:tcPr>
          <w:p>
            <w:r>
              <w:t>Push-to-record; free-flow speech; no required voice commands.</w:t>
            </w:r>
          </w:p>
        </w:tc>
      </w:tr>
      <w:tr>
        <w:tc>
          <w:tcPr>
            <w:tcW w:type="dxa" w:w="4320"/>
          </w:tcPr>
          <w:p>
            <w:r>
              <w:t>Post-recording</w:t>
            </w:r>
          </w:p>
        </w:tc>
        <w:tc>
          <w:tcPr>
            <w:tcW w:type="dxa" w:w="4320"/>
          </w:tcPr>
          <w:p>
            <w:r>
              <w:t>Automatic processing and saving; no approval gate.</w:t>
            </w:r>
          </w:p>
        </w:tc>
      </w:tr>
      <w:tr>
        <w:tc>
          <w:tcPr>
            <w:tcW w:type="dxa" w:w="4320"/>
          </w:tcPr>
          <w:p>
            <w:r>
              <w:t>Privacy</w:t>
            </w:r>
          </w:p>
        </w:tc>
        <w:tc>
          <w:tcPr>
            <w:tcW w:type="dxa" w:w="4320"/>
          </w:tcPr>
          <w:p>
            <w:r>
              <w:t>Local-only by default; no censorship/sanitization.</w:t>
            </w:r>
          </w:p>
        </w:tc>
      </w:tr>
      <w:tr>
        <w:tc>
          <w:tcPr>
            <w:tcW w:type="dxa" w:w="4320"/>
          </w:tcPr>
          <w:p>
            <w:r>
              <w:t>Security</w:t>
            </w:r>
          </w:p>
        </w:tc>
        <w:tc>
          <w:tcPr>
            <w:tcW w:type="dxa" w:w="4320"/>
          </w:tcPr>
          <w:p>
            <w:r>
              <w:t>PIN unlock plus genuine encryption and recovery.</w:t>
            </w:r>
          </w:p>
        </w:tc>
      </w:tr>
      <w:tr>
        <w:tc>
          <w:tcPr>
            <w:tcW w:type="dxa" w:w="4320"/>
          </w:tcPr>
          <w:p>
            <w:r>
              <w:t>Audio</w:t>
            </w:r>
          </w:p>
        </w:tc>
        <w:tc>
          <w:tcPr>
            <w:tcW w:type="dxa" w:w="4320"/>
          </w:tcPr>
          <w:p>
            <w:r>
              <w:t>Encrypted temporary storage; default 7 days after verified completion.</w:t>
            </w:r>
          </w:p>
        </w:tc>
      </w:tr>
      <w:tr>
        <w:tc>
          <w:tcPr>
            <w:tcW w:type="dxa" w:w="4320"/>
          </w:tcPr>
          <w:p>
            <w:r>
              <w:t>Written history</w:t>
            </w:r>
          </w:p>
        </w:tc>
        <w:tc>
          <w:tcPr>
            <w:tcW w:type="dxa" w:w="4320"/>
          </w:tcPr>
          <w:p>
            <w:r>
              <w:t>Preserve raw + refined text, supplemental links, and revisions.</w:t>
            </w:r>
          </w:p>
        </w:tc>
      </w:tr>
      <w:tr>
        <w:tc>
          <w:tcPr>
            <w:tcW w:type="dxa" w:w="4320"/>
          </w:tcPr>
          <w:p>
            <w:r>
              <w:t>Search</w:t>
            </w:r>
          </w:p>
        </w:tc>
        <w:tc>
          <w:tcPr>
            <w:tcW w:type="dxa" w:w="4320"/>
          </w:tcPr>
          <w:p>
            <w:r>
              <w:t>Text search first; semantic search and analytics later.</w:t>
            </w:r>
          </w:p>
        </w:tc>
      </w:tr>
    </w:tbl>
    <w:p>
      <w:pPr>
        <w:pStyle w:val="Heading1"/>
      </w:pPr>
      <w:r>
        <w:t>Engineering decisions still to validate</w:t>
      </w:r>
    </w:p>
    <w:p>
      <w:pPr>
        <w:pStyle w:val="ListBullet"/>
      </w:pPr>
      <w:r>
        <w:t>Choose/test ASR and local LLM models against natural, emotionally nuanced speech.</w:t>
      </w:r>
    </w:p>
    <w:p>
      <w:pPr>
        <w:pStyle w:val="ListBullet"/>
      </w:pPr>
      <w:r>
        <w:t>Finalize key derivation, PIN unlock strategy, recovery flow, SQLCipher integration, and cryptographic audio deletion.</w:t>
      </w:r>
    </w:p>
    <w:p>
      <w:pPr>
        <w:pStyle w:val="ListBullet"/>
      </w:pPr>
      <w:r>
        <w:t>Determine safe recording segment size, audio codec, durability guarantees, and disk-space thresholds.</w:t>
      </w:r>
    </w:p>
    <w:p>
      <w:pPr>
        <w:pStyle w:val="ListBullet"/>
      </w:pPr>
      <w:r>
        <w:t>Define automatic transcription-quality checks and the user-facing unresolved-audio state.</w:t>
      </w:r>
    </w:p>
    <w:p>
      <w:pPr>
        <w:pStyle w:val="ListBullet"/>
      </w:pPr>
      <w:r>
        <w:t>Specify backup destination, frequency, backup expiry, and restore verification.</w:t>
      </w:r>
    </w:p>
    <w:p>
      <w:pPr>
        <w:pStyle w:val="ListBullet"/>
      </w:pPr>
      <w:r>
        <w:t>Measure performance, storage, and power/sleep behavior on target hardware.</w:t>
      </w:r>
    </w:p>
    <w:p>
      <w:r>
        <w:t>Success definition: Open Personal Log, unlock, speak naturally for ten minutes, press Finish, and walk away. The entry survives interruptions, becomes a faithful searchable written record automatically, and its temporary audio expires safely under the selected retention policy.</w:t>
      </w:r>
    </w:p>
    <w:p>
      <w:r>
        <w:br w:type="page"/>
      </w:r>
    </w:p>
    <w:p>
      <w:pPr>
        <w:pStyle w:val="Heading1"/>
      </w:pPr>
      <w:r>
        <w:t>Addendum A — Personalization and Themes (v1.1)</w:t>
      </w:r>
    </w:p>
    <w:p>
      <w:r>
        <w:t>Decision status: Product direction approved; visual designs and theme implementation remain to be validated.</w:t>
      </w:r>
    </w:p>
    <w:p>
      <w:pPr>
        <w:pStyle w:val="Heading2"/>
      </w:pPr>
      <w:r>
        <w:t>Purpose</w:t>
      </w:r>
    </w:p>
    <w:p>
      <w:r>
        <w:t>Personal Log must not require users to identify with Star Trek. The Star Trek-inspired interface is an optional skin, while a calm, neutral journal experience is the default for broader use. Themes should make the application feel personal without affecting the recording workflow, security, or journal data.</w:t>
      </w:r>
    </w:p>
    <w:p>
      <w:pPr>
        <w:pStyle w:val="Heading2"/>
      </w:pPr>
      <w:r>
        <w:t>Theme requirements</w:t>
      </w:r>
    </w:p>
    <w:p>
      <w:pPr>
        <w:pStyle w:val="ListBullet"/>
      </w:pPr>
      <w:r>
        <w:t>Provide a neutral, accessible default theme appropriate for people unfamiliar with science fiction.</w:t>
      </w:r>
    </w:p>
    <w:p>
      <w:pPr>
        <w:pStyle w:val="ListBullet"/>
      </w:pPr>
      <w:r>
        <w:t>Provide an optional Star Trek-inspired, LCARS-like theme as a visual preference, not a separate product or data mode. Avoid using protected logos or official artwork in shared distributions without appropriate rights.</w:t>
      </w:r>
    </w:p>
    <w:p>
      <w:pPr>
        <w:pStyle w:val="ListBullet"/>
      </w:pPr>
      <w:r>
        <w:t>Allow theme selection in Settings, including colors and optional subtle patterns or texture overlays.</w:t>
      </w:r>
    </w:p>
    <w:p>
      <w:pPr>
        <w:pStyle w:val="ListBullet"/>
      </w:pPr>
      <w:r>
        <w:t>Keep recording, pause, finish, supplemental entries, search, and security controls in consistent, predictable locations across themes.</w:t>
      </w:r>
    </w:p>
    <w:p>
      <w:pPr>
        <w:pStyle w:val="ListBullet"/>
      </w:pPr>
      <w:r>
        <w:t>Ensure text legibility, keyboard navigation, focus indicators, and sufficient contrast. Include a reduced-motion option and the ability to disable decorative backgrounds.</w:t>
      </w:r>
    </w:p>
    <w:p>
      <w:pPr>
        <w:pStyle w:val="ListBullet"/>
      </w:pPr>
      <w:r>
        <w:t>Persist theme settings locally per user/profile, separate from journal content and encryption keys.</w:t>
      </w:r>
    </w:p>
    <w:p>
      <w:pPr>
        <w:pStyle w:val="ListBullet"/>
      </w:pPr>
      <w:r>
        <w:t>Never let themes alter, inspect, transmit, or modify journal entries, recordings, transcripts, or analytics.</w:t>
      </w:r>
    </w:p>
    <w:p>
      <w:pPr>
        <w:pStyle w:val="ListBullet"/>
      </w:pPr>
      <w:r>
        <w:t>Do not require a theme-selection step before the first recording; use a sensible default and make customization optional.</w:t>
      </w:r>
    </w:p>
    <w:p>
      <w:pPr>
        <w:pStyle w:val="Heading2"/>
      </w:pPr>
      <w:r>
        <w:t>Suggested initial theme set</w:t>
      </w:r>
    </w:p>
    <w:p>
      <w:pPr>
        <w:pStyle w:val="ListBullet"/>
      </w:pPr>
      <w:r>
        <w:t>Classic Journal — warm paper tones, restrained typography, minimal ornament.</w:t>
      </w:r>
    </w:p>
    <w:p>
      <w:pPr>
        <w:pStyle w:val="ListBullet"/>
      </w:pPr>
      <w:r>
        <w:t>Modern — clean neutral surfaces and simple accent colors.</w:t>
      </w:r>
    </w:p>
    <w:p>
      <w:pPr>
        <w:pStyle w:val="ListBullet"/>
      </w:pPr>
      <w:r>
        <w:t>Personal Log / Starship — dark interface with LCARS-inspired color blocks and subtle sci-fi styling.</w:t>
      </w:r>
    </w:p>
    <w:p>
      <w:pPr>
        <w:pStyle w:val="Heading2"/>
      </w:pPr>
      <w:r>
        <w:t>Implementation approach</w:t>
      </w:r>
    </w:p>
    <w:p>
      <w:r>
        <w:t>Use a theme-token system (colors, typography, spacing, borders, icons, optional background pattern) rather than separate screens for each theme. Package themes locally and avoid downloading external theme code or assets. For v0.1, prioritize a readable default UI; introduce a second theme once the recording-to-saved-entry workflow is reliable. Custom palettes and overlays can follow.</w:t>
      </w:r>
    </w:p>
    <w:p>
      <w:pPr>
        <w:pStyle w:val="Heading2"/>
      </w:pPr>
      <w:r>
        <w:t>Acceptance criteria</w:t>
      </w:r>
    </w:p>
    <w:p>
      <w:pPr>
        <w:pStyle w:val="ListBullet"/>
      </w:pPr>
      <w:r>
        <w:t>Switching themes does not interrupt recording or background processing.</w:t>
      </w:r>
    </w:p>
    <w:p>
      <w:pPr>
        <w:pStyle w:val="ListBullet"/>
      </w:pPr>
      <w:r>
        <w:t>The same journal content and actions remain available in every theme.</w:t>
      </w:r>
    </w:p>
    <w:p>
      <w:pPr>
        <w:pStyle w:val="ListBullet"/>
      </w:pPr>
      <w:r>
        <w:t>Changing themes requires no restart where feasible, and settings persist after reopening.</w:t>
      </w:r>
    </w:p>
    <w:p>
      <w:pPr>
        <w:pStyle w:val="ListBullet"/>
      </w:pPr>
      <w:r>
        <w:t>Default theme remains fully usable with decorative overlays disabled.</w:t>
      </w:r>
    </w:p>
    <w:p>
      <w:r>
        <w:t>Decision register update: OPTIONAL THEMES — LOCKED as product requirement; specific theme names, artwork, and implementation sequence remain provisional.</w:t>
      </w:r>
    </w:p>
    <w:p>
      <w:pPr>
        <w:pStyle w:val="Heading1"/>
      </w:pPr>
      <w:r>
        <w:t>Addendum B — AI-assisted development and agent contracts (v1.2)</w:t>
      </w:r>
    </w:p>
    <w:p>
      <w:r>
        <w:t>Status: approved architecture; staged implementation. This addendum extends v1.1 without superseding its privacy, recording, or retention requirements.</w:t>
      </w:r>
    </w:p>
    <w:p>
      <w:pPr>
        <w:pStyle w:val="Heading2"/>
      </w:pPr>
      <w:r>
        <w:t>Product principle</w:t>
      </w:r>
    </w:p>
    <w:p>
      <w:r>
        <w:t>Personal Log is a private, local-first voice journaling application designed to preserve personal expression, support long-term reflection, and make historical thoughts accessible without altering their meaning or imposing interpretations. Recording and preservation take priority over analysis, and the user retains control over their information.</w:t>
      </w:r>
    </w:p>
    <w:p>
      <w:pPr>
        <w:pStyle w:val="Heading2"/>
      </w:pPr>
      <w:r>
        <w:t>Two distinct agent contracts</w:t>
      </w:r>
    </w:p>
    <w:p>
      <w:r>
        <w:t>AGENTS.md governs development agents (Codex, Claude, Manus, ChatGPT): coding boundaries, acceptance gates, privacy and test obligations. ANALYSIS_PROTOCOL.md governs optional local AI behavior on journal content: source fidelity, evidence, uncertainty, no diagnosis, and non-destructive output. Both are versioned alongside code; neither is a substitute for schema validation or executable tests.</w:t>
      </w:r>
    </w:p>
    <w:p>
      <w:pPr>
        <w:pStyle w:val="Heading2"/>
      </w:pPr>
      <w:r>
        <w:t>Agent collaboration and acceptance</w:t>
      </w:r>
    </w:p>
    <w:p>
      <w:r>
        <w:t>ChatGPT coordinates architecture and requirements; Codex implements scoped code changes; Manus researches targeted technical alternatives; Claude provides independent review of consequential architecture and security; Work can handle longer documentation and research workflows. Roles are flexible. One owner per code change; independent reviews for data loss, encryption, and privacy risks. No AI-reported PASS is sufficient without reproducible tests and observed results.</w:t>
      </w:r>
    </w:p>
    <w:p>
      <w:pPr>
        <w:pStyle w:val="Heading2"/>
      </w:pPr>
      <w:r>
        <w:t>Data contracts and analytical boundaries</w:t>
      </w:r>
    </w:p>
    <w:p>
      <w:pPr>
        <w:pStyle w:val="ListBullet"/>
      </w:pPr>
      <w:r>
        <w:t>Use stable canonical IDs for journal entries, recording segments, supplemental entries, transcript versions, and analytical artifacts.</w:t>
      </w:r>
    </w:p>
    <w:p>
      <w:pPr>
        <w:pStyle w:val="ListBullet"/>
      </w:pPr>
      <w:r>
        <w:t>Store raw transcription separately from refined transcription; do not overwrite source or erase prior revisions. Attach model identifiers, rule/protocol versions, processing timestamps, and provenance.</w:t>
      </w:r>
    </w:p>
    <w:p>
      <w:pPr>
        <w:pStyle w:val="ListBullet"/>
      </w:pPr>
      <w:r>
        <w:t>Persist supplemental recordings as separate timestamped children of a parent entry, preserving chronology.</w:t>
      </w:r>
    </w:p>
    <w:p>
      <w:pPr>
        <w:pStyle w:val="ListBullet"/>
      </w:pPr>
      <w:r>
        <w:t>Keep analytical interpretations in separate records with references to supporting passages and explicit uncertainty. Frequency of mentions is not proof of importance; sentiment labels are not measurements of actual feelings.</w:t>
      </w:r>
    </w:p>
    <w:p>
      <w:pPr>
        <w:pStyle w:val="ListBullet"/>
      </w:pPr>
      <w:r>
        <w:t>Make all insights optional. The recording and journaling experience must work fully without analytical AI.</w:t>
      </w:r>
    </w:p>
    <w:p>
      <w:pPr>
        <w:pStyle w:val="ListBullet"/>
      </w:pPr>
      <w:r>
        <w:t>Prefer local, portable, documented formats (versioned JSON schemas; Markdown/JSON/CSV exports; optional PDF), with validated import/restore and encrypted backup.</w:t>
      </w:r>
    </w:p>
    <w:p>
      <w:pPr>
        <w:pStyle w:val="Heading2"/>
      </w:pPr>
      <w:r>
        <w:t>Privacy and public-repository policy</w:t>
      </w:r>
    </w:p>
    <w:p>
      <w:r>
        <w:t>Repository code and synthetic fixtures may be shared. Real journal entries, recordings, transcripts, keys, databases, telemetry, and unredacted diagnostic logs must never be committed or submitted to development agents. Private application data resides outside the checkout. Public release follows secret scanning, sample-data inspection, licensing decision, and security review. Begin with a private repository if publishing status is not yet agreed.</w:t>
      </w:r>
    </w:p>
    <w:p>
      <w:pPr>
        <w:pStyle w:val="Heading2"/>
      </w:pPr>
      <w:r>
        <w:t>Architecture and staged scope</w:t>
      </w:r>
    </w:p>
    <w:p>
      <w:r>
        <w:t>Keep recording, persistence, transcription, refinement, search, analytics, and UI/theme layers separately testable. Themes change presentation only; no theme may execute code or access journal data. Build reliability before polish: (1) capture/recovery using disposable data, (2) durable offline transcription and refinement, (3) encryption/PIN/retention/backup, (4) journaling UX/themes/search, (5) optional analytical insights. Do not use real sensitive recordings until security and restore have passed validation.</w:t>
      </w:r>
    </w:p>
    <w:p>
      <w:pPr>
        <w:pStyle w:val="Heading2"/>
      </w:pPr>
      <w:r>
        <w:t>Acceptance gates</w:t>
      </w:r>
    </w:p>
    <w:p>
      <w:pPr>
        <w:pStyle w:val="ListBullet"/>
      </w:pPr>
      <w:r>
        <w:t>Simulated crash and interrupted-session recovery does not silently lose finalized segments.</w:t>
      </w:r>
    </w:p>
    <w:p>
      <w:pPr>
        <w:pStyle w:val="ListBullet"/>
      </w:pPr>
      <w:r>
        <w:t>Retrying processing jobs is idempotent and does not create duplicate journal entries.</w:t>
      </w:r>
    </w:p>
    <w:p>
      <w:pPr>
        <w:pStyle w:val="ListBullet"/>
      </w:pPr>
      <w:r>
        <w:t>Refinement tests verify that negations, uncertainty, contradictions, profanity, and first-person meaning survive.</w:t>
      </w:r>
    </w:p>
    <w:p>
      <w:pPr>
        <w:pStyle w:val="ListBullet"/>
      </w:pPr>
      <w:r>
        <w:t>Analytical claims link to supporting source passages and never modify originals.</w:t>
      </w:r>
    </w:p>
    <w:p>
      <w:pPr>
        <w:pStyle w:val="ListBullet"/>
      </w:pPr>
      <w:r>
        <w:t>Export/restore round trips preserve IDs, relationships, timestamps, and revision provenance.</w:t>
      </w:r>
    </w:p>
    <w:p>
      <w:pPr>
        <w:pStyle w:val="ListBullet"/>
      </w:pPr>
      <w:r>
        <w:t>Themes can be changed without altering capture, persistence, or search behavior.</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PERSONAL LOG  •  Product design baseline  •  2026-10-15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6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6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65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