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CBF76" w14:textId="7B3FA0C0" w:rsidR="00FE3E65" w:rsidRPr="00153865" w:rsidRDefault="00FE3E65" w:rsidP="00153865">
      <w:pPr>
        <w:pStyle w:val="ListParagraph"/>
        <w:numPr>
          <w:ilvl w:val="0"/>
          <w:numId w:val="3"/>
        </w:numPr>
        <w:shd w:val="clear" w:color="auto" w:fill="FFFFFF"/>
        <w:spacing w:before="100" w:beforeAutospacing="1" w:after="100" w:afterAutospacing="1"/>
        <w:rPr>
          <w:rFonts w:ascii="Lato" w:eastAsia="Times New Roman" w:hAnsi="Lato" w:cs="Times New Roman"/>
          <w:color w:val="2D3B45"/>
          <w:kern w:val="0"/>
          <w14:ligatures w14:val="none"/>
        </w:rPr>
      </w:pPr>
      <w:r w:rsidRPr="00153865">
        <w:rPr>
          <w:rFonts w:ascii="Lato" w:eastAsia="Times New Roman" w:hAnsi="Lato" w:cs="Times New Roman"/>
          <w:color w:val="2D3B45"/>
          <w:kern w:val="0"/>
          <w14:ligatures w14:val="none"/>
        </w:rPr>
        <w:t xml:space="preserve">benefits that </w:t>
      </w:r>
      <w:proofErr w:type="gramStart"/>
      <w:r w:rsidR="00153865">
        <w:rPr>
          <w:rFonts w:ascii="Lato" w:eastAsia="Times New Roman" w:hAnsi="Lato" w:cs="Times New Roman"/>
          <w:color w:val="2D3B45"/>
          <w:kern w:val="0"/>
          <w14:ligatures w14:val="none"/>
        </w:rPr>
        <w:t>P</w:t>
      </w:r>
      <w:r w:rsidRPr="00153865">
        <w:rPr>
          <w:rFonts w:ascii="Lato" w:eastAsia="Times New Roman" w:hAnsi="Lato" w:cs="Times New Roman"/>
          <w:color w:val="2D3B45"/>
          <w:kern w:val="0"/>
          <w14:ligatures w14:val="none"/>
        </w:rPr>
        <w:t>ost-</w:t>
      </w:r>
      <w:r w:rsidR="00153865">
        <w:rPr>
          <w:rFonts w:ascii="Lato" w:eastAsia="Times New Roman" w:hAnsi="Lato" w:cs="Times New Roman"/>
          <w:color w:val="2D3B45"/>
          <w:kern w:val="0"/>
          <w14:ligatures w14:val="none"/>
        </w:rPr>
        <w:t>I</w:t>
      </w:r>
      <w:r w:rsidRPr="00153865">
        <w:rPr>
          <w:rFonts w:ascii="Lato" w:eastAsia="Times New Roman" w:hAnsi="Lato" w:cs="Times New Roman"/>
          <w:color w:val="2D3B45"/>
          <w:kern w:val="0"/>
          <w14:ligatures w14:val="none"/>
        </w:rPr>
        <w:t>t</w:t>
      </w:r>
      <w:proofErr w:type="gramEnd"/>
      <w:r w:rsidRPr="00153865">
        <w:rPr>
          <w:rFonts w:ascii="Lato" w:eastAsia="Times New Roman" w:hAnsi="Lato" w:cs="Times New Roman"/>
          <w:color w:val="2D3B45"/>
          <w:kern w:val="0"/>
          <w14:ligatures w14:val="none"/>
        </w:rPr>
        <w:t xml:space="preserve"> attempted to exploit in their ad campaign. The ad was created to be useful for the end user and created a platform for them to collect their notes – much like a physical </w:t>
      </w:r>
      <w:proofErr w:type="gramStart"/>
      <w:r w:rsidR="00153865">
        <w:rPr>
          <w:rFonts w:ascii="Lato" w:eastAsia="Times New Roman" w:hAnsi="Lato" w:cs="Times New Roman"/>
          <w:color w:val="2D3B45"/>
          <w:kern w:val="0"/>
          <w14:ligatures w14:val="none"/>
        </w:rPr>
        <w:t>P</w:t>
      </w:r>
      <w:r w:rsidRPr="00153865">
        <w:rPr>
          <w:rFonts w:ascii="Lato" w:eastAsia="Times New Roman" w:hAnsi="Lato" w:cs="Times New Roman"/>
          <w:color w:val="2D3B45"/>
          <w:kern w:val="0"/>
          <w14:ligatures w14:val="none"/>
        </w:rPr>
        <w:t>ost-</w:t>
      </w:r>
      <w:r w:rsidR="00153865">
        <w:rPr>
          <w:rFonts w:ascii="Lato" w:eastAsia="Times New Roman" w:hAnsi="Lato" w:cs="Times New Roman"/>
          <w:color w:val="2D3B45"/>
          <w:kern w:val="0"/>
          <w14:ligatures w14:val="none"/>
        </w:rPr>
        <w:t>I</w:t>
      </w:r>
      <w:r w:rsidRPr="00153865">
        <w:rPr>
          <w:rFonts w:ascii="Lato" w:eastAsia="Times New Roman" w:hAnsi="Lato" w:cs="Times New Roman"/>
          <w:color w:val="2D3B45"/>
          <w:kern w:val="0"/>
          <w14:ligatures w14:val="none"/>
        </w:rPr>
        <w:t>t</w:t>
      </w:r>
      <w:proofErr w:type="gramEnd"/>
      <w:r w:rsidRPr="00153865">
        <w:rPr>
          <w:rFonts w:ascii="Lato" w:eastAsia="Times New Roman" w:hAnsi="Lato" w:cs="Times New Roman"/>
          <w:color w:val="2D3B45"/>
          <w:kern w:val="0"/>
          <w14:ligatures w14:val="none"/>
        </w:rPr>
        <w:t xml:space="preserve"> would be used. This unique method reminds users of the usefulness of the </w:t>
      </w:r>
      <w:proofErr w:type="gramStart"/>
      <w:r w:rsidR="00153865">
        <w:rPr>
          <w:rFonts w:ascii="Lato" w:eastAsia="Times New Roman" w:hAnsi="Lato" w:cs="Times New Roman"/>
          <w:color w:val="2D3B45"/>
          <w:kern w:val="0"/>
          <w14:ligatures w14:val="none"/>
        </w:rPr>
        <w:t>P</w:t>
      </w:r>
      <w:r w:rsidRPr="00153865">
        <w:rPr>
          <w:rFonts w:ascii="Lato" w:eastAsia="Times New Roman" w:hAnsi="Lato" w:cs="Times New Roman"/>
          <w:color w:val="2D3B45"/>
          <w:kern w:val="0"/>
          <w14:ligatures w14:val="none"/>
        </w:rPr>
        <w:t>ost-</w:t>
      </w:r>
      <w:r w:rsidR="00153865">
        <w:rPr>
          <w:rFonts w:ascii="Lato" w:eastAsia="Times New Roman" w:hAnsi="Lato" w:cs="Times New Roman"/>
          <w:color w:val="2D3B45"/>
          <w:kern w:val="0"/>
          <w14:ligatures w14:val="none"/>
        </w:rPr>
        <w:t>I</w:t>
      </w:r>
      <w:r w:rsidRPr="00153865">
        <w:rPr>
          <w:rFonts w:ascii="Lato" w:eastAsia="Times New Roman" w:hAnsi="Lato" w:cs="Times New Roman"/>
          <w:color w:val="2D3B45"/>
          <w:kern w:val="0"/>
          <w14:ligatures w14:val="none"/>
        </w:rPr>
        <w:t>t</w:t>
      </w:r>
      <w:proofErr w:type="gramEnd"/>
      <w:r w:rsidRPr="00153865">
        <w:rPr>
          <w:rFonts w:ascii="Lato" w:eastAsia="Times New Roman" w:hAnsi="Lato" w:cs="Times New Roman"/>
          <w:color w:val="2D3B45"/>
          <w:kern w:val="0"/>
          <w14:ligatures w14:val="none"/>
        </w:rPr>
        <w:t xml:space="preserve"> note to help drive engagement with their physical product.</w:t>
      </w:r>
    </w:p>
    <w:p w14:paraId="56AE96D2" w14:textId="4B8C54D9" w:rsidR="00FE3E65" w:rsidRPr="00153865" w:rsidRDefault="00FE3E65" w:rsidP="00153865">
      <w:pPr>
        <w:pStyle w:val="ListParagraph"/>
        <w:numPr>
          <w:ilvl w:val="0"/>
          <w:numId w:val="3"/>
        </w:numPr>
        <w:shd w:val="clear" w:color="auto" w:fill="FFFFFF"/>
        <w:spacing w:before="180" w:after="180"/>
        <w:rPr>
          <w:rFonts w:ascii="Lato" w:eastAsia="Times New Roman" w:hAnsi="Lato" w:cs="Times New Roman"/>
          <w:color w:val="2D3B45"/>
          <w:kern w:val="0"/>
          <w14:ligatures w14:val="none"/>
        </w:rPr>
      </w:pPr>
      <w:r w:rsidRPr="00153865">
        <w:rPr>
          <w:rFonts w:ascii="Lato" w:eastAsia="Times New Roman" w:hAnsi="Lato" w:cs="Times New Roman"/>
          <w:color w:val="2D3B45"/>
          <w:kern w:val="0"/>
          <w14:ligatures w14:val="none"/>
        </w:rPr>
        <w:t xml:space="preserve">The average click through rate for online display advertising is less than 1%. This low rate is an average across many different </w:t>
      </w:r>
      <w:proofErr w:type="gramStart"/>
      <w:r w:rsidRPr="00153865">
        <w:rPr>
          <w:rFonts w:ascii="Lato" w:eastAsia="Times New Roman" w:hAnsi="Lato" w:cs="Times New Roman"/>
          <w:color w:val="2D3B45"/>
          <w:kern w:val="0"/>
          <w14:ligatures w14:val="none"/>
        </w:rPr>
        <w:t>brands</w:t>
      </w:r>
      <w:proofErr w:type="gramEnd"/>
      <w:r w:rsidRPr="00153865">
        <w:rPr>
          <w:rFonts w:ascii="Lato" w:eastAsia="Times New Roman" w:hAnsi="Lato" w:cs="Times New Roman"/>
          <w:color w:val="2D3B45"/>
          <w:kern w:val="0"/>
          <w14:ligatures w14:val="none"/>
        </w:rPr>
        <w:t xml:space="preserve"> but I would not expect user engagement to jump much higher than this number even for established brands. The high user engagement (47% active user engagement) on the </w:t>
      </w:r>
      <w:proofErr w:type="gramStart"/>
      <w:r w:rsidRPr="00153865">
        <w:rPr>
          <w:rFonts w:ascii="Lato" w:eastAsia="Times New Roman" w:hAnsi="Lato" w:cs="Times New Roman"/>
          <w:color w:val="2D3B45"/>
          <w:kern w:val="0"/>
          <w14:ligatures w14:val="none"/>
        </w:rPr>
        <w:t>Post-It</w:t>
      </w:r>
      <w:proofErr w:type="gramEnd"/>
      <w:r w:rsidRPr="00153865">
        <w:rPr>
          <w:rFonts w:ascii="Lato" w:eastAsia="Times New Roman" w:hAnsi="Lato" w:cs="Times New Roman"/>
          <w:color w:val="2D3B45"/>
          <w:kern w:val="0"/>
          <w14:ligatures w14:val="none"/>
        </w:rPr>
        <w:t xml:space="preserve"> campaign is a testament to the quirkiness and usefulness of the ad campaign. However, for a standard run of the mill add campaign I would not expect significant user engagement.</w:t>
      </w:r>
    </w:p>
    <w:p w14:paraId="7EF61306" w14:textId="1B06019A" w:rsidR="00FE3E65" w:rsidRPr="00153865" w:rsidRDefault="00FE3E65" w:rsidP="00153865">
      <w:pPr>
        <w:pStyle w:val="ListParagraph"/>
        <w:numPr>
          <w:ilvl w:val="0"/>
          <w:numId w:val="3"/>
        </w:numPr>
        <w:shd w:val="clear" w:color="auto" w:fill="FFFFFF"/>
        <w:spacing w:before="180" w:after="180"/>
        <w:rPr>
          <w:rFonts w:ascii="Lato" w:eastAsia="Times New Roman" w:hAnsi="Lato" w:cs="Times New Roman"/>
          <w:color w:val="2D3B45"/>
          <w:kern w:val="0"/>
          <w14:ligatures w14:val="none"/>
        </w:rPr>
      </w:pPr>
      <w:r w:rsidRPr="00153865">
        <w:rPr>
          <w:rFonts w:ascii="Lato" w:eastAsia="Times New Roman" w:hAnsi="Lato" w:cs="Times New Roman"/>
          <w:color w:val="2D3B45"/>
          <w:kern w:val="0"/>
          <w14:ligatures w14:val="none"/>
        </w:rPr>
        <w:t xml:space="preserve">The elements of the campaign that contributed to the “considerable earned media reach” are the quirkiness and usefulness of the ad campaign. People tend to associate banner ads as being annoying and a waste of space. Post-It took these emotions and flipped them on their head by creating a “ad” that was useful to the user. The usefulness of the ad propelled users and media to advocate for </w:t>
      </w:r>
      <w:proofErr w:type="gramStart"/>
      <w:r w:rsidRPr="00153865">
        <w:rPr>
          <w:rFonts w:ascii="Lato" w:eastAsia="Times New Roman" w:hAnsi="Lato" w:cs="Times New Roman"/>
          <w:color w:val="2D3B45"/>
          <w:kern w:val="0"/>
          <w14:ligatures w14:val="none"/>
        </w:rPr>
        <w:t>Post-It</w:t>
      </w:r>
      <w:proofErr w:type="gramEnd"/>
      <w:r w:rsidRPr="00153865">
        <w:rPr>
          <w:rFonts w:ascii="Lato" w:eastAsia="Times New Roman" w:hAnsi="Lato" w:cs="Times New Roman"/>
          <w:color w:val="2D3B45"/>
          <w:kern w:val="0"/>
          <w14:ligatures w14:val="none"/>
        </w:rPr>
        <w:t xml:space="preserve"> in an unprecedented way</w:t>
      </w:r>
      <w:r w:rsidR="00153865" w:rsidRPr="00153865">
        <w:rPr>
          <w:rFonts w:ascii="Lato" w:eastAsia="Times New Roman" w:hAnsi="Lato" w:cs="Times New Roman"/>
          <w:color w:val="2D3B45"/>
          <w:kern w:val="0"/>
          <w14:ligatures w14:val="none"/>
        </w:rPr>
        <w:t>.</w:t>
      </w:r>
    </w:p>
    <w:p w14:paraId="1EB651BA" w14:textId="77777777" w:rsidR="003F54CD" w:rsidRPr="004312AA" w:rsidRDefault="003F54CD" w:rsidP="004312AA"/>
    <w:sectPr w:rsidR="003F54CD" w:rsidRPr="00431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6BB"/>
    <w:multiLevelType w:val="multilevel"/>
    <w:tmpl w:val="8550F520"/>
    <w:lvl w:ilvl="0">
      <w:start w:val="1"/>
      <w:numFmt w:val="decimal"/>
      <w:lvlText w:val="%1."/>
      <w:lvlJc w:val="left"/>
      <w:pPr>
        <w:tabs>
          <w:tab w:val="num" w:pos="720"/>
        </w:tabs>
        <w:ind w:left="720" w:hanging="360"/>
      </w:pPr>
      <w:rPr>
        <w:rFonts w:ascii="Lato" w:eastAsia="Times New Roman" w:hAnsi="Lato"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B12A4"/>
    <w:multiLevelType w:val="hybridMultilevel"/>
    <w:tmpl w:val="DBACE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C3B70"/>
    <w:multiLevelType w:val="multilevel"/>
    <w:tmpl w:val="CB1439A6"/>
    <w:lvl w:ilvl="0">
      <w:start w:val="1"/>
      <w:numFmt w:val="bullet"/>
      <w:lvlText w:val=""/>
      <w:lvlJc w:val="left"/>
      <w:pPr>
        <w:tabs>
          <w:tab w:val="num" w:pos="675"/>
        </w:tabs>
        <w:ind w:left="675" w:hanging="360"/>
      </w:pPr>
      <w:rPr>
        <w:rFonts w:ascii="Symbol" w:hAnsi="Symbol" w:hint="default"/>
        <w:sz w:val="20"/>
      </w:rPr>
    </w:lvl>
    <w:lvl w:ilvl="1">
      <w:start w:val="1"/>
      <w:numFmt w:val="bullet"/>
      <w:lvlText w:val="o"/>
      <w:lvlJc w:val="left"/>
      <w:pPr>
        <w:tabs>
          <w:tab w:val="num" w:pos="1395"/>
        </w:tabs>
        <w:ind w:left="1395" w:hanging="360"/>
      </w:pPr>
      <w:rPr>
        <w:rFonts w:ascii="Courier New" w:hAnsi="Courier New"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num w:numId="1" w16cid:durableId="1924366196">
    <w:abstractNumId w:val="2"/>
  </w:num>
  <w:num w:numId="2" w16cid:durableId="550731418">
    <w:abstractNumId w:val="0"/>
  </w:num>
  <w:num w:numId="3" w16cid:durableId="526988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FF"/>
    <w:rsid w:val="00153865"/>
    <w:rsid w:val="003A493A"/>
    <w:rsid w:val="003F54CD"/>
    <w:rsid w:val="00416DF5"/>
    <w:rsid w:val="004312AA"/>
    <w:rsid w:val="00466A59"/>
    <w:rsid w:val="00500BB9"/>
    <w:rsid w:val="005E05B1"/>
    <w:rsid w:val="00610F23"/>
    <w:rsid w:val="007E41FF"/>
    <w:rsid w:val="008F7CB0"/>
    <w:rsid w:val="00956537"/>
    <w:rsid w:val="00DE4BD1"/>
    <w:rsid w:val="00F05B4E"/>
    <w:rsid w:val="00F64E77"/>
    <w:rsid w:val="00F739C5"/>
    <w:rsid w:val="00FE3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5FCC1"/>
  <w15:chartTrackingRefBased/>
  <w15:docId w15:val="{BB2DBF08-8845-5640-B16E-68E17225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41FF"/>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431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81688">
      <w:bodyDiv w:val="1"/>
      <w:marLeft w:val="0"/>
      <w:marRight w:val="0"/>
      <w:marTop w:val="0"/>
      <w:marBottom w:val="0"/>
      <w:divBdr>
        <w:top w:val="none" w:sz="0" w:space="0" w:color="auto"/>
        <w:left w:val="none" w:sz="0" w:space="0" w:color="auto"/>
        <w:bottom w:val="none" w:sz="0" w:space="0" w:color="auto"/>
        <w:right w:val="none" w:sz="0" w:space="0" w:color="auto"/>
      </w:divBdr>
    </w:div>
    <w:div w:id="163718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Kistler</dc:creator>
  <cp:keywords/>
  <dc:description/>
  <cp:lastModifiedBy>Nathan Kistler</cp:lastModifiedBy>
  <cp:revision>4</cp:revision>
  <dcterms:created xsi:type="dcterms:W3CDTF">2024-05-23T23:23:00Z</dcterms:created>
  <dcterms:modified xsi:type="dcterms:W3CDTF">2024-05-25T19:11:00Z</dcterms:modified>
</cp:coreProperties>
</file>