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Problems: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1 - Public value is produced, but not legible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Non-market contributions (anything not priced by markets) are hard to measure, so they stay invisible to planning, budgeting, and accountability, meaning real public value doesn’t accumulate into lasting capacity.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2 - Civic capacity is rising, but institutions can’t integrate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Communities can organize and contribute, but most administrative systems lack mechanisms to absorb, coordinate, and validate distributed civic action, so participation remains informal and fragile.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3 - Concentrated administration creates bottlenecks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Authority and execution concentrate inside agencies, producing structural throughput limits (slow response, opacity, and coordination friction) especially for complex, local problems.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Problems: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4 - Digitalization improves access, but keeps the same power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Portals and data platforms improve access and information flow, but largely preserve top-down decision structures, so participation and public value production don’t fundamentally change.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5 - Public-private overlap fuels capture and trust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and private interventions overlap in shifting, crisis-driven ways, which strains public resources, creates regulatory capture dynamics for private actors, and leaves citizens with inefficiency and eroding trust.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6 - New conditions, old operating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Cities face faster change, higher expectations, and more civic engagement, but administrative systems were built for a slower, centralized era, creating a growing structural mismatch.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Impact &amp; Key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 of civic work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Civic contributions become legible and valued: they’re quantified, recognized, and translated into real governance influence, with citizens able to see what their work changed.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among system participants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Trust increases because all interactions are verifiable, value is recognized, and rules are transparent.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participation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Civic participation grows and becomes more inclusive by lowering barriers, especially for under-resourced groups, strengthening civic capacity and local resilience. 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existing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Civic work connects to institutions and budgets, making contributions redeemable and meaningful within existing public finance and program workflows.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Interoperability between cities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model becomes portable: cities can adopt shared standards and reuse implementation infrastructure to deploy and learn from each other. 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Fostering a new civic culture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Civic engagement becomes a shared social norm: people feel that contributing is expected, visible, and valued, and that public service is part of everyday life. Participation carries a sense of belonging, reciprocity, and pride in shaping the city together.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Redefining the meaning of citizenship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Citizenship shifts from identity to practice: belonging is earned through contribution, turning governance into a living reciprocal relationship between people and their city.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