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52D46B" w14:textId="77777777" w:rsidR="00CE7B97" w:rsidRDefault="00000000">
      <w:pPr>
        <w:shd w:val="clear" w:color="auto" w:fill="005596"/>
        <w:spacing w:after="0" w:line="240" w:lineRule="auto"/>
        <w:rPr>
          <w:rFonts w:hint="eastAsia"/>
        </w:rPr>
      </w:pPr>
      <w:r>
        <w:rPr>
          <w:rFonts w:cs="Khula"/>
          <w:color w:val="005596"/>
          <w:sz w:val="12"/>
        </w:rPr>
        <w:t xml:space="preserve"> </w:t>
      </w:r>
    </w:p>
    <w:p w14:paraId="67ABD433" w14:textId="77777777" w:rsidR="00CE7B97" w:rsidRDefault="00000000">
      <w:pPr>
        <w:shd w:val="clear" w:color="auto" w:fill="4597D3"/>
        <w:spacing w:after="0" w:line="240" w:lineRule="auto"/>
        <w:rPr>
          <w:rFonts w:hint="eastAsia"/>
        </w:rPr>
      </w:pPr>
      <w:r>
        <w:rPr>
          <w:rFonts w:cs="Khula"/>
          <w:color w:val="4597D3"/>
          <w:sz w:val="12"/>
        </w:rPr>
        <w:t xml:space="preserve"> </w:t>
      </w:r>
    </w:p>
    <w:p w14:paraId="45F8A5BC" w14:textId="77777777" w:rsidR="00CE7B97" w:rsidRDefault="00000000">
      <w:pPr>
        <w:shd w:val="clear" w:color="auto" w:fill="5BC2A7"/>
        <w:spacing w:after="0" w:line="240" w:lineRule="auto"/>
        <w:rPr>
          <w:rFonts w:hint="eastAsia"/>
        </w:rPr>
      </w:pPr>
      <w:r>
        <w:rPr>
          <w:rFonts w:cs="Khula"/>
          <w:color w:val="5BC2A7"/>
          <w:sz w:val="12"/>
        </w:rPr>
        <w:t xml:space="preserve"> </w:t>
      </w:r>
    </w:p>
    <w:p w14:paraId="6EFAE4C7" w14:textId="77777777" w:rsidR="00CE7B97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53312D1" wp14:editId="4365CAA9">
            <wp:extent cx="2194560" cy="6601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full-bl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6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8B13" w14:textId="77777777" w:rsidR="00CE7B97" w:rsidRDefault="00CE7B97">
      <w:pPr>
        <w:rPr>
          <w:rFonts w:hint="eastAsia"/>
        </w:rPr>
      </w:pPr>
    </w:p>
    <w:p w14:paraId="4A0F1737" w14:textId="77777777" w:rsidR="00CE7B97" w:rsidRDefault="00CE7B97">
      <w:pPr>
        <w:rPr>
          <w:rFonts w:hint="eastAsia"/>
        </w:rPr>
      </w:pPr>
    </w:p>
    <w:p w14:paraId="3FFA857A" w14:textId="77777777" w:rsidR="00CE7B97" w:rsidRDefault="00CE7B97">
      <w:pPr>
        <w:rPr>
          <w:rFonts w:hint="eastAsia"/>
        </w:rPr>
      </w:pPr>
    </w:p>
    <w:p w14:paraId="08DF73C3" w14:textId="77777777" w:rsidR="00CE7B97" w:rsidRDefault="00000000">
      <w:pPr>
        <w:pBdr>
          <w:bottom w:val="single" w:sz="24" w:space="4" w:color="5BC2A7"/>
        </w:pBdr>
        <w:rPr>
          <w:rFonts w:hint="eastAsia"/>
        </w:rPr>
      </w:pPr>
      <w:r>
        <w:rPr>
          <w:rFonts w:ascii="Poppins" w:hAnsi="Poppins" w:cs="Poppins"/>
          <w:b/>
          <w:color w:val="005596"/>
          <w:sz w:val="80"/>
        </w:rPr>
        <w:t>Foot Locker AI Development Learning Program</w:t>
      </w:r>
    </w:p>
    <w:p w14:paraId="7F68BC87" w14:textId="77777777" w:rsidR="00CE7B97" w:rsidRPr="0098658A" w:rsidRDefault="00000000">
      <w:pPr>
        <w:spacing w:after="240"/>
        <w:rPr>
          <w:rFonts w:hint="eastAsia"/>
          <w:sz w:val="16"/>
          <w:szCs w:val="18"/>
        </w:rPr>
      </w:pPr>
      <w:r w:rsidRPr="0098658A">
        <w:rPr>
          <w:rFonts w:cs="Khula"/>
          <w:color w:val="606060"/>
          <w:sz w:val="30"/>
          <w:szCs w:val="16"/>
        </w:rPr>
        <w:t>450-FTE Cohort Enablement  |  Waves in Series  |  Embedded Engineers</w:t>
      </w:r>
    </w:p>
    <w:p w14:paraId="70158C30" w14:textId="77777777" w:rsidR="00CE7B97" w:rsidRDefault="00CE7B97">
      <w:pPr>
        <w:rPr>
          <w:rFonts w:hint="eastAsia"/>
        </w:rPr>
      </w:pPr>
    </w:p>
    <w:p w14:paraId="05B0051A" w14:textId="77777777" w:rsidR="00CE7B97" w:rsidRDefault="00CE7B97"/>
    <w:p w14:paraId="0C38BE38" w14:textId="77777777" w:rsidR="0098658A" w:rsidRDefault="0098658A"/>
    <w:p w14:paraId="545498F7" w14:textId="77777777" w:rsidR="0098658A" w:rsidRDefault="0098658A"/>
    <w:p w14:paraId="77FBB953" w14:textId="77777777" w:rsidR="0098658A" w:rsidRDefault="0098658A"/>
    <w:p w14:paraId="4D9EA0E4" w14:textId="77777777" w:rsidR="0098658A" w:rsidRDefault="0098658A">
      <w:pPr>
        <w:rPr>
          <w:rFonts w:hint="eastAsia"/>
        </w:rPr>
      </w:pPr>
    </w:p>
    <w:p w14:paraId="4CC06D11" w14:textId="77777777" w:rsidR="00CE7B97" w:rsidRDefault="00000000">
      <w:pPr>
        <w:rPr>
          <w:rFonts w:hint="eastAsia"/>
        </w:rPr>
      </w:pPr>
      <w:r>
        <w:rPr>
          <w:rFonts w:ascii="Poppins" w:hAnsi="Poppins" w:cs="Poppins"/>
          <w:b/>
          <w:color w:val="4597D3"/>
          <w:sz w:val="20"/>
        </w:rPr>
        <w:t>PREPARED BY</w:t>
      </w:r>
    </w:p>
    <w:p w14:paraId="0D250EFA" w14:textId="65434DA1" w:rsidR="00CE7B97" w:rsidRDefault="00000000">
      <w:pPr>
        <w:rPr>
          <w:rFonts w:hint="eastAsia"/>
        </w:rPr>
      </w:pPr>
      <w:r>
        <w:rPr>
          <w:rFonts w:cs="Khula"/>
          <w:sz w:val="28"/>
        </w:rPr>
        <w:t>Improving</w:t>
      </w:r>
    </w:p>
    <w:p w14:paraId="61BC5294" w14:textId="4431973C" w:rsidR="00CE7B97" w:rsidRDefault="00000000">
      <w:pPr>
        <w:rPr>
          <w:rFonts w:hint="eastAsia"/>
        </w:rPr>
      </w:pPr>
      <w:r>
        <w:rPr>
          <w:rFonts w:cs="Khula"/>
          <w:color w:val="606060"/>
        </w:rPr>
        <w:t xml:space="preserve">June </w:t>
      </w:r>
      <w:proofErr w:type="gramStart"/>
      <w:r>
        <w:rPr>
          <w:rFonts w:cs="Khula"/>
          <w:color w:val="606060"/>
        </w:rPr>
        <w:t>2026  |</w:t>
      </w:r>
      <w:proofErr w:type="gramEnd"/>
      <w:r>
        <w:rPr>
          <w:rFonts w:cs="Khula"/>
          <w:color w:val="606060"/>
        </w:rPr>
        <w:t xml:space="preserve">  DRAFT </w:t>
      </w:r>
    </w:p>
    <w:p w14:paraId="10B8D5BB" w14:textId="77777777" w:rsidR="00CE7B97" w:rsidRDefault="00000000">
      <w:pPr>
        <w:rPr>
          <w:rFonts w:hint="eastAsia"/>
        </w:rPr>
      </w:pPr>
      <w:r>
        <w:br w:type="page"/>
      </w:r>
    </w:p>
    <w:p w14:paraId="1DEC11DF" w14:textId="77777777" w:rsidR="00CE7B97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lastRenderedPageBreak/>
        <w:t>Executive Summary</w:t>
      </w:r>
    </w:p>
    <w:p w14:paraId="04764E90" w14:textId="77777777" w:rsidR="00CE7B97" w:rsidRDefault="00000000">
      <w:pPr>
        <w:rPr>
          <w:rFonts w:hint="eastAsia"/>
        </w:rPr>
      </w:pPr>
      <w:r>
        <w:rPr>
          <w:rFonts w:cs="Khula"/>
        </w:rPr>
        <w:t>Foot Locker is preparing to activate enterprise-wide AI licensing across its global technology organization and is building the enablement strategy to go with it. The central challenge is not tooling — it is adoption. Industry data puts only 13% of knowledge workers using AI daily, and training-only approaches consistently plateau after rollout, peaking at 45% adoption before receding to single digits. The programs that work are applied, team-based, and grounded in real sprint work.</w:t>
      </w:r>
    </w:p>
    <w:p w14:paraId="49B0A6C8" w14:textId="77777777" w:rsidR="00CE7B97" w:rsidRDefault="00000000">
      <w:pPr>
        <w:rPr>
          <w:rFonts w:hint="eastAsia"/>
        </w:rPr>
      </w:pPr>
      <w:r>
        <w:rPr>
          <w:rFonts w:cs="Khula"/>
        </w:rPr>
        <w:t>This proposal outlines a Development Learning Program (DLP) for approximately 450 FTE developers delivered in series: a validated MVP followed by two full waves, each covering 10 cohorts across 12 weeks. Every cohort operates under hard team size limits, with a dedicated embedded engineer per team and an enterprise coach who plans and anchors each wave. The result is compounding productivity gain — observed at 5-15% by end of week 12 and 20-30% at the six-month mark — with governance infrastructure that compounds across all three phases under full Improving leadership.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15"/>
      </w:tblGrid>
      <w:tr w:rsidR="00CE7B97" w14:paraId="72B6355A" w14:textId="77777777">
        <w:tc>
          <w:tcPr>
            <w:tcW w:w="9360" w:type="dxa"/>
            <w:tcBorders>
              <w:top w:val="nil"/>
              <w:left w:val="single" w:sz="36" w:space="0" w:color="005596"/>
              <w:bottom w:val="nil"/>
              <w:right w:val="nil"/>
            </w:tcBorders>
            <w:shd w:val="clear" w:color="auto" w:fill="F5F5F5"/>
            <w:vAlign w:val="center"/>
          </w:tcPr>
          <w:p w14:paraId="18FB108A" w14:textId="77777777" w:rsidR="00CE7B97" w:rsidRDefault="00000000">
            <w:pPr>
              <w:spacing w:before="160" w:after="160"/>
              <w:ind w:left="216"/>
              <w:rPr>
                <w:rFonts w:hint="eastAsia"/>
              </w:rPr>
            </w:pPr>
            <w:r>
              <w:rPr>
                <w:rFonts w:cs="Khula"/>
              </w:rPr>
              <w:t>At 450 FTE developers with an average fully loaded cost of $165K/person, the program pays for itself at approximately a 9.8% sustained productivity improvement — call it 10%. The DLP model at 1 EE per team produces 11-18% in-program; 20-30% at six months post-program.</w:t>
            </w:r>
          </w:p>
        </w:tc>
      </w:tr>
    </w:tbl>
    <w:p w14:paraId="5329B8E0" w14:textId="77777777" w:rsidR="00CE7B97" w:rsidRDefault="00CE7B97">
      <w:pPr>
        <w:rPr>
          <w:rFonts w:hint="eastAsia"/>
        </w:rPr>
      </w:pPr>
    </w:p>
    <w:p w14:paraId="02A65AE5" w14:textId="77777777" w:rsidR="00CE7B97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t>Program Architecture</w:t>
      </w:r>
    </w:p>
    <w:p w14:paraId="42F9BDC9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Design Principles</w:t>
      </w:r>
    </w:p>
    <w:p w14:paraId="01F2A383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Applied over classroom. Every cohort combines bi-weekly workshops with sprint-embedded coaching. Developers build real agents against their real work, not synthetic exercises.</w:t>
      </w:r>
    </w:p>
    <w:p w14:paraId="54779AC0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In series, not all at once. Waves run sequentially to control quality, allow governance to mature, and let embedded engineer patterns compound before scaling.</w:t>
      </w:r>
    </w:p>
    <w:p w14:paraId="0B78A081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Hard team size limits. No team exceeds 8 people; no cohort exceeds 24. One embedded engineer per team, not shared. This protects coaching quality at scale.</w:t>
      </w:r>
    </w:p>
    <w:p w14:paraId="2DB23CCC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Tech-stack-aligned cohorts. Teams within a cohort share languages and tools (e.g., C#/.NET, Java, React/Node.js). Embedded engineers are not context-switching mid-wave.</w:t>
      </w:r>
    </w:p>
    <w:p w14:paraId="29D31FF9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Enterprise coach as planner and anchor. Starts 4 weeks before each wave to design cohort composition, wave sequencing, and governance structure. Drives OCM for identity-based resistance.</w:t>
      </w:r>
    </w:p>
    <w:p w14:paraId="237E6056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lastRenderedPageBreak/>
        <w:t>Improving-led through all three phases. Wave 2 uses the same Improving-staffed embedded engineer model as Wave 1. Full program management does not transfer until after program completion.</w:t>
      </w:r>
    </w:p>
    <w:p w14:paraId="424284A8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Phase Structure</w:t>
      </w:r>
    </w:p>
    <w:p w14:paraId="0CE7EA77" w14:textId="77777777" w:rsidR="00CE7B97" w:rsidRDefault="00000000">
      <w:pPr>
        <w:rPr>
          <w:rFonts w:hint="eastAsia"/>
        </w:rPr>
      </w:pPr>
      <w:r>
        <w:rPr>
          <w:rFonts w:cs="Khula"/>
        </w:rPr>
        <w:t>The program runs in three sequential phases. Total duration is approximately 48-52 weeks end-to-end, inclusive of planning periods.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324"/>
        <w:gridCol w:w="1328"/>
        <w:gridCol w:w="1322"/>
        <w:gridCol w:w="1322"/>
        <w:gridCol w:w="1314"/>
        <w:gridCol w:w="1332"/>
        <w:gridCol w:w="1398"/>
      </w:tblGrid>
      <w:tr w:rsidR="00CE7B97" w14:paraId="2F4AF451" w14:textId="77777777" w:rsidTr="00CE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005596"/>
          </w:tcPr>
          <w:p w14:paraId="381A8B02" w14:textId="77777777" w:rsidR="00CE7B97" w:rsidRDefault="00000000">
            <w:pPr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Phase</w:t>
            </w:r>
          </w:p>
        </w:tc>
        <w:tc>
          <w:tcPr>
            <w:tcW w:w="1337" w:type="dxa"/>
            <w:shd w:val="clear" w:color="auto" w:fill="005596"/>
          </w:tcPr>
          <w:p w14:paraId="6D5392E8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Cohorts</w:t>
            </w:r>
          </w:p>
        </w:tc>
        <w:tc>
          <w:tcPr>
            <w:tcW w:w="1337" w:type="dxa"/>
            <w:shd w:val="clear" w:color="auto" w:fill="005596"/>
          </w:tcPr>
          <w:p w14:paraId="3A37BD8D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People</w:t>
            </w:r>
          </w:p>
        </w:tc>
        <w:tc>
          <w:tcPr>
            <w:tcW w:w="1337" w:type="dxa"/>
            <w:shd w:val="clear" w:color="auto" w:fill="005596"/>
          </w:tcPr>
          <w:p w14:paraId="076F9A06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Teams</w:t>
            </w:r>
          </w:p>
        </w:tc>
        <w:tc>
          <w:tcPr>
            <w:tcW w:w="1337" w:type="dxa"/>
            <w:shd w:val="clear" w:color="auto" w:fill="005596"/>
          </w:tcPr>
          <w:p w14:paraId="5F749CD0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Emb. EEs</w:t>
            </w:r>
          </w:p>
        </w:tc>
        <w:tc>
          <w:tcPr>
            <w:tcW w:w="1337" w:type="dxa"/>
            <w:shd w:val="clear" w:color="auto" w:fill="005596"/>
          </w:tcPr>
          <w:p w14:paraId="17B0C017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Duration</w:t>
            </w:r>
          </w:p>
        </w:tc>
        <w:tc>
          <w:tcPr>
            <w:tcW w:w="1337" w:type="dxa"/>
            <w:shd w:val="clear" w:color="auto" w:fill="005596"/>
          </w:tcPr>
          <w:p w14:paraId="72C5F4BD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Improving Role</w:t>
            </w:r>
          </w:p>
        </w:tc>
      </w:tr>
      <w:tr w:rsidR="00CE7B97" w14:paraId="1108BC37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F5F5F5"/>
          </w:tcPr>
          <w:p w14:paraId="698B926D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MVP (Phase 0)</w:t>
            </w:r>
          </w:p>
        </w:tc>
        <w:tc>
          <w:tcPr>
            <w:tcW w:w="1337" w:type="dxa"/>
            <w:shd w:val="clear" w:color="auto" w:fill="F5F5F5"/>
          </w:tcPr>
          <w:p w14:paraId="2A7D58FC" w14:textId="60315BBC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1</w:t>
            </w:r>
          </w:p>
        </w:tc>
        <w:tc>
          <w:tcPr>
            <w:tcW w:w="1337" w:type="dxa"/>
            <w:shd w:val="clear" w:color="auto" w:fill="F5F5F5"/>
          </w:tcPr>
          <w:p w14:paraId="25CB78EA" w14:textId="6B4FA876" w:rsidR="00CE7B97" w:rsidRDefault="005D14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8-</w:t>
            </w:r>
            <w:r w:rsidR="00000000">
              <w:rPr>
                <w:rFonts w:cs="Khula"/>
              </w:rPr>
              <w:t>16</w:t>
            </w:r>
          </w:p>
        </w:tc>
        <w:tc>
          <w:tcPr>
            <w:tcW w:w="1337" w:type="dxa"/>
            <w:shd w:val="clear" w:color="auto" w:fill="F5F5F5"/>
          </w:tcPr>
          <w:p w14:paraId="09EA79C9" w14:textId="27E72ABE" w:rsidR="00CE7B97" w:rsidRDefault="005D14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1-</w:t>
            </w:r>
            <w:r w:rsidR="00000000">
              <w:rPr>
                <w:rFonts w:cs="Khula"/>
              </w:rPr>
              <w:t>2</w:t>
            </w:r>
          </w:p>
        </w:tc>
        <w:tc>
          <w:tcPr>
            <w:tcW w:w="1337" w:type="dxa"/>
            <w:shd w:val="clear" w:color="auto" w:fill="F5F5F5"/>
          </w:tcPr>
          <w:p w14:paraId="034EC028" w14:textId="697799AB" w:rsidR="00CE7B97" w:rsidRDefault="005D14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1-</w:t>
            </w:r>
            <w:r w:rsidR="00000000">
              <w:rPr>
                <w:rFonts w:cs="Khula"/>
              </w:rPr>
              <w:t>2</w:t>
            </w:r>
          </w:p>
        </w:tc>
        <w:tc>
          <w:tcPr>
            <w:tcW w:w="1337" w:type="dxa"/>
            <w:shd w:val="clear" w:color="auto" w:fill="F5F5F5"/>
          </w:tcPr>
          <w:p w14:paraId="7F2E717B" w14:textId="69AB4E03" w:rsidR="00CE7B97" w:rsidRDefault="005D14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 xml:space="preserve">16 </w:t>
            </w:r>
            <w:proofErr w:type="spellStart"/>
            <w:r>
              <w:rPr>
                <w:rFonts w:cs="Khula"/>
              </w:rPr>
              <w:t>wks</w:t>
            </w:r>
            <w:proofErr w:type="spellEnd"/>
            <w:r>
              <w:rPr>
                <w:rFonts w:cs="Khula"/>
              </w:rPr>
              <w:t xml:space="preserve"> </w:t>
            </w:r>
            <w:r>
              <w:rPr>
                <w:rFonts w:cs="Khula"/>
              </w:rPr>
              <w:br/>
            </w:r>
            <w:r w:rsidRPr="005D144B">
              <w:rPr>
                <w:rFonts w:cs="Khula"/>
                <w:sz w:val="18"/>
                <w:szCs w:val="18"/>
              </w:rPr>
              <w:t xml:space="preserve">(4 plan + </w:t>
            </w:r>
            <w:r>
              <w:rPr>
                <w:rFonts w:cs="Khula"/>
                <w:sz w:val="18"/>
                <w:szCs w:val="18"/>
              </w:rPr>
              <w:br/>
            </w:r>
            <w:r w:rsidRPr="005D144B">
              <w:rPr>
                <w:rFonts w:cs="Khula"/>
                <w:sz w:val="18"/>
                <w:szCs w:val="18"/>
              </w:rPr>
              <w:t>12 exec)</w:t>
            </w:r>
          </w:p>
        </w:tc>
        <w:tc>
          <w:tcPr>
            <w:tcW w:w="1337" w:type="dxa"/>
            <w:shd w:val="clear" w:color="auto" w:fill="F5F5F5"/>
          </w:tcPr>
          <w:p w14:paraId="33C4694F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Full lead</w:t>
            </w:r>
          </w:p>
        </w:tc>
      </w:tr>
      <w:tr w:rsidR="00CE7B97" w14:paraId="6118188C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17294C85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Wave 1</w:t>
            </w:r>
          </w:p>
        </w:tc>
        <w:tc>
          <w:tcPr>
            <w:tcW w:w="1337" w:type="dxa"/>
          </w:tcPr>
          <w:p w14:paraId="2669492F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10</w:t>
            </w:r>
          </w:p>
        </w:tc>
        <w:tc>
          <w:tcPr>
            <w:tcW w:w="1337" w:type="dxa"/>
          </w:tcPr>
          <w:p w14:paraId="302952C3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~240</w:t>
            </w:r>
          </w:p>
        </w:tc>
        <w:tc>
          <w:tcPr>
            <w:tcW w:w="1337" w:type="dxa"/>
          </w:tcPr>
          <w:p w14:paraId="3C58CFA4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~30</w:t>
            </w:r>
          </w:p>
        </w:tc>
        <w:tc>
          <w:tcPr>
            <w:tcW w:w="1337" w:type="dxa"/>
          </w:tcPr>
          <w:p w14:paraId="3622A763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~30</w:t>
            </w:r>
          </w:p>
        </w:tc>
        <w:tc>
          <w:tcPr>
            <w:tcW w:w="1337" w:type="dxa"/>
          </w:tcPr>
          <w:p w14:paraId="6A7C4E83" w14:textId="79A46BFA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 xml:space="preserve">16 </w:t>
            </w:r>
            <w:proofErr w:type="spellStart"/>
            <w:r>
              <w:rPr>
                <w:rFonts w:cs="Khula"/>
              </w:rPr>
              <w:t>wks</w:t>
            </w:r>
            <w:proofErr w:type="spellEnd"/>
            <w:r w:rsidR="005D144B">
              <w:rPr>
                <w:rFonts w:cs="Khula"/>
              </w:rPr>
              <w:br/>
            </w:r>
            <w:r w:rsidR="005D144B" w:rsidRPr="005D144B">
              <w:rPr>
                <w:rFonts w:cs="Khula"/>
                <w:sz w:val="18"/>
                <w:szCs w:val="18"/>
              </w:rPr>
              <w:t xml:space="preserve">(4 plan + </w:t>
            </w:r>
            <w:r w:rsidR="005D144B">
              <w:rPr>
                <w:rFonts w:cs="Khula"/>
                <w:sz w:val="18"/>
                <w:szCs w:val="18"/>
              </w:rPr>
              <w:br/>
            </w:r>
            <w:r w:rsidR="005D144B" w:rsidRPr="005D144B">
              <w:rPr>
                <w:rFonts w:cs="Khula"/>
                <w:sz w:val="18"/>
                <w:szCs w:val="18"/>
              </w:rPr>
              <w:t>12 exec)</w:t>
            </w:r>
          </w:p>
        </w:tc>
        <w:tc>
          <w:tcPr>
            <w:tcW w:w="1337" w:type="dxa"/>
          </w:tcPr>
          <w:p w14:paraId="3DDCF7B8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Full lead</w:t>
            </w:r>
          </w:p>
        </w:tc>
      </w:tr>
      <w:tr w:rsidR="00CE7B97" w14:paraId="6BA7513A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F5F5F5"/>
          </w:tcPr>
          <w:p w14:paraId="7472905E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Wave 2</w:t>
            </w:r>
          </w:p>
        </w:tc>
        <w:tc>
          <w:tcPr>
            <w:tcW w:w="1337" w:type="dxa"/>
            <w:shd w:val="clear" w:color="auto" w:fill="F5F5F5"/>
          </w:tcPr>
          <w:p w14:paraId="6A195A5C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8-9</w:t>
            </w:r>
          </w:p>
        </w:tc>
        <w:tc>
          <w:tcPr>
            <w:tcW w:w="1337" w:type="dxa"/>
            <w:shd w:val="clear" w:color="auto" w:fill="F5F5F5"/>
          </w:tcPr>
          <w:p w14:paraId="69AC7122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~195</w:t>
            </w:r>
          </w:p>
        </w:tc>
        <w:tc>
          <w:tcPr>
            <w:tcW w:w="1337" w:type="dxa"/>
            <w:shd w:val="clear" w:color="auto" w:fill="F5F5F5"/>
          </w:tcPr>
          <w:p w14:paraId="177D0CE8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~24</w:t>
            </w:r>
          </w:p>
        </w:tc>
        <w:tc>
          <w:tcPr>
            <w:tcW w:w="1337" w:type="dxa"/>
            <w:shd w:val="clear" w:color="auto" w:fill="F5F5F5"/>
          </w:tcPr>
          <w:p w14:paraId="3364D4CF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~24</w:t>
            </w:r>
          </w:p>
        </w:tc>
        <w:tc>
          <w:tcPr>
            <w:tcW w:w="1337" w:type="dxa"/>
            <w:shd w:val="clear" w:color="auto" w:fill="F5F5F5"/>
          </w:tcPr>
          <w:p w14:paraId="3E44C957" w14:textId="5C6D0F31" w:rsidR="00CE7B97" w:rsidRDefault="005D14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 xml:space="preserve">16 </w:t>
            </w:r>
            <w:proofErr w:type="spellStart"/>
            <w:r>
              <w:rPr>
                <w:rFonts w:cs="Khula"/>
              </w:rPr>
              <w:t>wks</w:t>
            </w:r>
            <w:proofErr w:type="spellEnd"/>
            <w:r>
              <w:rPr>
                <w:rFonts w:cs="Khula"/>
              </w:rPr>
              <w:br/>
            </w:r>
            <w:r w:rsidRPr="005D144B">
              <w:rPr>
                <w:rFonts w:cs="Khula"/>
                <w:sz w:val="18"/>
                <w:szCs w:val="18"/>
              </w:rPr>
              <w:t xml:space="preserve">(4 plan + </w:t>
            </w:r>
            <w:r>
              <w:rPr>
                <w:rFonts w:cs="Khula"/>
                <w:sz w:val="18"/>
                <w:szCs w:val="18"/>
              </w:rPr>
              <w:br/>
            </w:r>
            <w:r w:rsidRPr="005D144B">
              <w:rPr>
                <w:rFonts w:cs="Khula"/>
                <w:sz w:val="18"/>
                <w:szCs w:val="18"/>
              </w:rPr>
              <w:t>12 exec)</w:t>
            </w:r>
          </w:p>
        </w:tc>
        <w:tc>
          <w:tcPr>
            <w:tcW w:w="1337" w:type="dxa"/>
            <w:shd w:val="clear" w:color="auto" w:fill="F5F5F5"/>
          </w:tcPr>
          <w:p w14:paraId="6FECD4A9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Full lead</w:t>
            </w:r>
          </w:p>
        </w:tc>
      </w:tr>
      <w:tr w:rsidR="00CE7B97" w14:paraId="36EBB731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0CE40540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Total Program</w:t>
            </w:r>
          </w:p>
        </w:tc>
        <w:tc>
          <w:tcPr>
            <w:tcW w:w="1337" w:type="dxa"/>
          </w:tcPr>
          <w:p w14:paraId="22AA2060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~19-21</w:t>
            </w:r>
          </w:p>
        </w:tc>
        <w:tc>
          <w:tcPr>
            <w:tcW w:w="1337" w:type="dxa"/>
          </w:tcPr>
          <w:p w14:paraId="73A8B839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~450</w:t>
            </w:r>
          </w:p>
        </w:tc>
        <w:tc>
          <w:tcPr>
            <w:tcW w:w="1337" w:type="dxa"/>
          </w:tcPr>
          <w:p w14:paraId="2AB04923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~54-60</w:t>
            </w:r>
          </w:p>
        </w:tc>
        <w:tc>
          <w:tcPr>
            <w:tcW w:w="1337" w:type="dxa"/>
          </w:tcPr>
          <w:p w14:paraId="47F282E1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—</w:t>
            </w:r>
          </w:p>
        </w:tc>
        <w:tc>
          <w:tcPr>
            <w:tcW w:w="1337" w:type="dxa"/>
          </w:tcPr>
          <w:p w14:paraId="3D93D04C" w14:textId="25459301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</w:t>
            </w:r>
            <w:r w:rsidR="005D144B">
              <w:rPr>
                <w:rFonts w:cs="Khula"/>
              </w:rPr>
              <w:t>48</w:t>
            </w:r>
            <w:r>
              <w:rPr>
                <w:rFonts w:cs="Khula"/>
              </w:rPr>
              <w:t xml:space="preserve"> weeks</w:t>
            </w:r>
          </w:p>
        </w:tc>
        <w:tc>
          <w:tcPr>
            <w:tcW w:w="1337" w:type="dxa"/>
          </w:tcPr>
          <w:p w14:paraId="6AAAD64A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Improving-led</w:t>
            </w:r>
          </w:p>
        </w:tc>
      </w:tr>
    </w:tbl>
    <w:p w14:paraId="0BDF9245" w14:textId="77777777" w:rsidR="00CE7B97" w:rsidRDefault="00CE7B97">
      <w:pPr>
        <w:rPr>
          <w:rFonts w:hint="eastAsia"/>
        </w:rPr>
      </w:pPr>
    </w:p>
    <w:p w14:paraId="1AFB0EC6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Hard Team Size Limits</w:t>
      </w:r>
    </w:p>
    <w:p w14:paraId="2C729421" w14:textId="77777777" w:rsidR="00CE7B97" w:rsidRDefault="00000000">
      <w:pPr>
        <w:rPr>
          <w:rFonts w:hint="eastAsia"/>
        </w:rPr>
      </w:pPr>
      <w:r>
        <w:rPr>
          <w:rFonts w:cs="Khula"/>
        </w:rPr>
        <w:t>These limits are structural, not advisory. They protect coaching quality and prevent the most common failure mode — licensing without guidance.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670"/>
        <w:gridCol w:w="4670"/>
      </w:tblGrid>
      <w:tr w:rsidR="00CE7B97" w14:paraId="0D1339C5" w14:textId="77777777" w:rsidTr="00CE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005596"/>
          </w:tcPr>
          <w:p w14:paraId="42A9736E" w14:textId="77777777" w:rsidR="00CE7B97" w:rsidRDefault="00000000">
            <w:pPr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Constraint</w:t>
            </w:r>
          </w:p>
        </w:tc>
        <w:tc>
          <w:tcPr>
            <w:tcW w:w="4680" w:type="dxa"/>
            <w:shd w:val="clear" w:color="auto" w:fill="005596"/>
          </w:tcPr>
          <w:p w14:paraId="79BE1AB3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Hard Limit</w:t>
            </w:r>
          </w:p>
        </w:tc>
      </w:tr>
      <w:tr w:rsidR="00CE7B97" w14:paraId="00A8BEBC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5F5F5"/>
          </w:tcPr>
          <w:p w14:paraId="359BEDE5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People per team</w:t>
            </w:r>
          </w:p>
        </w:tc>
        <w:tc>
          <w:tcPr>
            <w:tcW w:w="4680" w:type="dxa"/>
            <w:shd w:val="clear" w:color="auto" w:fill="F5F5F5"/>
          </w:tcPr>
          <w:p w14:paraId="3A022DED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Max 8</w:t>
            </w:r>
          </w:p>
        </w:tc>
      </w:tr>
      <w:tr w:rsidR="00CE7B97" w14:paraId="0734EED8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4A9D968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Teams per cohort</w:t>
            </w:r>
          </w:p>
        </w:tc>
        <w:tc>
          <w:tcPr>
            <w:tcW w:w="4680" w:type="dxa"/>
          </w:tcPr>
          <w:p w14:paraId="630663F1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Max 3 (tech-stack aligned)</w:t>
            </w:r>
          </w:p>
        </w:tc>
      </w:tr>
      <w:tr w:rsidR="00CE7B97" w14:paraId="14A9E4C6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5F5F5"/>
          </w:tcPr>
          <w:p w14:paraId="14BB833A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People per cohort</w:t>
            </w:r>
          </w:p>
        </w:tc>
        <w:tc>
          <w:tcPr>
            <w:tcW w:w="4680" w:type="dxa"/>
            <w:shd w:val="clear" w:color="auto" w:fill="F5F5F5"/>
          </w:tcPr>
          <w:p w14:paraId="78A608BB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Max 24</w:t>
            </w:r>
          </w:p>
        </w:tc>
      </w:tr>
      <w:tr w:rsidR="00CE7B97" w14:paraId="4E2010F0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4BA368D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Embedded engineers per team</w:t>
            </w:r>
          </w:p>
        </w:tc>
        <w:tc>
          <w:tcPr>
            <w:tcW w:w="4680" w:type="dxa"/>
          </w:tcPr>
          <w:p w14:paraId="06CBA906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1 (dedicated, not shared)</w:t>
            </w:r>
          </w:p>
        </w:tc>
      </w:tr>
      <w:tr w:rsidR="00CE7B97" w14:paraId="44F4E65B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5F5F5"/>
          </w:tcPr>
          <w:p w14:paraId="3F36A526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Cohorts per wave</w:t>
            </w:r>
          </w:p>
        </w:tc>
        <w:tc>
          <w:tcPr>
            <w:tcW w:w="4680" w:type="dxa"/>
            <w:shd w:val="clear" w:color="auto" w:fill="F5F5F5"/>
          </w:tcPr>
          <w:p w14:paraId="2E6A741A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10-12 (trainer scalable)</w:t>
            </w:r>
          </w:p>
        </w:tc>
      </w:tr>
      <w:tr w:rsidR="00CE7B97" w14:paraId="48EA8C57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23613E5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Waves in parallel</w:t>
            </w:r>
          </w:p>
        </w:tc>
        <w:tc>
          <w:tcPr>
            <w:tcW w:w="4680" w:type="dxa"/>
          </w:tcPr>
          <w:p w14:paraId="6FA5DBB4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0 (series model)</w:t>
            </w:r>
          </w:p>
        </w:tc>
      </w:tr>
    </w:tbl>
    <w:p w14:paraId="6916D16D" w14:textId="77777777" w:rsidR="00CE7B97" w:rsidRDefault="00CE7B97">
      <w:pPr>
        <w:rPr>
          <w:rFonts w:hint="eastAsia"/>
        </w:rPr>
      </w:pPr>
    </w:p>
    <w:p w14:paraId="2B6D2B0D" w14:textId="77777777" w:rsidR="00CE7B97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t>Program Components</w:t>
      </w:r>
    </w:p>
    <w:p w14:paraId="16194D25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Enterprise Coach</w:t>
      </w:r>
    </w:p>
    <w:p w14:paraId="63B1397D" w14:textId="77777777" w:rsidR="00CE7B97" w:rsidRDefault="00000000">
      <w:pPr>
        <w:rPr>
          <w:rFonts w:hint="eastAsia"/>
        </w:rPr>
      </w:pPr>
      <w:r>
        <w:rPr>
          <w:rFonts w:cs="Khula"/>
        </w:rPr>
        <w:t>The enterprise coach is the program anchor. Engagement starts four weeks before the first cohort's day one in each wave and runs full-time through the entire 16-week wave. Primary responsibilities:</w:t>
      </w:r>
    </w:p>
    <w:p w14:paraId="20F76154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Designs cohort composition: maps teams to cohorts by tech stack and business priority</w:t>
      </w:r>
    </w:p>
    <w:p w14:paraId="4D5DA317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Sequences waves against delivery commitments to avoid endangering critical programs</w:t>
      </w:r>
    </w:p>
    <w:p w14:paraId="1C467F73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Drives OCM: addresses identity-based resistance (senior developers are the highest long-term multipliers but slowest early adopters)</w:t>
      </w:r>
    </w:p>
    <w:p w14:paraId="57942D4D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Establishes governance infrastructure: skills repository structure, agent promotion process, cost-to-capacity dashboards</w:t>
      </w:r>
    </w:p>
    <w:p w14:paraId="6A9ACA99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Coaches individuals flagged by governance signals (over-reliance, under-adoption, high spend with no outputs)</w:t>
      </w:r>
    </w:p>
    <w:p w14:paraId="4F5B3170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Manages passive-to-active compliance transition (e.g., PCI-active agents in the SDLC)</w:t>
      </w:r>
    </w:p>
    <w:p w14:paraId="78847811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Tracks governance maturity across all active cohorts; escalates quality issues to embedded engineers and program leadership</w:t>
      </w:r>
    </w:p>
    <w:p w14:paraId="0CFF10FA" w14:textId="77777777" w:rsidR="00CE7B97" w:rsidRDefault="00000000">
      <w:pPr>
        <w:rPr>
          <w:rFonts w:hint="eastAsia"/>
        </w:rPr>
      </w:pPr>
      <w:r>
        <w:rPr>
          <w:rFonts w:cs="Khula"/>
        </w:rPr>
        <w:t>The enterprise coach is full-time throughout each wave — both during the 4-week planning period and the 12-week execution period. This role remains Improving-managed across all three phases of the program.</w:t>
      </w:r>
    </w:p>
    <w:p w14:paraId="303AF068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Embedded Engineers</w:t>
      </w:r>
    </w:p>
    <w:p w14:paraId="6025985A" w14:textId="77777777" w:rsidR="00CE7B97" w:rsidRDefault="00000000">
      <w:pPr>
        <w:rPr>
          <w:rFonts w:hint="eastAsia"/>
        </w:rPr>
      </w:pPr>
      <w:r>
        <w:rPr>
          <w:rFonts w:cs="Khula"/>
        </w:rPr>
        <w:t>One embedded engineer per team. They do not rotate between teams while a wave is active. This is not a shared resource model — each engineer is dedicated to 8 people for the full 12 weeks.</w:t>
      </w:r>
    </w:p>
    <w:p w14:paraId="1D5294FB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Present during sprint work, not just workshops</w:t>
      </w:r>
    </w:p>
    <w:p w14:paraId="042A2453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Provide on-the-job coaching: context management, task decomposition, agent development, evaluation scoring</w:t>
      </w:r>
    </w:p>
    <w:p w14:paraId="5FC02E09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Introduce starter agents and help teams refine them against measurable outputs (bugs, test failures, cycle time)</w:t>
      </w:r>
    </w:p>
    <w:p w14:paraId="6AB2FDB6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Participate in bi-weekly agent review with the enterprise coach to identify candidates for promotion to the shared repository</w:t>
      </w:r>
    </w:p>
    <w:p w14:paraId="6FBC2547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Hand off improvement documentation to the team at wave close so the cycle continues without them</w:t>
      </w:r>
    </w:p>
    <w:p w14:paraId="1FEEFFCB" w14:textId="77777777" w:rsidR="00CE7B97" w:rsidRDefault="00000000">
      <w:pPr>
        <w:rPr>
          <w:rFonts w:hint="eastAsia"/>
        </w:rPr>
      </w:pPr>
      <w:r>
        <w:rPr>
          <w:rFonts w:cs="Khula"/>
        </w:rPr>
        <w:lastRenderedPageBreak/>
        <w:t>For a 10-cohort wave with an average of 3 teams per cohort, this requires approximately 30 embedded engineers. Foot Locker's remote-first engineering model means most embedded work is virtual, with optional hub coordination in the Plano (Dallas metro) area.</w:t>
      </w:r>
    </w:p>
    <w:p w14:paraId="2ED7D0E9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Trainer</w:t>
      </w:r>
    </w:p>
    <w:p w14:paraId="28763D08" w14:textId="77777777" w:rsidR="00CE7B97" w:rsidRDefault="00000000">
      <w:pPr>
        <w:rPr>
          <w:rFonts w:hint="eastAsia"/>
        </w:rPr>
      </w:pPr>
      <w:r>
        <w:rPr>
          <w:rFonts w:cs="Khula"/>
        </w:rPr>
        <w:t>Training is delivered as a half-day workshop every two weeks — six sessions over the 12-week program. Trainers scale efficiently: one trainer supports up to 10 cohorts per wave. Two trainers cover a full wave.</w:t>
      </w:r>
    </w:p>
    <w:p w14:paraId="5B103332" w14:textId="77777777" w:rsidR="00CE7B97" w:rsidRDefault="00000000">
      <w:pPr>
        <w:rPr>
          <w:rFonts w:hint="eastAsia"/>
        </w:rPr>
      </w:pPr>
      <w:r>
        <w:rPr>
          <w:rFonts w:cs="Khula"/>
        </w:rPr>
        <w:t>Workshop curriculum alternates through three phases, each repeated twice:</w:t>
      </w:r>
    </w:p>
    <w:p w14:paraId="1788F675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Define: structured prompting framework, task breakdown, context aggregation</w:t>
      </w:r>
    </w:p>
    <w:p w14:paraId="7C63B28E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Build: task agents, workflow agents, evaluation-driven prompt and agent development</w:t>
      </w:r>
    </w:p>
    <w:p w14:paraId="17C5D970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Verify: CI/CD integration, agent quality scoring, governance and compliance agents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15"/>
      </w:tblGrid>
      <w:tr w:rsidR="00CE7B97" w14:paraId="7C131802" w14:textId="77777777">
        <w:tc>
          <w:tcPr>
            <w:tcW w:w="9360" w:type="dxa"/>
            <w:tcBorders>
              <w:top w:val="nil"/>
              <w:left w:val="single" w:sz="36" w:space="0" w:color="5BC2A7"/>
              <w:bottom w:val="nil"/>
              <w:right w:val="nil"/>
            </w:tcBorders>
            <w:shd w:val="clear" w:color="auto" w:fill="F5F5F5"/>
            <w:vAlign w:val="center"/>
          </w:tcPr>
          <w:p w14:paraId="1C336E17" w14:textId="77777777" w:rsidR="00CE7B97" w:rsidRDefault="00000000">
            <w:pPr>
              <w:spacing w:before="160" w:after="160"/>
              <w:ind w:left="216"/>
              <w:rPr>
                <w:rFonts w:hint="eastAsia"/>
              </w:rPr>
            </w:pPr>
            <w:r>
              <w:rPr>
                <w:rFonts w:cs="Khula"/>
              </w:rPr>
              <w:t>A key principle: model strength selection is based on clarity of intent, not problem complexity. Teams that internalize this see cost-to-capacity ratios improve within the first wave.</w:t>
            </w:r>
          </w:p>
        </w:tc>
      </w:tr>
    </w:tbl>
    <w:p w14:paraId="038CF2A6" w14:textId="77777777" w:rsidR="00CE7B97" w:rsidRDefault="00CE7B97">
      <w:pPr>
        <w:rPr>
          <w:rFonts w:hint="eastAsia"/>
        </w:rPr>
      </w:pPr>
    </w:p>
    <w:p w14:paraId="51458FC3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12-Week DLP Curriculum</w:t>
      </w:r>
    </w:p>
    <w:p w14:paraId="74A91449" w14:textId="77777777" w:rsidR="00CE7B97" w:rsidRDefault="00000000">
      <w:pPr>
        <w:rPr>
          <w:rFonts w:hint="eastAsia"/>
        </w:rPr>
      </w:pPr>
      <w:r>
        <w:rPr>
          <w:rFonts w:cs="Khula"/>
        </w:rPr>
        <w:t>The program builds Stage 3 and Stage 4 capability on Improving's eight-stage AI maturity model — moving teams from ad hoc usage to evaluated, reusable task agents and composed workflow agents.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333"/>
        <w:gridCol w:w="2333"/>
        <w:gridCol w:w="2337"/>
        <w:gridCol w:w="2337"/>
      </w:tblGrid>
      <w:tr w:rsidR="00CE7B97" w14:paraId="3177460D" w14:textId="77777777" w:rsidTr="00CE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5596"/>
          </w:tcPr>
          <w:p w14:paraId="157C3CAB" w14:textId="77777777" w:rsidR="00CE7B97" w:rsidRDefault="00000000">
            <w:pPr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Weeks</w:t>
            </w:r>
          </w:p>
        </w:tc>
        <w:tc>
          <w:tcPr>
            <w:tcW w:w="2340" w:type="dxa"/>
            <w:shd w:val="clear" w:color="auto" w:fill="005596"/>
          </w:tcPr>
          <w:p w14:paraId="5A30213E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Phase</w:t>
            </w:r>
          </w:p>
        </w:tc>
        <w:tc>
          <w:tcPr>
            <w:tcW w:w="2340" w:type="dxa"/>
            <w:shd w:val="clear" w:color="auto" w:fill="005596"/>
          </w:tcPr>
          <w:p w14:paraId="03783F6A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Curriculum Focus</w:t>
            </w:r>
          </w:p>
        </w:tc>
        <w:tc>
          <w:tcPr>
            <w:tcW w:w="2340" w:type="dxa"/>
            <w:shd w:val="clear" w:color="auto" w:fill="005596"/>
          </w:tcPr>
          <w:p w14:paraId="37256A99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Embedded Engineer Activity</w:t>
            </w:r>
          </w:p>
        </w:tc>
      </w:tr>
      <w:tr w:rsidR="00CE7B97" w14:paraId="5C247B33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5F5F5"/>
          </w:tcPr>
          <w:p w14:paraId="47C72BBA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1-2</w:t>
            </w:r>
          </w:p>
        </w:tc>
        <w:tc>
          <w:tcPr>
            <w:tcW w:w="2340" w:type="dxa"/>
            <w:shd w:val="clear" w:color="auto" w:fill="F5F5F5"/>
          </w:tcPr>
          <w:p w14:paraId="3EE55197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Define</w:t>
            </w:r>
          </w:p>
        </w:tc>
        <w:tc>
          <w:tcPr>
            <w:tcW w:w="2340" w:type="dxa"/>
            <w:shd w:val="clear" w:color="auto" w:fill="F5F5F5"/>
          </w:tcPr>
          <w:p w14:paraId="7E77F195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Prompting framework, task decomposition, context aggregation, model selection principles</w:t>
            </w:r>
          </w:p>
        </w:tc>
        <w:tc>
          <w:tcPr>
            <w:tcW w:w="2340" w:type="dxa"/>
            <w:shd w:val="clear" w:color="auto" w:fill="F5F5F5"/>
          </w:tcPr>
          <w:p w14:paraId="5A7BD843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Establish team baseline; introduce starter agents by language/stack</w:t>
            </w:r>
          </w:p>
        </w:tc>
      </w:tr>
      <w:tr w:rsidR="00CE7B97" w14:paraId="37A1B0C0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E972CD7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3-4</w:t>
            </w:r>
          </w:p>
        </w:tc>
        <w:tc>
          <w:tcPr>
            <w:tcW w:w="2340" w:type="dxa"/>
          </w:tcPr>
          <w:p w14:paraId="08A021BB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Define</w:t>
            </w:r>
          </w:p>
        </w:tc>
        <w:tc>
          <w:tcPr>
            <w:tcW w:w="2340" w:type="dxa"/>
          </w:tcPr>
          <w:p w14:paraId="023AAC86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Structuring intent across the team value stream (product to dev to test)</w:t>
            </w:r>
          </w:p>
        </w:tc>
        <w:tc>
          <w:tcPr>
            <w:tcW w:w="2340" w:type="dxa"/>
          </w:tcPr>
          <w:p w14:paraId="1FF93CE4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Coach intent specification in sprint work; identify first evaluation targets</w:t>
            </w:r>
          </w:p>
        </w:tc>
      </w:tr>
      <w:tr w:rsidR="00CE7B97" w14:paraId="6B58A773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5F5F5"/>
          </w:tcPr>
          <w:p w14:paraId="51068FE3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5-6</w:t>
            </w:r>
          </w:p>
        </w:tc>
        <w:tc>
          <w:tcPr>
            <w:tcW w:w="2340" w:type="dxa"/>
            <w:shd w:val="clear" w:color="auto" w:fill="F5F5F5"/>
          </w:tcPr>
          <w:p w14:paraId="03CAE504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Build</w:t>
            </w:r>
          </w:p>
        </w:tc>
        <w:tc>
          <w:tcPr>
            <w:tcW w:w="2340" w:type="dxa"/>
            <w:shd w:val="clear" w:color="auto" w:fill="F5F5F5"/>
          </w:tcPr>
          <w:p w14:paraId="19C06CFF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 xml:space="preserve">Task agent construction, evaluation-driven </w:t>
            </w:r>
            <w:r>
              <w:rPr>
                <w:rFonts w:cs="Khula"/>
              </w:rPr>
              <w:lastRenderedPageBreak/>
              <w:t>development, prompt scoring methodology</w:t>
            </w:r>
          </w:p>
        </w:tc>
        <w:tc>
          <w:tcPr>
            <w:tcW w:w="2340" w:type="dxa"/>
            <w:shd w:val="clear" w:color="auto" w:fill="F5F5F5"/>
          </w:tcPr>
          <w:p w14:paraId="0622425D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lastRenderedPageBreak/>
              <w:t xml:space="preserve">Build and score first team agents against </w:t>
            </w:r>
            <w:r>
              <w:rPr>
                <w:rFonts w:cs="Khula"/>
              </w:rPr>
              <w:lastRenderedPageBreak/>
              <w:t>sprint outputs (bugs, failures)</w:t>
            </w:r>
          </w:p>
        </w:tc>
      </w:tr>
      <w:tr w:rsidR="00CE7B97" w14:paraId="2EC04B4F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31CD36C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lastRenderedPageBreak/>
              <w:t>7-8</w:t>
            </w:r>
          </w:p>
        </w:tc>
        <w:tc>
          <w:tcPr>
            <w:tcW w:w="2340" w:type="dxa"/>
          </w:tcPr>
          <w:p w14:paraId="43E7BE9C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Build</w:t>
            </w:r>
          </w:p>
        </w:tc>
        <w:tc>
          <w:tcPr>
            <w:tcW w:w="2340" w:type="dxa"/>
          </w:tcPr>
          <w:p w14:paraId="2C88417D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Workflow agents, harness selection, composed agent patterns</w:t>
            </w:r>
          </w:p>
        </w:tc>
        <w:tc>
          <w:tcPr>
            <w:tcW w:w="2340" w:type="dxa"/>
          </w:tcPr>
          <w:p w14:paraId="02451196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Identify repeatable workflows; draft first workflow agents with the team</w:t>
            </w:r>
          </w:p>
        </w:tc>
      </w:tr>
      <w:tr w:rsidR="00CE7B97" w14:paraId="0DD5DB7B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5F5F5"/>
          </w:tcPr>
          <w:p w14:paraId="2215E8CD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9-10</w:t>
            </w:r>
          </w:p>
        </w:tc>
        <w:tc>
          <w:tcPr>
            <w:tcW w:w="2340" w:type="dxa"/>
            <w:shd w:val="clear" w:color="auto" w:fill="F5F5F5"/>
          </w:tcPr>
          <w:p w14:paraId="3D90B573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Verify</w:t>
            </w:r>
          </w:p>
        </w:tc>
        <w:tc>
          <w:tcPr>
            <w:tcW w:w="2340" w:type="dxa"/>
            <w:shd w:val="clear" w:color="auto" w:fill="F5F5F5"/>
          </w:tcPr>
          <w:p w14:paraId="738DC05C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CI/CD agent integration, automated testing agents, verification debt reduction</w:t>
            </w:r>
          </w:p>
        </w:tc>
        <w:tc>
          <w:tcPr>
            <w:tcW w:w="2340" w:type="dxa"/>
            <w:shd w:val="clear" w:color="auto" w:fill="F5F5F5"/>
          </w:tcPr>
          <w:p w14:paraId="2019837B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Wire agents into CI pipeline; instrument acceptance rate and reliance signals</w:t>
            </w:r>
          </w:p>
        </w:tc>
      </w:tr>
      <w:tr w:rsidR="00CE7B97" w14:paraId="6A042F1D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051B055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11-12</w:t>
            </w:r>
          </w:p>
        </w:tc>
        <w:tc>
          <w:tcPr>
            <w:tcW w:w="2340" w:type="dxa"/>
          </w:tcPr>
          <w:p w14:paraId="38E6A4FD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Verify</w:t>
            </w:r>
          </w:p>
        </w:tc>
        <w:tc>
          <w:tcPr>
            <w:tcW w:w="2340" w:type="dxa"/>
          </w:tcPr>
          <w:p w14:paraId="03545E46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Agent promotion process, skills repository, governance handoff, continuous improvement loop</w:t>
            </w:r>
          </w:p>
        </w:tc>
        <w:tc>
          <w:tcPr>
            <w:tcW w:w="2340" w:type="dxa"/>
          </w:tcPr>
          <w:p w14:paraId="56B1472B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Candidate agents for shared repository; document improvement roadmap for handoff</w:t>
            </w:r>
          </w:p>
        </w:tc>
      </w:tr>
    </w:tbl>
    <w:p w14:paraId="3D904AFF" w14:textId="77777777" w:rsidR="00CE7B97" w:rsidRDefault="00CE7B97">
      <w:pPr>
        <w:rPr>
          <w:rFonts w:hint="eastAsia"/>
        </w:rPr>
      </w:pPr>
    </w:p>
    <w:p w14:paraId="6399DBD8" w14:textId="77777777" w:rsidR="00CE7B97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t>MVP Recommendation</w:t>
      </w:r>
    </w:p>
    <w:p w14:paraId="2093EB0D" w14:textId="22A8AC7A" w:rsidR="00CE7B97" w:rsidRDefault="00000000">
      <w:pPr>
        <w:rPr>
          <w:rFonts w:hint="eastAsia"/>
        </w:rPr>
      </w:pPr>
      <w:r>
        <w:rPr>
          <w:rFonts w:cs="Khula"/>
        </w:rPr>
        <w:t>Before committing to a full wave, Improving recommends a single-cohort MVP: 1-2 teams (</w:t>
      </w:r>
      <w:r w:rsidR="005D144B">
        <w:rPr>
          <w:rFonts w:cs="Khula"/>
        </w:rPr>
        <w:t>8</w:t>
      </w:r>
      <w:r>
        <w:rPr>
          <w:rFonts w:cs="Khula"/>
        </w:rPr>
        <w:t>-</w:t>
      </w:r>
      <w:r w:rsidR="005D144B">
        <w:rPr>
          <w:rFonts w:cs="Khula"/>
        </w:rPr>
        <w:t>16</w:t>
      </w:r>
      <w:r>
        <w:rPr>
          <w:rFonts w:cs="Khula"/>
        </w:rPr>
        <w:t xml:space="preserve"> people) through the full 12-week DLP. The MVP is not a watered-down version — it uses the same embedded engineers, same enterprise coach setup, same workshop cadence, and produces the same governance outputs. It is the proving ground for Foot Locker's specific context before scaling.</w:t>
      </w:r>
    </w:p>
    <w:p w14:paraId="65AD15AE" w14:textId="77777777" w:rsidR="00CE7B97" w:rsidRDefault="00000000">
      <w:pPr>
        <w:rPr>
          <w:rFonts w:hint="eastAsia"/>
        </w:rPr>
      </w:pPr>
      <w:r>
        <w:rPr>
          <w:rFonts w:cs="Khula"/>
        </w:rPr>
        <w:t>Suggested MVP team selection criteria:</w:t>
      </w:r>
    </w:p>
    <w:p w14:paraId="3C25AAC0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A team with a defined upcoming sprint cycle (not mid-project)</w:t>
      </w:r>
    </w:p>
    <w:p w14:paraId="0C1448DE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Tech stack that will represent the largest cohort group in Wave 1 (likely C#/.NET or Java given Foot Locker's confirmed primary stacks)</w:t>
      </w:r>
    </w:p>
    <w:p w14:paraId="013C1A36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A team lead willing to champion the model and engage actively with the embedded engineer</w:t>
      </w:r>
    </w:p>
    <w:p w14:paraId="79C62783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Manageable DevOps maturity — not the weakest team, not the strongest</w:t>
      </w:r>
    </w:p>
    <w:p w14:paraId="41E6B8A3" w14:textId="77777777" w:rsidR="00CE7B97" w:rsidRDefault="00000000">
      <w:pPr>
        <w:rPr>
          <w:rFonts w:hint="eastAsia"/>
        </w:rPr>
      </w:pPr>
      <w:r>
        <w:rPr>
          <w:rFonts w:cs="Khula"/>
        </w:rPr>
        <w:t>MVP success metrics to align on before kickoff:</w:t>
      </w:r>
    </w:p>
    <w:p w14:paraId="4B4627BF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Velocity change (sprint story points or cycle time, measured week 1 vs. week 12)</w:t>
      </w:r>
    </w:p>
    <w:p w14:paraId="5D6F9EC1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AI acceptance rate (target: approximately 85-90%, flagging over-reliance and under-reliance)</w:t>
      </w:r>
    </w:p>
    <w:p w14:paraId="1E2A402F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Agent quality scores (bug rate, test failure rate compared to pre-program baseline)</w:t>
      </w:r>
    </w:p>
    <w:p w14:paraId="55ED1E65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Team-reported confidence index (subjective, tracked at weeks 4, 8, and 12)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15"/>
      </w:tblGrid>
      <w:tr w:rsidR="00CE7B97" w14:paraId="03EF4E1E" w14:textId="77777777">
        <w:tc>
          <w:tcPr>
            <w:tcW w:w="9360" w:type="dxa"/>
            <w:tcBorders>
              <w:top w:val="nil"/>
              <w:left w:val="single" w:sz="36" w:space="0" w:color="F5BB41"/>
              <w:bottom w:val="nil"/>
              <w:right w:val="nil"/>
            </w:tcBorders>
            <w:shd w:val="clear" w:color="auto" w:fill="F5F5F5"/>
            <w:vAlign w:val="center"/>
          </w:tcPr>
          <w:p w14:paraId="04B3E1EF" w14:textId="77777777" w:rsidR="00CE7B97" w:rsidRDefault="00000000">
            <w:pPr>
              <w:spacing w:before="160" w:after="160"/>
              <w:ind w:left="216"/>
              <w:rPr>
                <w:rFonts w:hint="eastAsia"/>
              </w:rPr>
            </w:pPr>
            <w:r>
              <w:rPr>
                <w:rFonts w:cs="Khula"/>
              </w:rPr>
              <w:lastRenderedPageBreak/>
              <w:t>Improving ran a comparable single-team pilot for Insperity (an HR/PEO company) before scaling to 50 teams. The same model — one team, full program, full governance — validated the approach and produced the executive ROI narrative that unlocked the broader engagement.</w:t>
            </w:r>
          </w:p>
        </w:tc>
      </w:tr>
    </w:tbl>
    <w:p w14:paraId="0E948288" w14:textId="77777777" w:rsidR="00CE7B97" w:rsidRDefault="00CE7B97">
      <w:pPr>
        <w:rPr>
          <w:rFonts w:hint="eastAsia"/>
        </w:rPr>
      </w:pPr>
    </w:p>
    <w:p w14:paraId="726066A2" w14:textId="77777777" w:rsidR="00CE7B97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t xml:space="preserve">DevOps Acceleration Track </w:t>
      </w:r>
      <w:r w:rsidRPr="005D144B">
        <w:rPr>
          <w:rFonts w:ascii="Poppins" w:hAnsi="Poppins" w:cs="Poppins"/>
          <w:b/>
          <w:color w:val="005596"/>
          <w:sz w:val="40"/>
          <w:szCs w:val="20"/>
        </w:rPr>
        <w:t>(Optional)</w:t>
      </w:r>
    </w:p>
    <w:p w14:paraId="774E3CC6" w14:textId="77777777" w:rsidR="00CE7B97" w:rsidRDefault="00000000">
      <w:pPr>
        <w:rPr>
          <w:rFonts w:hint="eastAsia"/>
        </w:rPr>
      </w:pPr>
      <w:r>
        <w:rPr>
          <w:rFonts w:cs="Khula"/>
        </w:rPr>
        <w:t>Foot Locker's current DevOps maturity is a limiting factor for AI-enabled development. Teams without robust CI/CD, automated testing, and infrastructure-as-code carry verification debt — AI generates output faster than humans can verify it. This is the most common bottleneck in organizations with sub-mature SDLC practices, and it caps the productivity gain achievable through the DLP alone.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15"/>
      </w:tblGrid>
      <w:tr w:rsidR="00CE7B97" w14:paraId="0177863E" w14:textId="77777777">
        <w:tc>
          <w:tcPr>
            <w:tcW w:w="9360" w:type="dxa"/>
            <w:tcBorders>
              <w:top w:val="nil"/>
              <w:left w:val="single" w:sz="36" w:space="0" w:color="4597D3"/>
              <w:bottom w:val="nil"/>
              <w:right w:val="nil"/>
            </w:tcBorders>
            <w:shd w:val="clear" w:color="auto" w:fill="F5F5F5"/>
            <w:vAlign w:val="center"/>
          </w:tcPr>
          <w:p w14:paraId="0F7E75BD" w14:textId="77777777" w:rsidR="00CE7B97" w:rsidRDefault="00000000">
            <w:pPr>
              <w:spacing w:before="160" w:after="160"/>
              <w:ind w:left="216"/>
              <w:rPr>
                <w:rFonts w:hint="eastAsia"/>
              </w:rPr>
            </w:pPr>
            <w:r>
              <w:rPr>
                <w:rFonts w:cs="Khula"/>
              </w:rPr>
              <w:t>This track is optional. Teams with mature CI/CD and automated testing can proceed directly to the DLP and will not be blocked. This track is recommended for any team that lacks baseline pipeline automation before entering Wave 1.</w:t>
            </w:r>
          </w:p>
        </w:tc>
      </w:tr>
    </w:tbl>
    <w:p w14:paraId="61659CF0" w14:textId="77777777" w:rsidR="00CE7B97" w:rsidRDefault="00CE7B97">
      <w:pPr>
        <w:rPr>
          <w:rFonts w:hint="eastAsia"/>
        </w:rPr>
      </w:pPr>
    </w:p>
    <w:p w14:paraId="124287AC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DevOps Specialist Team</w:t>
      </w:r>
    </w:p>
    <w:p w14:paraId="1D5B8051" w14:textId="77777777" w:rsidR="00CE7B97" w:rsidRDefault="00000000">
      <w:pPr>
        <w:rPr>
          <w:rFonts w:hint="eastAsia"/>
        </w:rPr>
      </w:pPr>
      <w:r>
        <w:rPr>
          <w:rFonts w:cs="Khula"/>
        </w:rPr>
        <w:t>Improving provides two dedicated DevOps Specialists embedded alongside the DLP for 12-24 weeks. These are not trainers — they are practitioners building the pipeline infrastructure that lets AI productivity gains actually ship.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113"/>
        <w:gridCol w:w="3112"/>
        <w:gridCol w:w="3115"/>
      </w:tblGrid>
      <w:tr w:rsidR="00CE7B97" w14:paraId="7956ACA7" w14:textId="77777777" w:rsidTr="00CE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5596"/>
          </w:tcPr>
          <w:p w14:paraId="5A566B0E" w14:textId="77777777" w:rsidR="00CE7B97" w:rsidRDefault="00000000">
            <w:pPr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Role</w:t>
            </w:r>
          </w:p>
        </w:tc>
        <w:tc>
          <w:tcPr>
            <w:tcW w:w="3120" w:type="dxa"/>
            <w:shd w:val="clear" w:color="auto" w:fill="005596"/>
          </w:tcPr>
          <w:p w14:paraId="4055EACD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Duration</w:t>
            </w:r>
          </w:p>
        </w:tc>
        <w:tc>
          <w:tcPr>
            <w:tcW w:w="3120" w:type="dxa"/>
            <w:shd w:val="clear" w:color="auto" w:fill="005596"/>
          </w:tcPr>
          <w:p w14:paraId="3B1D97D5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Deliverables</w:t>
            </w:r>
          </w:p>
        </w:tc>
      </w:tr>
      <w:tr w:rsidR="00CE7B97" w14:paraId="39CF4BAC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5F5F5"/>
          </w:tcPr>
          <w:p w14:paraId="0D2A808D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DevOps Specialist 1 (Pipeline &amp; CI/CD)</w:t>
            </w:r>
          </w:p>
        </w:tc>
        <w:tc>
          <w:tcPr>
            <w:tcW w:w="3120" w:type="dxa"/>
            <w:shd w:val="clear" w:color="auto" w:fill="F5F5F5"/>
          </w:tcPr>
          <w:p w14:paraId="32925AB2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12-24 weeks</w:t>
            </w:r>
          </w:p>
        </w:tc>
        <w:tc>
          <w:tcPr>
            <w:tcW w:w="3120" w:type="dxa"/>
            <w:shd w:val="clear" w:color="auto" w:fill="F5F5F5"/>
          </w:tcPr>
          <w:p w14:paraId="33AE1E5B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CI/CD pipeline deployment per team; automated testing framework (unit, integration, regression); PR gates and protected branch configuration; merge automation guardrails with mandatory human review thresholds</w:t>
            </w:r>
          </w:p>
        </w:tc>
      </w:tr>
      <w:tr w:rsidR="00CE7B97" w14:paraId="1C69CA16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096CB51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lastRenderedPageBreak/>
              <w:t>DevOps Specialist 2 (Observability &amp; IaC)</w:t>
            </w:r>
          </w:p>
        </w:tc>
        <w:tc>
          <w:tcPr>
            <w:tcW w:w="3120" w:type="dxa"/>
          </w:tcPr>
          <w:p w14:paraId="1402C75B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12-24 weeks</w:t>
            </w:r>
          </w:p>
        </w:tc>
        <w:tc>
          <w:tcPr>
            <w:tcW w:w="3120" w:type="dxa"/>
          </w:tcPr>
          <w:p w14:paraId="49A6BB3C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Infrastructure-as-code for deployment environments; AI acceptance rate and code quality instrumentation; governance signal feeds into Power BI dashboards; token guardrail alerts; agent CI/CD integration</w:t>
            </w:r>
          </w:p>
        </w:tc>
      </w:tr>
    </w:tbl>
    <w:p w14:paraId="217A66F1" w14:textId="77777777" w:rsidR="00CE7B97" w:rsidRDefault="00CE7B97">
      <w:pPr>
        <w:rPr>
          <w:rFonts w:hint="eastAsia"/>
        </w:rPr>
      </w:pPr>
    </w:p>
    <w:p w14:paraId="6FCBE0D2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What the DevOps Team Builds</w:t>
      </w:r>
    </w:p>
    <w:p w14:paraId="7B7CDE1C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CI/CD pipelines: automated build, test, and deploy pipelines for DLP cohort teams using AI-assisted Terraform. Teams leaving the DLP without this infrastructure cannot sustain their productivity gains.</w:t>
      </w:r>
    </w:p>
    <w:p w14:paraId="0061C1C0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Automated testing framework: unit, integration, and regression test suites configured before Wave 1 cohorts go live. This is the verification layer that makes AI acceptance rates meaningful.</w:t>
      </w:r>
    </w:p>
    <w:p w14:paraId="415293AE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AI acceptance rate instrumentation: tooling that surfaces per-developer and per-team acceptance rates, reliance signals, and spend-to-output ratios into governance dashboards.</w:t>
      </w:r>
    </w:p>
    <w:p w14:paraId="17F84525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Agent CI/CD integration: tested prompts and agents promoted through the agent repository are automatically evaluated on deploy; performance regressions fail the pipeline before they reach teams.</w:t>
      </w:r>
    </w:p>
    <w:p w14:paraId="2A815085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Token cost guardrails: configures alerts and spending controls for GitHub Copilot, Claude, and Microsoft Copilot.</w:t>
      </w:r>
    </w:p>
    <w:p w14:paraId="3DFABB02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Engagement Phasing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112"/>
        <w:gridCol w:w="3113"/>
        <w:gridCol w:w="3115"/>
      </w:tblGrid>
      <w:tr w:rsidR="00CE7B97" w14:paraId="6DAF9CD0" w14:textId="77777777" w:rsidTr="00CE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5596"/>
          </w:tcPr>
          <w:p w14:paraId="56E51A83" w14:textId="77777777" w:rsidR="00CE7B97" w:rsidRDefault="00000000">
            <w:pPr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Weeks</w:t>
            </w:r>
          </w:p>
        </w:tc>
        <w:tc>
          <w:tcPr>
            <w:tcW w:w="3120" w:type="dxa"/>
            <w:shd w:val="clear" w:color="auto" w:fill="005596"/>
          </w:tcPr>
          <w:p w14:paraId="2E36E4D0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Phase</w:t>
            </w:r>
          </w:p>
        </w:tc>
        <w:tc>
          <w:tcPr>
            <w:tcW w:w="3120" w:type="dxa"/>
            <w:shd w:val="clear" w:color="auto" w:fill="005596"/>
          </w:tcPr>
          <w:p w14:paraId="0AF4D582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Activity</w:t>
            </w:r>
          </w:p>
        </w:tc>
      </w:tr>
      <w:tr w:rsidR="00CE7B97" w14:paraId="7633B01D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5F5F5"/>
          </w:tcPr>
          <w:p w14:paraId="051FC76F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1-4</w:t>
            </w:r>
          </w:p>
        </w:tc>
        <w:tc>
          <w:tcPr>
            <w:tcW w:w="3120" w:type="dxa"/>
            <w:shd w:val="clear" w:color="auto" w:fill="F5F5F5"/>
          </w:tcPr>
          <w:p w14:paraId="2F32A825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Assessment</w:t>
            </w:r>
          </w:p>
        </w:tc>
        <w:tc>
          <w:tcPr>
            <w:tcW w:w="3120" w:type="dxa"/>
            <w:shd w:val="clear" w:color="auto" w:fill="F5F5F5"/>
          </w:tcPr>
          <w:p w14:paraId="45695D78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Current-state CI/CD audit per team; testing coverage baseline; IaC gap analysis; prioritized build list for Wave 1 readiness</w:t>
            </w:r>
          </w:p>
        </w:tc>
      </w:tr>
      <w:tr w:rsidR="00CE7B97" w14:paraId="6EDDDB66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7F83B7A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5-12</w:t>
            </w:r>
          </w:p>
        </w:tc>
        <w:tc>
          <w:tcPr>
            <w:tcW w:w="3120" w:type="dxa"/>
          </w:tcPr>
          <w:p w14:paraId="490E8339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Build (Wave 1 Prep)</w:t>
            </w:r>
          </w:p>
        </w:tc>
        <w:tc>
          <w:tcPr>
            <w:tcW w:w="3120" w:type="dxa"/>
          </w:tcPr>
          <w:p w14:paraId="4CCCFB9F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 xml:space="preserve">CI/CD pipelines deployed for Wave 1 cohort teams; automated testing frameworks live; acceptance rate </w:t>
            </w:r>
            <w:r>
              <w:rPr>
                <w:rFonts w:cs="Khula"/>
              </w:rPr>
              <w:lastRenderedPageBreak/>
              <w:t>instrumentation active before first cohort day one</w:t>
            </w:r>
          </w:p>
        </w:tc>
      </w:tr>
      <w:tr w:rsidR="00CE7B97" w14:paraId="4D69E885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5F5F5"/>
          </w:tcPr>
          <w:p w14:paraId="5036D3B0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lastRenderedPageBreak/>
              <w:t>13-20</w:t>
            </w:r>
          </w:p>
        </w:tc>
        <w:tc>
          <w:tcPr>
            <w:tcW w:w="3120" w:type="dxa"/>
            <w:shd w:val="clear" w:color="auto" w:fill="F5F5F5"/>
          </w:tcPr>
          <w:p w14:paraId="6263D589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Extend (Wave 1 Run)</w:t>
            </w:r>
          </w:p>
        </w:tc>
        <w:tc>
          <w:tcPr>
            <w:tcW w:w="3120" w:type="dxa"/>
            <w:shd w:val="clear" w:color="auto" w:fill="F5F5F5"/>
          </w:tcPr>
          <w:p w14:paraId="2B03D75E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Remaining teams onboarded; agent CI/CD integration; token guardrails and cost monitoring live; governance signal feeds into dashboards</w:t>
            </w:r>
          </w:p>
        </w:tc>
      </w:tr>
      <w:tr w:rsidR="00CE7B97" w14:paraId="2B72F462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30A1912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21-24</w:t>
            </w:r>
          </w:p>
        </w:tc>
        <w:tc>
          <w:tcPr>
            <w:tcW w:w="3120" w:type="dxa"/>
          </w:tcPr>
          <w:p w14:paraId="6570B0D0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Handoff (Optional)</w:t>
            </w:r>
          </w:p>
        </w:tc>
        <w:tc>
          <w:tcPr>
            <w:tcW w:w="3120" w:type="dxa"/>
          </w:tcPr>
          <w:p w14:paraId="2F3BFD58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IaC templates and runbooks transferred to Foot Locker platform team; pipeline templates published to internal repository; Improving in advisory role only</w:t>
            </w:r>
          </w:p>
        </w:tc>
      </w:tr>
    </w:tbl>
    <w:p w14:paraId="74161E27" w14:textId="77777777" w:rsidR="00CE7B97" w:rsidRDefault="00CE7B97">
      <w:pPr>
        <w:rPr>
          <w:rFonts w:hint="eastAsia"/>
        </w:rPr>
      </w:pPr>
    </w:p>
    <w:p w14:paraId="0F8FB41C" w14:textId="77777777" w:rsidR="00CE7B97" w:rsidRPr="005D144B" w:rsidRDefault="00000000">
      <w:pPr>
        <w:pBdr>
          <w:bottom w:val="single" w:sz="16" w:space="2" w:color="5BC2A7"/>
        </w:pBdr>
        <w:spacing w:before="360"/>
        <w:rPr>
          <w:rFonts w:hint="eastAsia"/>
          <w:sz w:val="20"/>
          <w:szCs w:val="21"/>
        </w:rPr>
      </w:pPr>
      <w:r w:rsidRPr="005D144B">
        <w:rPr>
          <w:rFonts w:ascii="Poppins" w:hAnsi="Poppins" w:cs="Poppins"/>
          <w:b/>
          <w:color w:val="005596"/>
          <w:sz w:val="44"/>
          <w:szCs w:val="21"/>
        </w:rPr>
        <w:t>Data &amp; Compliance Enablement Team</w:t>
      </w:r>
    </w:p>
    <w:p w14:paraId="16FD45E7" w14:textId="77777777" w:rsidR="00CE7B97" w:rsidRDefault="00000000">
      <w:pPr>
        <w:rPr>
          <w:rFonts w:hint="eastAsia"/>
        </w:rPr>
      </w:pPr>
      <w:r>
        <w:rPr>
          <w:rFonts w:cs="Khula"/>
        </w:rPr>
        <w:t>Foot Locker operates under PCI DSS, SOX, and GDPR. As AI is introduced into the SDLC, passive compliance — end-of-cycle audits — does not catch AI-generated code that introduces scope creep, credential mishandling, or audit trail gaps. The Data &amp; Compliance team makes compliance active and continuous across all three frameworks.</w:t>
      </w:r>
    </w:p>
    <w:p w14:paraId="0D6F7D72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Team Composition</w:t>
      </w:r>
    </w:p>
    <w:p w14:paraId="092C3FAE" w14:textId="77777777" w:rsidR="00CE7B97" w:rsidRDefault="00000000">
      <w:pPr>
        <w:rPr>
          <w:rFonts w:hint="eastAsia"/>
        </w:rPr>
      </w:pPr>
      <w:r>
        <w:rPr>
          <w:rFonts w:cs="Khula"/>
        </w:rPr>
        <w:t>Improving provides two dedicated BI/Data engineers for 16 weeks, embedded alongside the program's governance framework build-out. These are practitioners building the infrastructure that makes AI adoption safe at Foot Locker's scale.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114"/>
        <w:gridCol w:w="3112"/>
        <w:gridCol w:w="3114"/>
      </w:tblGrid>
      <w:tr w:rsidR="00CE7B97" w14:paraId="37969D3C" w14:textId="77777777" w:rsidTr="00CE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5596"/>
          </w:tcPr>
          <w:p w14:paraId="0193B1B5" w14:textId="77777777" w:rsidR="00CE7B97" w:rsidRDefault="00000000">
            <w:pPr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Role</w:t>
            </w:r>
          </w:p>
        </w:tc>
        <w:tc>
          <w:tcPr>
            <w:tcW w:w="3120" w:type="dxa"/>
            <w:shd w:val="clear" w:color="auto" w:fill="005596"/>
          </w:tcPr>
          <w:p w14:paraId="1A1528C6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Duration</w:t>
            </w:r>
          </w:p>
        </w:tc>
        <w:tc>
          <w:tcPr>
            <w:tcW w:w="3120" w:type="dxa"/>
            <w:shd w:val="clear" w:color="auto" w:fill="005596"/>
          </w:tcPr>
          <w:p w14:paraId="38C9FA5D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Deliverables</w:t>
            </w:r>
          </w:p>
        </w:tc>
      </w:tr>
      <w:tr w:rsidR="00CE7B97" w14:paraId="2F0EFADC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5F5F5"/>
          </w:tcPr>
          <w:p w14:paraId="281AE80E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BI/Data Engineer 1 (Governance)</w:t>
            </w:r>
          </w:p>
        </w:tc>
        <w:tc>
          <w:tcPr>
            <w:tcW w:w="3120" w:type="dxa"/>
            <w:shd w:val="clear" w:color="auto" w:fill="F5F5F5"/>
          </w:tcPr>
          <w:p w14:paraId="2B453216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16 weeks</w:t>
            </w:r>
          </w:p>
        </w:tc>
        <w:tc>
          <w:tcPr>
            <w:tcW w:w="3120" w:type="dxa"/>
            <w:shd w:val="clear" w:color="auto" w:fill="F5F5F5"/>
          </w:tcPr>
          <w:p w14:paraId="189F3708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PCI-active and SOX-aware agent framework; compliance signal dashboards on Fabric/Power BI; agent acceptance and reliance tracking; spend-to-output monitoring; agent promotion governance process</w:t>
            </w:r>
          </w:p>
        </w:tc>
      </w:tr>
      <w:tr w:rsidR="00CE7B97" w14:paraId="6309A708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CBA924D" w14:textId="798C1C36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lastRenderedPageBreak/>
              <w:t xml:space="preserve">BI/Data Engineer 2 </w:t>
            </w:r>
            <w:r w:rsidR="005D144B">
              <w:rPr>
                <w:rFonts w:cs="Khula"/>
                <w:b w:val="0"/>
              </w:rPr>
              <w:br/>
            </w:r>
            <w:r>
              <w:rPr>
                <w:rFonts w:cs="Khula"/>
                <w:b w:val="0"/>
              </w:rPr>
              <w:t>(Data Compliance)</w:t>
            </w:r>
          </w:p>
        </w:tc>
        <w:tc>
          <w:tcPr>
            <w:tcW w:w="3120" w:type="dxa"/>
          </w:tcPr>
          <w:p w14:paraId="4C8B7FA5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16 weeks</w:t>
            </w:r>
          </w:p>
        </w:tc>
        <w:tc>
          <w:tcPr>
            <w:tcW w:w="3120" w:type="dxa"/>
          </w:tcPr>
          <w:p w14:paraId="1EACB788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PCI + SOX scope boundary mapping; data classification agent integration; zero-retention policy enforcement tooling; SOX-traceable audit artifact generation for AI-assisted PRs; GDPR data residency controls</w:t>
            </w:r>
          </w:p>
        </w:tc>
      </w:tr>
    </w:tbl>
    <w:p w14:paraId="0459DAD1" w14:textId="77777777" w:rsidR="00CE7B97" w:rsidRDefault="00CE7B97">
      <w:pPr>
        <w:rPr>
          <w:rFonts w:hint="eastAsia"/>
        </w:rPr>
      </w:pPr>
    </w:p>
    <w:p w14:paraId="062C2F8A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What the Data &amp; Compliance Team Builds</w:t>
      </w:r>
    </w:p>
    <w:p w14:paraId="682869AB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PCI-active agent in the SDLC: runs on every commit touching PCI-scope code, flags issues inline rather than at audit time. Prevents AI-generated code from silently introducing out-of-scope data handling.</w:t>
      </w:r>
    </w:p>
    <w:p w14:paraId="716AA939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SOX audit trail generation: every AI-assisted code change carries a traceable attribution record. AI-generated contributions are tagged at the commit level to satisfy SOX change management controls and support auditor review.</w:t>
      </w:r>
    </w:p>
    <w:p w14:paraId="23EAE353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Data classification layer: classifies data across AI tool call chains (Copilot, Claude, GitHub Copilot) to ensure PII, cardholder data, and SOX-sensitive systems data is never passed to models without proper controls.</w:t>
      </w:r>
    </w:p>
    <w:p w14:paraId="051FA51F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Governance dashboards (Fabric/Power BI): real-time visibility into adoption signal, spend, acceptance rates, and code quality indicators across all active teams and cohorts.</w:t>
      </w:r>
    </w:p>
    <w:p w14:paraId="2A0E520E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Audit-ready artifact generation: automatically produces evidence records for AI-assisted PRs. Designed to satisfy PCI DSS Req. 6.x and SOX IT General Controls for software development practices.</w:t>
      </w:r>
    </w:p>
    <w:p w14:paraId="026EBAFB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Agent policy infrastructure: enforces rules on which tools can access which data environments, zero-retention configurations for PCI-scope workflows, permission scoping per team.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15"/>
      </w:tblGrid>
      <w:tr w:rsidR="00CE7B97" w14:paraId="62EE1ACD" w14:textId="77777777">
        <w:tc>
          <w:tcPr>
            <w:tcW w:w="9360" w:type="dxa"/>
            <w:tcBorders>
              <w:top w:val="nil"/>
              <w:left w:val="single" w:sz="36" w:space="0" w:color="005596"/>
              <w:bottom w:val="nil"/>
              <w:right w:val="nil"/>
            </w:tcBorders>
            <w:shd w:val="clear" w:color="auto" w:fill="F5F5F5"/>
            <w:vAlign w:val="center"/>
          </w:tcPr>
          <w:p w14:paraId="6D07E521" w14:textId="77777777" w:rsidR="00CE7B97" w:rsidRDefault="00000000">
            <w:pPr>
              <w:spacing w:before="160" w:after="160"/>
              <w:ind w:left="216"/>
              <w:rPr>
                <w:rFonts w:hint="eastAsia"/>
              </w:rPr>
            </w:pPr>
            <w:r>
              <w:rPr>
                <w:rFonts w:cs="Khula"/>
              </w:rPr>
              <w:t>The governance infrastructure should be operational before Wave 1 cohorts go live — not built after the fact. The 16-week engagement overlaps with the MVP and Wave 1 planning period by design.</w:t>
            </w:r>
          </w:p>
        </w:tc>
      </w:tr>
    </w:tbl>
    <w:p w14:paraId="638705F5" w14:textId="77777777" w:rsidR="00CE7B97" w:rsidRDefault="00CE7B97"/>
    <w:p w14:paraId="541381E2" w14:textId="77777777" w:rsidR="005D144B" w:rsidRDefault="005D144B"/>
    <w:p w14:paraId="157E7518" w14:textId="77777777" w:rsidR="005D144B" w:rsidRDefault="005D144B"/>
    <w:p w14:paraId="62B66B8D" w14:textId="77777777" w:rsidR="005D144B" w:rsidRDefault="005D144B"/>
    <w:p w14:paraId="0649B953" w14:textId="77777777" w:rsidR="005D144B" w:rsidRDefault="005D144B">
      <w:pPr>
        <w:rPr>
          <w:rFonts w:hint="eastAsia"/>
        </w:rPr>
      </w:pPr>
    </w:p>
    <w:p w14:paraId="4DFC7FE3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lastRenderedPageBreak/>
        <w:t>Phased Compliance Build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111"/>
        <w:gridCol w:w="3113"/>
        <w:gridCol w:w="3116"/>
      </w:tblGrid>
      <w:tr w:rsidR="00CE7B97" w14:paraId="1FAF7303" w14:textId="77777777" w:rsidTr="00CE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5596"/>
          </w:tcPr>
          <w:p w14:paraId="6AC31947" w14:textId="77777777" w:rsidR="00CE7B97" w:rsidRDefault="00000000">
            <w:pPr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Weeks</w:t>
            </w:r>
          </w:p>
        </w:tc>
        <w:tc>
          <w:tcPr>
            <w:tcW w:w="3120" w:type="dxa"/>
            <w:shd w:val="clear" w:color="auto" w:fill="005596"/>
          </w:tcPr>
          <w:p w14:paraId="59ADB59F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Phase</w:t>
            </w:r>
          </w:p>
        </w:tc>
        <w:tc>
          <w:tcPr>
            <w:tcW w:w="3120" w:type="dxa"/>
            <w:shd w:val="clear" w:color="auto" w:fill="005596"/>
          </w:tcPr>
          <w:p w14:paraId="781D8620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Activity</w:t>
            </w:r>
          </w:p>
        </w:tc>
      </w:tr>
      <w:tr w:rsidR="00CE7B97" w14:paraId="41EE8233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5F5F5"/>
          </w:tcPr>
          <w:p w14:paraId="28DBF775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1-4</w:t>
            </w:r>
          </w:p>
        </w:tc>
        <w:tc>
          <w:tcPr>
            <w:tcW w:w="3120" w:type="dxa"/>
            <w:shd w:val="clear" w:color="auto" w:fill="F5F5F5"/>
          </w:tcPr>
          <w:p w14:paraId="19B11447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Discovery</w:t>
            </w:r>
          </w:p>
        </w:tc>
        <w:tc>
          <w:tcPr>
            <w:tcW w:w="3120" w:type="dxa"/>
            <w:shd w:val="clear" w:color="auto" w:fill="F5F5F5"/>
          </w:tcPr>
          <w:p w14:paraId="3963BA4A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PCI scope boundary mapping; data classification audit; AI tool call chain analysis; governance dashboard requirements</w:t>
            </w:r>
          </w:p>
        </w:tc>
      </w:tr>
      <w:tr w:rsidR="00CE7B97" w14:paraId="47DF9326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05A5C8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5-8</w:t>
            </w:r>
          </w:p>
        </w:tc>
        <w:tc>
          <w:tcPr>
            <w:tcW w:w="3120" w:type="dxa"/>
          </w:tcPr>
          <w:p w14:paraId="51B5DFE4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Build</w:t>
            </w:r>
          </w:p>
        </w:tc>
        <w:tc>
          <w:tcPr>
            <w:tcW w:w="3120" w:type="dxa"/>
          </w:tcPr>
          <w:p w14:paraId="495B1FCB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PCI-active agent build and testing; data classification layer deployment; initial governance dashboards live</w:t>
            </w:r>
          </w:p>
        </w:tc>
      </w:tr>
      <w:tr w:rsidR="00CE7B97" w14:paraId="521DCA30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5F5F5"/>
          </w:tcPr>
          <w:p w14:paraId="671D01ED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9-12</w:t>
            </w:r>
          </w:p>
        </w:tc>
        <w:tc>
          <w:tcPr>
            <w:tcW w:w="3120" w:type="dxa"/>
            <w:shd w:val="clear" w:color="auto" w:fill="F5F5F5"/>
          </w:tcPr>
          <w:p w14:paraId="5EDFDB3B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Integrate</w:t>
            </w:r>
          </w:p>
        </w:tc>
        <w:tc>
          <w:tcPr>
            <w:tcW w:w="3120" w:type="dxa"/>
            <w:shd w:val="clear" w:color="auto" w:fill="F5F5F5"/>
          </w:tcPr>
          <w:p w14:paraId="4CEA431F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Agent integration with Wave 1 CI/CD pipelines; audit artifact templates deployed; acceptance/reliance tracking live</w:t>
            </w:r>
          </w:p>
        </w:tc>
      </w:tr>
      <w:tr w:rsidR="00CE7B97" w14:paraId="4E2ECC41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E269AE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13-16</w:t>
            </w:r>
          </w:p>
        </w:tc>
        <w:tc>
          <w:tcPr>
            <w:tcW w:w="3120" w:type="dxa"/>
          </w:tcPr>
          <w:p w14:paraId="17FD14AD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Operationalize</w:t>
            </w:r>
          </w:p>
        </w:tc>
        <w:tc>
          <w:tcPr>
            <w:tcW w:w="3120" w:type="dxa"/>
          </w:tcPr>
          <w:p w14:paraId="630EE9DE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Handoff to Foot Locker data/governance team; runbooks, alert configurations, policy documentation; compliance infrastructure fully transferred</w:t>
            </w:r>
          </w:p>
        </w:tc>
      </w:tr>
    </w:tbl>
    <w:p w14:paraId="745EB4F3" w14:textId="77777777" w:rsidR="00CE7B97" w:rsidRDefault="00CE7B97">
      <w:pPr>
        <w:rPr>
          <w:rFonts w:hint="eastAsia"/>
        </w:rPr>
      </w:pPr>
    </w:p>
    <w:p w14:paraId="7050B839" w14:textId="77777777" w:rsidR="00CE7B97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t>Governance Framework</w:t>
      </w:r>
    </w:p>
    <w:p w14:paraId="63B85CC3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Why Governance Is Not Optional</w:t>
      </w:r>
    </w:p>
    <w:p w14:paraId="32CBA0FF" w14:textId="77777777" w:rsidR="00CE7B97" w:rsidRDefault="00000000">
      <w:pPr>
        <w:rPr>
          <w:rFonts w:hint="eastAsia"/>
        </w:rPr>
      </w:pPr>
      <w:r>
        <w:rPr>
          <w:rFonts w:cs="Khula"/>
        </w:rPr>
        <w:t>AI governance is not an afterthought in this program — it is the mechanism that makes scaling safe. Without it, Foot Locker faces three concrete risks:</w:t>
      </w:r>
    </w:p>
    <w:p w14:paraId="48EC2FA7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Cost escalation: developers running expensive models on tasks that smaller models handle adequately. We have seen organizations spend 3-4x the necessary token cost in the first 90 days.</w:t>
      </w:r>
    </w:p>
    <w:p w14:paraId="27ECEB6B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lastRenderedPageBreak/>
        <w:t>Cognitive surrender: developers accepting 100% of AI-generated code. The current observed accuracy rate for AI code generation is approximately 87%, meaning a 100% acceptance rate is introducing roughly 13% slop into the codebase.</w:t>
      </w:r>
    </w:p>
    <w:p w14:paraId="471021DE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Compliance exposure: Foot Locker operates under PCI, SOX, and GDPR. Passive compliance checks do not catch issues introduced by AI-generated code. Active compliance agents running on every commit do.</w:t>
      </w:r>
    </w:p>
    <w:p w14:paraId="50F00BC0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Governance Components</w:t>
      </w:r>
    </w:p>
    <w:p w14:paraId="23FFB73E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Multi-tool spend dashboard (GitHub Copilot, Claude, Microsoft Copilot): monitors daily spend per user, weekend usage anomalies, spend-to-output ratios</w:t>
      </w:r>
    </w:p>
    <w:p w14:paraId="24258DFB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Adoption-to-operate signal tracking: distinguishes teams in the adoption stage (drive usage) from teams in the operate stage (drive output quality)</w:t>
      </w:r>
    </w:p>
    <w:p w14:paraId="4FC4A276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Acceptance rate and reliance rate monitoring: flags over-reliance (&gt;90% acceptance) and under-reliance (&lt;60% acceptance) as coaching triggers, not punitive measures</w:t>
      </w:r>
    </w:p>
    <w:p w14:paraId="45995F42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PCI and SOX compliance agents in SDLC: run on every commit for compliance-scope code, flag and surface issues inline rather than at audit time; SOX changes carry traceable attribution for IT General Controls</w:t>
      </w:r>
    </w:p>
    <w:p w14:paraId="27E85160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Agent promotion board: bi-weekly review with enterprise coach and EEs to evaluate team-built agents for promotion to the shared Foot Locker repository</w:t>
      </w:r>
    </w:p>
    <w:p w14:paraId="1686A705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Skills repository structure: globally true agents (compliance, security, SOX/PCI audit), domain-specific agents (C#/.NET, Java, React/Node.js), and business-specific agents (Foot Locker brand and commerce systems)</w:t>
      </w:r>
    </w:p>
    <w:p w14:paraId="46C227CF" w14:textId="77777777" w:rsidR="00CE7B97" w:rsidRDefault="00000000">
      <w:pPr>
        <w:rPr>
          <w:rFonts w:hint="eastAsia"/>
        </w:rPr>
      </w:pPr>
      <w:r>
        <w:rPr>
          <w:rFonts w:cs="Khula"/>
        </w:rPr>
        <w:t>Improving will provide governance templates built on Fabric and Power BI as a starting point, adapted from infrastructure used internally and with NRG, Siemens, and ABB.</w:t>
      </w:r>
    </w:p>
    <w:p w14:paraId="217E047F" w14:textId="77777777" w:rsidR="00CE7B97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t>Value Realization</w:t>
      </w:r>
    </w:p>
    <w:p w14:paraId="7A7F3CDF" w14:textId="77777777" w:rsidR="00CE7B97" w:rsidRDefault="00000000">
      <w:pPr>
        <w:rPr>
          <w:rFonts w:hint="eastAsia"/>
        </w:rPr>
      </w:pPr>
      <w:r>
        <w:rPr>
          <w:rFonts w:cs="Khula"/>
        </w:rPr>
        <w:t>Most AI programs cost a lot of money and never reach breakeven. The MIT, McKinsey, and University of Chicago research all find that fewer than 20% of enterprise AI programs generate positive returns. The programs that fail share a pattern: wide tooling deployment, minimal behavior change, and no measurement infrastructure. The programs that succeed are measured, coached, and applied to real work.</w:t>
      </w:r>
    </w:p>
    <w:p w14:paraId="7E4F34D0" w14:textId="77777777" w:rsidR="00CE7B97" w:rsidRDefault="00000000">
      <w:pPr>
        <w:rPr>
          <w:rFonts w:hint="eastAsia"/>
        </w:rPr>
      </w:pPr>
      <w:r>
        <w:rPr>
          <w:rFonts w:cs="Khula"/>
        </w:rPr>
        <w:t>The program investment is $7,280,700. The right frame for that number is a single question: what sustained productivity improvement across the 450-FTE developer organization is needed to recover the full investment in Year 1? The answer is 9.8% — call it 10%. Every scenario below sits above or below that threshold. The primary value lever is capacity recovery: teams complete more work in the same time, without headcount changes.</w:t>
      </w:r>
    </w:p>
    <w:p w14:paraId="3FAA0EDE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lastRenderedPageBreak/>
        <w:t>Baseline Assumptions</w:t>
      </w:r>
    </w:p>
    <w:p w14:paraId="7A092580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Developer population in scope: 450 FTE</w:t>
      </w:r>
    </w:p>
    <w:p w14:paraId="4BF08AF2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Estimated fully loaded cost per developer (salary + benefits): $165,000 / year</w:t>
      </w:r>
    </w:p>
    <w:p w14:paraId="660F51E2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Total annual developer investment: ~$74.3M</w:t>
      </w:r>
    </w:p>
    <w:p w14:paraId="74C5417C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Productivity measurement: features shipped to production at sufficient quality — not lines of code, not hours logged</w:t>
      </w:r>
    </w:p>
    <w:p w14:paraId="4E6E31F3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Baseline period: the 12 months prior to program start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15"/>
      </w:tblGrid>
      <w:tr w:rsidR="00CE7B97" w14:paraId="4A1C796E" w14:textId="77777777">
        <w:tc>
          <w:tcPr>
            <w:tcW w:w="9360" w:type="dxa"/>
            <w:tcBorders>
              <w:top w:val="nil"/>
              <w:left w:val="single" w:sz="36" w:space="0" w:color="F5BB41"/>
              <w:bottom w:val="nil"/>
              <w:right w:val="nil"/>
            </w:tcBorders>
            <w:shd w:val="clear" w:color="auto" w:fill="F5F5F5"/>
            <w:vAlign w:val="center"/>
          </w:tcPr>
          <w:p w14:paraId="747F1383" w14:textId="77777777" w:rsidR="00CE7B97" w:rsidRDefault="00000000">
            <w:pPr>
              <w:spacing w:before="160" w:after="160"/>
              <w:ind w:left="216"/>
              <w:rPr>
                <w:rFonts w:hint="eastAsia"/>
              </w:rPr>
            </w:pPr>
            <w:r>
              <w:rPr>
                <w:rFonts w:cs="Khula"/>
              </w:rPr>
              <w:t>Measuring AI productivity in lines of code is a trap. A model can generate 10,000 lines of low-quality code that creates more rework than it saves. The relevant measure is features shipped to production at quality — sprint output that actually ships, without regressions.</w:t>
            </w:r>
          </w:p>
        </w:tc>
      </w:tr>
    </w:tbl>
    <w:p w14:paraId="416B5FEE" w14:textId="77777777" w:rsidR="00CE7B97" w:rsidRDefault="00CE7B97">
      <w:pPr>
        <w:rPr>
          <w:rFonts w:hint="eastAsia"/>
        </w:rPr>
      </w:pPr>
    </w:p>
    <w:p w14:paraId="4F4C07AD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FTE Capacity Recovery Model</w:t>
      </w:r>
    </w:p>
    <w:p w14:paraId="32CF4600" w14:textId="77777777" w:rsidR="00CE7B97" w:rsidRDefault="00000000">
      <w:pPr>
        <w:rPr>
          <w:rFonts w:hint="eastAsia"/>
        </w:rPr>
      </w:pPr>
      <w:r>
        <w:rPr>
          <w:rFonts w:cs="Khula"/>
        </w:rPr>
        <w:t>At a given productivity lift, developers complete the same volume of work in less time — the freed capacity is directed elsewhere without adding headcount.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439"/>
        <w:gridCol w:w="1604"/>
        <w:gridCol w:w="1750"/>
        <w:gridCol w:w="1770"/>
        <w:gridCol w:w="1777"/>
      </w:tblGrid>
      <w:tr w:rsidR="00CE7B97" w14:paraId="443BEA56" w14:textId="77777777" w:rsidTr="00FA6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shd w:val="clear" w:color="auto" w:fill="005596"/>
          </w:tcPr>
          <w:p w14:paraId="54BD32C9" w14:textId="77777777" w:rsidR="00CE7B97" w:rsidRDefault="00000000">
            <w:pPr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Scenario</w:t>
            </w:r>
          </w:p>
        </w:tc>
        <w:tc>
          <w:tcPr>
            <w:tcW w:w="936" w:type="dxa"/>
            <w:shd w:val="clear" w:color="auto" w:fill="005596"/>
          </w:tcPr>
          <w:p w14:paraId="7952191D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Productivity Lift</w:t>
            </w:r>
          </w:p>
        </w:tc>
        <w:tc>
          <w:tcPr>
            <w:tcW w:w="1872" w:type="dxa"/>
            <w:shd w:val="clear" w:color="auto" w:fill="005596"/>
          </w:tcPr>
          <w:p w14:paraId="5D9A7468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Effective FTEs Recovered</w:t>
            </w:r>
          </w:p>
        </w:tc>
        <w:tc>
          <w:tcPr>
            <w:tcW w:w="1872" w:type="dxa"/>
            <w:shd w:val="clear" w:color="auto" w:fill="005596"/>
          </w:tcPr>
          <w:p w14:paraId="097091D3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Annualized Value</w:t>
            </w:r>
          </w:p>
        </w:tc>
        <w:tc>
          <w:tcPr>
            <w:tcW w:w="1872" w:type="dxa"/>
            <w:shd w:val="clear" w:color="auto" w:fill="005596"/>
          </w:tcPr>
          <w:p w14:paraId="3E970F8A" w14:textId="7A20FDBF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Payback on Investment</w:t>
            </w:r>
          </w:p>
        </w:tc>
      </w:tr>
      <w:tr w:rsidR="00CE7B97" w14:paraId="24F73846" w14:textId="77777777" w:rsidTr="00FA6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shd w:val="clear" w:color="auto" w:fill="F5F5F5"/>
          </w:tcPr>
          <w:p w14:paraId="4999D0D7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Breakeven</w:t>
            </w:r>
          </w:p>
        </w:tc>
        <w:tc>
          <w:tcPr>
            <w:tcW w:w="936" w:type="dxa"/>
            <w:shd w:val="clear" w:color="auto" w:fill="F5F5F5"/>
          </w:tcPr>
          <w:p w14:paraId="2CED9BA7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~10%</w:t>
            </w:r>
          </w:p>
        </w:tc>
        <w:tc>
          <w:tcPr>
            <w:tcW w:w="1872" w:type="dxa"/>
            <w:shd w:val="clear" w:color="auto" w:fill="F5F5F5"/>
          </w:tcPr>
          <w:p w14:paraId="32791D73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~45 FTEs</w:t>
            </w:r>
          </w:p>
        </w:tc>
        <w:tc>
          <w:tcPr>
            <w:tcW w:w="1872" w:type="dxa"/>
            <w:shd w:val="clear" w:color="auto" w:fill="F5F5F5"/>
          </w:tcPr>
          <w:p w14:paraId="6B6B9F10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~$7.4M</w:t>
            </w:r>
          </w:p>
        </w:tc>
        <w:tc>
          <w:tcPr>
            <w:tcW w:w="1872" w:type="dxa"/>
            <w:shd w:val="clear" w:color="auto" w:fill="F5F5F5"/>
          </w:tcPr>
          <w:p w14:paraId="1AC2244C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~12 months</w:t>
            </w:r>
          </w:p>
        </w:tc>
      </w:tr>
      <w:tr w:rsidR="00CE7B97" w14:paraId="23AD1874" w14:textId="77777777" w:rsidTr="00FA63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B36A5E7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Conservative (sub-breakeven)</w:t>
            </w:r>
          </w:p>
        </w:tc>
        <w:tc>
          <w:tcPr>
            <w:tcW w:w="936" w:type="dxa"/>
          </w:tcPr>
          <w:p w14:paraId="3A876BE8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5%</w:t>
            </w:r>
          </w:p>
        </w:tc>
        <w:tc>
          <w:tcPr>
            <w:tcW w:w="1872" w:type="dxa"/>
          </w:tcPr>
          <w:p w14:paraId="784366B7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~23 FTEs</w:t>
            </w:r>
          </w:p>
        </w:tc>
        <w:tc>
          <w:tcPr>
            <w:tcW w:w="1872" w:type="dxa"/>
          </w:tcPr>
          <w:p w14:paraId="4CC8669A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~$3.7M</w:t>
            </w:r>
          </w:p>
        </w:tc>
        <w:tc>
          <w:tcPr>
            <w:tcW w:w="1872" w:type="dxa"/>
          </w:tcPr>
          <w:p w14:paraId="3F14FFFB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~24 months</w:t>
            </w:r>
          </w:p>
        </w:tc>
      </w:tr>
      <w:tr w:rsidR="00CE7B97" w14:paraId="0149AF98" w14:textId="77777777" w:rsidTr="00FA6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  <w:shd w:val="clear" w:color="auto" w:fill="F5F5F5"/>
          </w:tcPr>
          <w:p w14:paraId="428FCC91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In-program (1 EE/team)</w:t>
            </w:r>
          </w:p>
        </w:tc>
        <w:tc>
          <w:tcPr>
            <w:tcW w:w="936" w:type="dxa"/>
            <w:shd w:val="clear" w:color="auto" w:fill="F5F5F5"/>
          </w:tcPr>
          <w:p w14:paraId="21A7B9E2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11-18%</w:t>
            </w:r>
          </w:p>
        </w:tc>
        <w:tc>
          <w:tcPr>
            <w:tcW w:w="1872" w:type="dxa"/>
            <w:shd w:val="clear" w:color="auto" w:fill="F5F5F5"/>
          </w:tcPr>
          <w:p w14:paraId="3A92D976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~50-81 FTEs</w:t>
            </w:r>
          </w:p>
        </w:tc>
        <w:tc>
          <w:tcPr>
            <w:tcW w:w="1872" w:type="dxa"/>
            <w:shd w:val="clear" w:color="auto" w:fill="F5F5F5"/>
          </w:tcPr>
          <w:p w14:paraId="2EAD4CD9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$8.2-13.4M</w:t>
            </w:r>
          </w:p>
        </w:tc>
        <w:tc>
          <w:tcPr>
            <w:tcW w:w="1872" w:type="dxa"/>
            <w:shd w:val="clear" w:color="auto" w:fill="F5F5F5"/>
          </w:tcPr>
          <w:p w14:paraId="4969F786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7-11 months</w:t>
            </w:r>
          </w:p>
        </w:tc>
      </w:tr>
      <w:tr w:rsidR="00CE7B97" w14:paraId="213CFD60" w14:textId="77777777" w:rsidTr="00FA63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2E1FA84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Post-program (6-12 months)</w:t>
            </w:r>
          </w:p>
        </w:tc>
        <w:tc>
          <w:tcPr>
            <w:tcW w:w="936" w:type="dxa"/>
          </w:tcPr>
          <w:p w14:paraId="32545872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20-30%</w:t>
            </w:r>
          </w:p>
        </w:tc>
        <w:tc>
          <w:tcPr>
            <w:tcW w:w="1872" w:type="dxa"/>
          </w:tcPr>
          <w:p w14:paraId="68D1DF1E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~90-135 FTEs</w:t>
            </w:r>
          </w:p>
        </w:tc>
        <w:tc>
          <w:tcPr>
            <w:tcW w:w="1872" w:type="dxa"/>
          </w:tcPr>
          <w:p w14:paraId="56698150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$14.9-22.3M</w:t>
            </w:r>
          </w:p>
        </w:tc>
        <w:tc>
          <w:tcPr>
            <w:tcW w:w="1872" w:type="dxa"/>
          </w:tcPr>
          <w:p w14:paraId="2892C284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4-6 months</w:t>
            </w:r>
          </w:p>
        </w:tc>
      </w:tr>
    </w:tbl>
    <w:p w14:paraId="3BD100ED" w14:textId="77777777" w:rsidR="00CE7B97" w:rsidRDefault="00CE7B97">
      <w:pPr>
        <w:rPr>
          <w:rFonts w:hint="eastAsia"/>
        </w:rPr>
      </w:pPr>
    </w:p>
    <w:p w14:paraId="5C1D4EA6" w14:textId="77777777" w:rsidR="00CE7B97" w:rsidRDefault="00000000">
      <w:pPr>
        <w:rPr>
          <w:rFonts w:hint="eastAsia"/>
        </w:rPr>
      </w:pPr>
      <w:r>
        <w:rPr>
          <w:rFonts w:cs="Khula"/>
        </w:rPr>
        <w:t xml:space="preserve">Improving has completed more than a dozen DLPs. Observed productivity outcomes vary directly with the embedded engineer ratio. At First United Bank (Dallas), one embedded engineer coaches 24 developers across three teams — a budget-constrained 1:24 configuration. That ratio consistently yields 3-7% velocity improvement by program end. The EWN engagement (Dallas, Microsoft stack, Claude subscriptions) tracks the same pattern. The Foot Locker model proposes one embedded engineer per team — a 1:8 configuration — which is the ratio that produces 11-18% in-program velocity improvement in engagements where it is maintained. Post-program, teams that </w:t>
      </w:r>
      <w:r>
        <w:rPr>
          <w:rFonts w:cs="Khula"/>
        </w:rPr>
        <w:lastRenderedPageBreak/>
        <w:t>continue building on the agent patterns and established habits reach 20-30% productivity gain at the 6-12 month mark.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15"/>
      </w:tblGrid>
      <w:tr w:rsidR="00CE7B97" w14:paraId="3D311C9E" w14:textId="77777777">
        <w:tc>
          <w:tcPr>
            <w:tcW w:w="9360" w:type="dxa"/>
            <w:tcBorders>
              <w:top w:val="nil"/>
              <w:left w:val="single" w:sz="36" w:space="0" w:color="5BC2A7"/>
              <w:bottom w:val="nil"/>
              <w:right w:val="nil"/>
            </w:tcBorders>
            <w:shd w:val="clear" w:color="auto" w:fill="F5F5F5"/>
            <w:vAlign w:val="center"/>
          </w:tcPr>
          <w:p w14:paraId="6B5F2C3D" w14:textId="77777777" w:rsidR="00CE7B97" w:rsidRDefault="00000000">
            <w:pPr>
              <w:spacing w:before="160" w:after="160"/>
              <w:ind w:left="216"/>
              <w:rPr>
                <w:rFonts w:hint="eastAsia"/>
              </w:rPr>
            </w:pPr>
            <w:r>
              <w:rPr>
                <w:rFonts w:cs="Khula"/>
              </w:rPr>
              <w:t>At the proposed 1-EE-per-team structure, Improving DLP engagements observe 11-18% velocity improvement during the active 12-week program — above the 9.8% breakeven threshold. At 6-12 months post-program, teams compound on agent patterns and reach 20-30% productivity gain. The investment pays back within the program period at the expected lift range. Post-program compounding is upside, not the thesis.</w:t>
            </w:r>
          </w:p>
        </w:tc>
      </w:tr>
    </w:tbl>
    <w:p w14:paraId="2023A800" w14:textId="77777777" w:rsidR="00CE7B97" w:rsidRDefault="00CE7B97">
      <w:pPr>
        <w:rPr>
          <w:rFonts w:hint="eastAsia"/>
        </w:rPr>
      </w:pPr>
    </w:p>
    <w:p w14:paraId="12F0D03C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What Drives Adoption (and What Kills It)</w:t>
      </w:r>
    </w:p>
    <w:p w14:paraId="3B71452B" w14:textId="77777777" w:rsidR="00CE7B97" w:rsidRDefault="00000000">
      <w:pPr>
        <w:rPr>
          <w:rFonts w:hint="eastAsia"/>
        </w:rPr>
      </w:pPr>
      <w:r>
        <w:rPr>
          <w:rFonts w:cs="Khula"/>
        </w:rPr>
        <w:t>The failure mode is almost always people, not tools. Specifically:</w:t>
      </w:r>
    </w:p>
    <w:p w14:paraId="03776561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Senior developers are the highest long-term multipliers. They are also the slowest early adopters. They have spent years developing craft, and AI feels like it cheapens it. Getting them to change behavior requires a different conversation than the one that works for junior developers.</w:t>
      </w:r>
    </w:p>
    <w:p w14:paraId="1678FD27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If leadership is not visibly using and endorsing the tools, adoption craters after the training ends. Programs that do not activate sponsors at the exec level end up at under 20% daily usage.</w:t>
      </w:r>
    </w:p>
    <w:p w14:paraId="3A947C83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Acceptance rate signals are early indicators. An 87% acceptance rate means the developer is reviewing and editing AI output appropriately. 99%+ means cognitive surrender. Both extremes require coaching, not technology fixes.</w:t>
      </w:r>
    </w:p>
    <w:p w14:paraId="6D798208" w14:textId="77777777" w:rsidR="00CE7B97" w:rsidRDefault="00000000">
      <w:pPr>
        <w:rPr>
          <w:rFonts w:hint="eastAsia"/>
        </w:rPr>
      </w:pPr>
      <w:r>
        <w:rPr>
          <w:rFonts w:cs="Khula"/>
        </w:rPr>
        <w:t>This is why the enterprise coach exists and why the embedded engineers stay for the full 12 weeks. Classroom training changes knowledge; presence in the sprint changes behavior.</w:t>
      </w:r>
    </w:p>
    <w:p w14:paraId="697E61F1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Productivity Lift Scenarios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65"/>
        <w:gridCol w:w="1869"/>
        <w:gridCol w:w="1866"/>
      </w:tblGrid>
      <w:tr w:rsidR="00CE7B97" w14:paraId="0E4A98F8" w14:textId="77777777" w:rsidTr="00CE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05596"/>
          </w:tcPr>
          <w:p w14:paraId="3080501D" w14:textId="77777777" w:rsidR="00CE7B97" w:rsidRDefault="00000000">
            <w:pPr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Scenario</w:t>
            </w:r>
          </w:p>
        </w:tc>
        <w:tc>
          <w:tcPr>
            <w:tcW w:w="1872" w:type="dxa"/>
            <w:shd w:val="clear" w:color="auto" w:fill="005596"/>
          </w:tcPr>
          <w:p w14:paraId="458E4226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Productivity Lift</w:t>
            </w:r>
          </w:p>
        </w:tc>
        <w:tc>
          <w:tcPr>
            <w:tcW w:w="1872" w:type="dxa"/>
            <w:shd w:val="clear" w:color="auto" w:fill="005596"/>
          </w:tcPr>
          <w:p w14:paraId="7D8C8EEE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Annual Gain</w:t>
            </w:r>
          </w:p>
        </w:tc>
        <w:tc>
          <w:tcPr>
            <w:tcW w:w="1872" w:type="dxa"/>
            <w:shd w:val="clear" w:color="auto" w:fill="005596"/>
          </w:tcPr>
          <w:p w14:paraId="14544C94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3-Year Cumulative</w:t>
            </w:r>
          </w:p>
        </w:tc>
        <w:tc>
          <w:tcPr>
            <w:tcW w:w="1872" w:type="dxa"/>
            <w:shd w:val="clear" w:color="auto" w:fill="005596"/>
          </w:tcPr>
          <w:p w14:paraId="010A96DF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3-Year Multiple on $7.28M</w:t>
            </w:r>
          </w:p>
        </w:tc>
      </w:tr>
      <w:tr w:rsidR="00CE7B97" w14:paraId="3B7AE470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F5F5F5"/>
          </w:tcPr>
          <w:p w14:paraId="5EDB1F29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Breakeven</w:t>
            </w:r>
          </w:p>
        </w:tc>
        <w:tc>
          <w:tcPr>
            <w:tcW w:w="1872" w:type="dxa"/>
            <w:shd w:val="clear" w:color="auto" w:fill="F5F5F5"/>
          </w:tcPr>
          <w:p w14:paraId="17474EA9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~10%</w:t>
            </w:r>
          </w:p>
        </w:tc>
        <w:tc>
          <w:tcPr>
            <w:tcW w:w="1872" w:type="dxa"/>
            <w:shd w:val="clear" w:color="auto" w:fill="F5F5F5"/>
          </w:tcPr>
          <w:p w14:paraId="25A174B3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~$7.4M</w:t>
            </w:r>
          </w:p>
        </w:tc>
        <w:tc>
          <w:tcPr>
            <w:tcW w:w="1872" w:type="dxa"/>
            <w:shd w:val="clear" w:color="auto" w:fill="F5F5F5"/>
          </w:tcPr>
          <w:p w14:paraId="3E06BF8F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~$22.3M</w:t>
            </w:r>
          </w:p>
        </w:tc>
        <w:tc>
          <w:tcPr>
            <w:tcW w:w="1872" w:type="dxa"/>
            <w:shd w:val="clear" w:color="auto" w:fill="F5F5F5"/>
          </w:tcPr>
          <w:p w14:paraId="23EFA432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3.1x</w:t>
            </w:r>
          </w:p>
        </w:tc>
      </w:tr>
      <w:tr w:rsidR="00CE7B97" w14:paraId="33EA14BE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49A6118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In-program, DLP model (1 EE/team)</w:t>
            </w:r>
          </w:p>
        </w:tc>
        <w:tc>
          <w:tcPr>
            <w:tcW w:w="1872" w:type="dxa"/>
          </w:tcPr>
          <w:p w14:paraId="618BCFB3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11-18%</w:t>
            </w:r>
          </w:p>
        </w:tc>
        <w:tc>
          <w:tcPr>
            <w:tcW w:w="1872" w:type="dxa"/>
          </w:tcPr>
          <w:p w14:paraId="4BABFB24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$8.2-13.4M</w:t>
            </w:r>
          </w:p>
        </w:tc>
        <w:tc>
          <w:tcPr>
            <w:tcW w:w="1872" w:type="dxa"/>
          </w:tcPr>
          <w:p w14:paraId="1FCE6A3F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$24.5-40.1M</w:t>
            </w:r>
          </w:p>
        </w:tc>
        <w:tc>
          <w:tcPr>
            <w:tcW w:w="1872" w:type="dxa"/>
          </w:tcPr>
          <w:p w14:paraId="4CCEC861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3.4-5.5x</w:t>
            </w:r>
          </w:p>
        </w:tc>
      </w:tr>
      <w:tr w:rsidR="00CE7B97" w14:paraId="1D873120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F5F5F5"/>
          </w:tcPr>
          <w:p w14:paraId="362A9F41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lastRenderedPageBreak/>
              <w:t>Post-program compounding (6-12 mo)</w:t>
            </w:r>
          </w:p>
        </w:tc>
        <w:tc>
          <w:tcPr>
            <w:tcW w:w="1872" w:type="dxa"/>
            <w:shd w:val="clear" w:color="auto" w:fill="F5F5F5"/>
          </w:tcPr>
          <w:p w14:paraId="1C2C5F7A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20-30%</w:t>
            </w:r>
          </w:p>
        </w:tc>
        <w:tc>
          <w:tcPr>
            <w:tcW w:w="1872" w:type="dxa"/>
            <w:shd w:val="clear" w:color="auto" w:fill="F5F5F5"/>
          </w:tcPr>
          <w:p w14:paraId="6D577D25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$14.9-22.3M</w:t>
            </w:r>
          </w:p>
        </w:tc>
        <w:tc>
          <w:tcPr>
            <w:tcW w:w="1872" w:type="dxa"/>
            <w:shd w:val="clear" w:color="auto" w:fill="F5F5F5"/>
          </w:tcPr>
          <w:p w14:paraId="5068ECA0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$44.6-66.8M</w:t>
            </w:r>
          </w:p>
        </w:tc>
        <w:tc>
          <w:tcPr>
            <w:tcW w:w="1872" w:type="dxa"/>
            <w:shd w:val="clear" w:color="auto" w:fill="F5F5F5"/>
          </w:tcPr>
          <w:p w14:paraId="644A9D73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6.1-9.2x</w:t>
            </w:r>
          </w:p>
        </w:tc>
      </w:tr>
      <w:tr w:rsidR="00CE7B97" w14:paraId="6800CBE6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6746520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Full program, 70% adoption, 12 months</w:t>
            </w:r>
          </w:p>
        </w:tc>
        <w:tc>
          <w:tcPr>
            <w:tcW w:w="1872" w:type="dxa"/>
          </w:tcPr>
          <w:p w14:paraId="1A5867ED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30%</w:t>
            </w:r>
          </w:p>
        </w:tc>
        <w:tc>
          <w:tcPr>
            <w:tcW w:w="1872" w:type="dxa"/>
          </w:tcPr>
          <w:p w14:paraId="4C97A6C5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$22.3M</w:t>
            </w:r>
          </w:p>
        </w:tc>
        <w:tc>
          <w:tcPr>
            <w:tcW w:w="1872" w:type="dxa"/>
          </w:tcPr>
          <w:p w14:paraId="70E5ABD4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$66.8M</w:t>
            </w:r>
          </w:p>
        </w:tc>
        <w:tc>
          <w:tcPr>
            <w:tcW w:w="1872" w:type="dxa"/>
          </w:tcPr>
          <w:p w14:paraId="35FDE32B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9.2x</w:t>
            </w:r>
          </w:p>
        </w:tc>
      </w:tr>
    </w:tbl>
    <w:p w14:paraId="019B2A40" w14:textId="77777777" w:rsidR="00CE7B97" w:rsidRDefault="00CE7B97">
      <w:pPr>
        <w:rPr>
          <w:rFonts w:hint="eastAsia"/>
        </w:rPr>
      </w:pPr>
    </w:p>
    <w:p w14:paraId="38B077BF" w14:textId="77777777" w:rsidR="00CE7B97" w:rsidRDefault="00000000">
      <w:pPr>
        <w:rPr>
          <w:rFonts w:hint="eastAsia"/>
        </w:rPr>
      </w:pPr>
      <w:r>
        <w:rPr>
          <w:rFonts w:cs="Khula"/>
        </w:rPr>
        <w:t>These are capacity recovery scenarios — not headcount reduction. Foot Locker's stated goal is to build more, ship faster, and carry less maintenance burden with the same team.</w:t>
      </w:r>
    </w:p>
    <w:p w14:paraId="64EEB174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Timeline to Value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670"/>
        <w:gridCol w:w="4670"/>
      </w:tblGrid>
      <w:tr w:rsidR="00CE7B97" w14:paraId="7D7FC280" w14:textId="77777777" w:rsidTr="00CE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005596"/>
          </w:tcPr>
          <w:p w14:paraId="341A96FE" w14:textId="77777777" w:rsidR="00CE7B97" w:rsidRDefault="00000000">
            <w:pPr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Milestone</w:t>
            </w:r>
          </w:p>
        </w:tc>
        <w:tc>
          <w:tcPr>
            <w:tcW w:w="4680" w:type="dxa"/>
            <w:shd w:val="clear" w:color="auto" w:fill="005596"/>
          </w:tcPr>
          <w:p w14:paraId="7B1F5EAB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Expected Outcome</w:t>
            </w:r>
          </w:p>
        </w:tc>
      </w:tr>
      <w:tr w:rsidR="00CE7B97" w14:paraId="4ED4D8C0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5F5F5"/>
          </w:tcPr>
          <w:p w14:paraId="2955966C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Week 12 (end of MVP)</w:t>
            </w:r>
          </w:p>
        </w:tc>
        <w:tc>
          <w:tcPr>
            <w:tcW w:w="4680" w:type="dxa"/>
            <w:shd w:val="clear" w:color="auto" w:fill="F5F5F5"/>
          </w:tcPr>
          <w:p w14:paraId="537872B1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First team at 5-15% velocity improvement; governance baseline established; executive ROI narrative with Foot Locker-specific data</w:t>
            </w:r>
          </w:p>
        </w:tc>
      </w:tr>
      <w:tr w:rsidR="00CE7B97" w14:paraId="6D0E65D7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68C1F88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Week 24 (Wave 1 mid)</w:t>
            </w:r>
          </w:p>
        </w:tc>
        <w:tc>
          <w:tcPr>
            <w:tcW w:w="4680" w:type="dxa"/>
          </w:tcPr>
          <w:p w14:paraId="58A27FD1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~120 developers active; governance dashboards live; PCI and SOX compliance agents in CI pipeline; early adoption signals available</w:t>
            </w:r>
          </w:p>
        </w:tc>
      </w:tr>
      <w:tr w:rsidR="00CE7B97" w14:paraId="385A63E2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5F5F5"/>
          </w:tcPr>
          <w:p w14:paraId="5C65DF0B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Week 28 (end of Wave 1)</w:t>
            </w:r>
          </w:p>
        </w:tc>
        <w:tc>
          <w:tcPr>
            <w:tcW w:w="4680" w:type="dxa"/>
            <w:shd w:val="clear" w:color="auto" w:fill="F5F5F5"/>
          </w:tcPr>
          <w:p w14:paraId="4B2A7F17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~240 developers through program; 30 embedded engineers available as internal trainers; skills repository populated; go/no-go for Wave 2</w:t>
            </w:r>
          </w:p>
        </w:tc>
      </w:tr>
      <w:tr w:rsidR="00CE7B97" w14:paraId="230328F6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B6965C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Week 44 (end of Wave 2)</w:t>
            </w:r>
          </w:p>
        </w:tc>
        <w:tc>
          <w:tcPr>
            <w:tcW w:w="4680" w:type="dxa"/>
          </w:tcPr>
          <w:p w14:paraId="3DB34FA4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~450 FTE developers through program; Improving-led completion; full governance and compliance infrastructure operational; agent repository active across all teams</w:t>
            </w:r>
          </w:p>
        </w:tc>
      </w:tr>
      <w:tr w:rsidR="00CE7B97" w14:paraId="2ABD2CCF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5F5F5"/>
          </w:tcPr>
          <w:p w14:paraId="4B472BCD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Month 12</w:t>
            </w:r>
          </w:p>
        </w:tc>
        <w:tc>
          <w:tcPr>
            <w:tcW w:w="4680" w:type="dxa"/>
            <w:shd w:val="clear" w:color="auto" w:fill="F5F5F5"/>
          </w:tcPr>
          <w:p w14:paraId="0468276D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Full developer population at 12%+ productivity lift; governance dashboard active; agent repository in use across all Foot Locker teams</w:t>
            </w:r>
          </w:p>
        </w:tc>
      </w:tr>
    </w:tbl>
    <w:p w14:paraId="366CBB1F" w14:textId="77777777" w:rsidR="00CE7B97" w:rsidRDefault="00CE7B97">
      <w:pPr>
        <w:rPr>
          <w:rFonts w:hint="eastAsia"/>
        </w:rPr>
      </w:pPr>
    </w:p>
    <w:p w14:paraId="04535767" w14:textId="77777777" w:rsidR="00CE7B97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lastRenderedPageBreak/>
        <w:t>Investment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15"/>
      </w:tblGrid>
      <w:tr w:rsidR="00CE7B97" w14:paraId="75ADDC6A" w14:textId="77777777">
        <w:tc>
          <w:tcPr>
            <w:tcW w:w="9360" w:type="dxa"/>
            <w:tcBorders>
              <w:top w:val="nil"/>
              <w:left w:val="single" w:sz="36" w:space="0" w:color="005596"/>
              <w:bottom w:val="nil"/>
              <w:right w:val="nil"/>
            </w:tcBorders>
            <w:shd w:val="clear" w:color="auto" w:fill="F5F5F5"/>
            <w:vAlign w:val="center"/>
          </w:tcPr>
          <w:p w14:paraId="0C4CB44E" w14:textId="77777777" w:rsidR="00CE7B97" w:rsidRDefault="00000000">
            <w:pPr>
              <w:spacing w:before="160" w:after="160"/>
              <w:ind w:left="216"/>
              <w:rPr>
                <w:rFonts w:hint="eastAsia"/>
              </w:rPr>
            </w:pPr>
            <w:r>
              <w:rPr>
                <w:rFonts w:cs="Khula"/>
              </w:rPr>
              <w:t>$7,280,700 total program investment. At 450 FTE developers and $74.3M annual developer payroll, the program requires approximately 9.8% sustained productivity improvement to recover the full investment in Year 1. The DLP model — one embedded engineer per team — targets 11-18% velocity improvement during the active 12-week program, with 20-30% at 6-12 months post-program.</w:t>
            </w:r>
          </w:p>
        </w:tc>
      </w:tr>
    </w:tbl>
    <w:p w14:paraId="29EDC4AC" w14:textId="77777777" w:rsidR="00CE7B97" w:rsidRDefault="00CE7B97">
      <w:pPr>
        <w:rPr>
          <w:rFonts w:hint="eastAsia"/>
        </w:rPr>
      </w:pP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4"/>
      </w:tblGrid>
      <w:tr w:rsidR="00CE7B97" w14:paraId="5680E00A" w14:textId="77777777" w:rsidTr="00CE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5596"/>
          </w:tcPr>
          <w:p w14:paraId="219EBF32" w14:textId="77777777" w:rsidR="00CE7B97" w:rsidRDefault="00000000">
            <w:pPr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Phase</w:t>
            </w:r>
          </w:p>
        </w:tc>
        <w:tc>
          <w:tcPr>
            <w:tcW w:w="3120" w:type="dxa"/>
            <w:shd w:val="clear" w:color="auto" w:fill="005596"/>
          </w:tcPr>
          <w:p w14:paraId="6219AA4B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Scope</w:t>
            </w:r>
          </w:p>
        </w:tc>
        <w:tc>
          <w:tcPr>
            <w:tcW w:w="3120" w:type="dxa"/>
            <w:shd w:val="clear" w:color="auto" w:fill="005596"/>
          </w:tcPr>
          <w:p w14:paraId="0DA6E3E1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Investment</w:t>
            </w:r>
          </w:p>
        </w:tc>
      </w:tr>
      <w:tr w:rsidR="00CE7B97" w14:paraId="64B8B8E6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5F5F5"/>
          </w:tcPr>
          <w:p w14:paraId="291FCD68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MVP</w:t>
            </w:r>
          </w:p>
        </w:tc>
        <w:tc>
          <w:tcPr>
            <w:tcW w:w="3120" w:type="dxa"/>
            <w:shd w:val="clear" w:color="auto" w:fill="F5F5F5"/>
          </w:tcPr>
          <w:p w14:paraId="4417C63A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2 teams (~16 developers)</w:t>
            </w:r>
          </w:p>
        </w:tc>
        <w:tc>
          <w:tcPr>
            <w:tcW w:w="3120" w:type="dxa"/>
            <w:shd w:val="clear" w:color="auto" w:fill="F5F5F5"/>
          </w:tcPr>
          <w:p w14:paraId="5F1C88CB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$375,100</w:t>
            </w:r>
          </w:p>
        </w:tc>
      </w:tr>
      <w:tr w:rsidR="00CE7B97" w14:paraId="1F9068E1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D9A31A3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Wave 1</w:t>
            </w:r>
          </w:p>
        </w:tc>
        <w:tc>
          <w:tcPr>
            <w:tcW w:w="3120" w:type="dxa"/>
          </w:tcPr>
          <w:p w14:paraId="3F6F0B23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10 cohorts (~240 developers)</w:t>
            </w:r>
          </w:p>
        </w:tc>
        <w:tc>
          <w:tcPr>
            <w:tcW w:w="3120" w:type="dxa"/>
          </w:tcPr>
          <w:p w14:paraId="220B1E26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$3,328,000</w:t>
            </w:r>
          </w:p>
        </w:tc>
      </w:tr>
      <w:tr w:rsidR="00CE7B97" w14:paraId="7A98223B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5F5F5"/>
          </w:tcPr>
          <w:p w14:paraId="021447C0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Wave 2</w:t>
            </w:r>
          </w:p>
        </w:tc>
        <w:tc>
          <w:tcPr>
            <w:tcW w:w="3120" w:type="dxa"/>
            <w:shd w:val="clear" w:color="auto" w:fill="F5F5F5"/>
          </w:tcPr>
          <w:p w14:paraId="5F113337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~195 developers — Improving-managed</w:t>
            </w:r>
          </w:p>
        </w:tc>
        <w:tc>
          <w:tcPr>
            <w:tcW w:w="3120" w:type="dxa"/>
            <w:shd w:val="clear" w:color="auto" w:fill="F5F5F5"/>
          </w:tcPr>
          <w:p w14:paraId="31E6B41A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$3,328,000</w:t>
            </w:r>
          </w:p>
        </w:tc>
      </w:tr>
      <w:tr w:rsidR="00CE7B97" w14:paraId="758FB520" w14:textId="77777777" w:rsidTr="00CE7B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9663B01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Data / Compliance Track</w:t>
            </w:r>
          </w:p>
        </w:tc>
        <w:tc>
          <w:tcPr>
            <w:tcW w:w="3120" w:type="dxa"/>
          </w:tcPr>
          <w:p w14:paraId="21F25BB9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2 engineers × 16 weeks</w:t>
            </w:r>
          </w:p>
        </w:tc>
        <w:tc>
          <w:tcPr>
            <w:tcW w:w="3120" w:type="dxa"/>
          </w:tcPr>
          <w:p w14:paraId="69B5912F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$249,600</w:t>
            </w:r>
          </w:p>
        </w:tc>
      </w:tr>
      <w:tr w:rsidR="00CE7B97" w14:paraId="2BCAFC2B" w14:textId="77777777" w:rsidTr="00CE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5F5F5"/>
          </w:tcPr>
          <w:p w14:paraId="252492E6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Total Program</w:t>
            </w:r>
          </w:p>
        </w:tc>
        <w:tc>
          <w:tcPr>
            <w:tcW w:w="3120" w:type="dxa"/>
            <w:shd w:val="clear" w:color="auto" w:fill="F5F5F5"/>
          </w:tcPr>
          <w:p w14:paraId="07244837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~450 FTE developers</w:t>
            </w:r>
          </w:p>
        </w:tc>
        <w:tc>
          <w:tcPr>
            <w:tcW w:w="3120" w:type="dxa"/>
            <w:shd w:val="clear" w:color="auto" w:fill="F5F5F5"/>
          </w:tcPr>
          <w:p w14:paraId="15F32479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$7,280,700</w:t>
            </w:r>
          </w:p>
        </w:tc>
      </w:tr>
    </w:tbl>
    <w:p w14:paraId="2538B8AB" w14:textId="77777777" w:rsidR="00CE7B97" w:rsidRDefault="00CE7B97">
      <w:pPr>
        <w:rPr>
          <w:rFonts w:hint="eastAsia"/>
        </w:rPr>
      </w:pPr>
    </w:p>
    <w:p w14:paraId="0C1130B2" w14:textId="77777777" w:rsidR="00CE7B97" w:rsidRDefault="00000000">
      <w:pPr>
        <w:spacing w:before="280" w:after="80"/>
        <w:rPr>
          <w:rFonts w:hint="eastAsia"/>
        </w:rPr>
      </w:pPr>
      <w:r>
        <w:rPr>
          <w:rFonts w:ascii="Poppins" w:hAnsi="Poppins" w:cs="Poppins"/>
          <w:b/>
          <w:color w:val="005596"/>
          <w:sz w:val="36"/>
        </w:rPr>
        <w:t>Pricing Options</w:t>
      </w:r>
    </w:p>
    <w:p w14:paraId="0A85D577" w14:textId="77777777" w:rsidR="00CE7B97" w:rsidRDefault="00000000">
      <w:pPr>
        <w:rPr>
          <w:rFonts w:hint="eastAsia"/>
        </w:rPr>
      </w:pPr>
      <w:r>
        <w:rPr>
          <w:rFonts w:cs="Khula"/>
        </w:rPr>
        <w:t>Two structures are available depending on Foot Locker's preferred engagement model:</w:t>
      </w:r>
    </w:p>
    <w:p w14:paraId="4B5ADD91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All-in program price: Single $7,280,700 investment covers all three phases. Simplest to approve; provides Improving's best total pricing.</w:t>
      </w:r>
    </w:p>
    <w:p w14:paraId="77F2EB60" w14:textId="77777777" w:rsidR="00CE7B97" w:rsidRDefault="00000000">
      <w:pPr>
        <w:pStyle w:val="ListBullet"/>
        <w:rPr>
          <w:rFonts w:hint="eastAsia"/>
        </w:rPr>
      </w:pPr>
      <w:r>
        <w:rPr>
          <w:rFonts w:cs="Khula"/>
        </w:rPr>
        <w:t>Phase-gated pricing: MVP ($375,100) priced independently as a proof-of-value entry point. Subsequent waves priced separately, contingent on MVP outcomes. Higher per-cohort cost but lower initial commitment.</w:t>
      </w:r>
    </w:p>
    <w:p w14:paraId="3D3CAAB3" w14:textId="77777777" w:rsidR="00CE7B97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t>Why Improving</w:t>
      </w:r>
    </w:p>
    <w:p w14:paraId="5B6D735C" w14:textId="77777777" w:rsidR="00CE7B97" w:rsidRDefault="00000000">
      <w:pPr>
        <w:rPr>
          <w:rFonts w:hint="eastAsia"/>
        </w:rPr>
      </w:pPr>
      <w:r>
        <w:rPr>
          <w:rFonts w:cs="Khula"/>
        </w:rPr>
        <w:t>Improving has trained and upskilled over 60,000 developers and knowledge workers in applied AI programs. The DLP is the same program Improving runs internally — Tim Rayburn's team has put 1,400 Improving developers through it in the past six months. We do not sell a training product we have not built our own practice on.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510"/>
        <w:gridCol w:w="2340"/>
        <w:gridCol w:w="4490"/>
      </w:tblGrid>
      <w:tr w:rsidR="00CE7B97" w14:paraId="74B99E14" w14:textId="77777777" w:rsidTr="005D1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005596"/>
          </w:tcPr>
          <w:p w14:paraId="10EF8490" w14:textId="77777777" w:rsidR="00CE7B97" w:rsidRDefault="00000000">
            <w:pPr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lastRenderedPageBreak/>
              <w:t>Engagement</w:t>
            </w:r>
          </w:p>
        </w:tc>
        <w:tc>
          <w:tcPr>
            <w:tcW w:w="2340" w:type="dxa"/>
            <w:shd w:val="clear" w:color="auto" w:fill="005596"/>
          </w:tcPr>
          <w:p w14:paraId="4FBD509E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Scale</w:t>
            </w:r>
          </w:p>
        </w:tc>
        <w:tc>
          <w:tcPr>
            <w:tcW w:w="4490" w:type="dxa"/>
            <w:shd w:val="clear" w:color="auto" w:fill="005596"/>
          </w:tcPr>
          <w:p w14:paraId="2CCAA21B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Outcome</w:t>
            </w:r>
          </w:p>
        </w:tc>
      </w:tr>
      <w:tr w:rsidR="00CE7B97" w14:paraId="665CA9E9" w14:textId="77777777" w:rsidTr="005D1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F5F5F5"/>
          </w:tcPr>
          <w:p w14:paraId="0FF24EEB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NRG (Energy)</w:t>
            </w:r>
          </w:p>
        </w:tc>
        <w:tc>
          <w:tcPr>
            <w:tcW w:w="2340" w:type="dxa"/>
            <w:shd w:val="clear" w:color="auto" w:fill="F5F5F5"/>
          </w:tcPr>
          <w:p w14:paraId="5DCA4531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1,600 developers</w:t>
            </w:r>
          </w:p>
        </w:tc>
        <w:tc>
          <w:tcPr>
            <w:tcW w:w="4490" w:type="dxa"/>
            <w:shd w:val="clear" w:color="auto" w:fill="F5F5F5"/>
          </w:tcPr>
          <w:p w14:paraId="33CD4F01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AI DLP across all SDLC roles; 4 waves in 11 months; train-the-trainer transfer</w:t>
            </w:r>
          </w:p>
        </w:tc>
      </w:tr>
      <w:tr w:rsidR="00CE7B97" w14:paraId="28B43666" w14:textId="77777777" w:rsidTr="005D14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0BEF339A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Alberta Blue Cross</w:t>
            </w:r>
          </w:p>
        </w:tc>
        <w:tc>
          <w:tcPr>
            <w:tcW w:w="2340" w:type="dxa"/>
          </w:tcPr>
          <w:p w14:paraId="729B5A42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450+ SDLC roles (regulated)</w:t>
            </w:r>
          </w:p>
        </w:tc>
        <w:tc>
          <w:tcPr>
            <w:tcW w:w="4490" w:type="dxa"/>
          </w:tcPr>
          <w:p w14:paraId="4CE28279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Phase 0-3 DLP with governance; 40% adoption = 8-11 FTE recovered; 12-16 month payback; PCI/COBIT compliance embedded</w:t>
            </w:r>
          </w:p>
        </w:tc>
      </w:tr>
      <w:tr w:rsidR="00CE7B97" w14:paraId="51A00932" w14:textId="77777777" w:rsidTr="005D1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F5F5F5"/>
          </w:tcPr>
          <w:p w14:paraId="2497A3C0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Verizon</w:t>
            </w:r>
          </w:p>
        </w:tc>
        <w:tc>
          <w:tcPr>
            <w:tcW w:w="2340" w:type="dxa"/>
            <w:shd w:val="clear" w:color="auto" w:fill="F5F5F5"/>
          </w:tcPr>
          <w:p w14:paraId="6871B52B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61,000 employees</w:t>
            </w:r>
          </w:p>
        </w:tc>
        <w:tc>
          <w:tcPr>
            <w:tcW w:w="4490" w:type="dxa"/>
            <w:shd w:val="clear" w:color="auto" w:fill="F5F5F5"/>
          </w:tcPr>
          <w:p w14:paraId="6D402A34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Ongoing enablement at enterprise scale</w:t>
            </w:r>
          </w:p>
        </w:tc>
      </w:tr>
      <w:tr w:rsidR="00CE7B97" w14:paraId="42E43862" w14:textId="77777777" w:rsidTr="005D14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038DAA32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Improving (internal)</w:t>
            </w:r>
          </w:p>
        </w:tc>
        <w:tc>
          <w:tcPr>
            <w:tcW w:w="2340" w:type="dxa"/>
          </w:tcPr>
          <w:p w14:paraId="6CC6EA45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1,400 developers</w:t>
            </w:r>
          </w:p>
        </w:tc>
        <w:tc>
          <w:tcPr>
            <w:tcW w:w="4490" w:type="dxa"/>
          </w:tcPr>
          <w:p w14:paraId="26165C6B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6 months; own team as reference; full governance infrastructure</w:t>
            </w:r>
          </w:p>
        </w:tc>
      </w:tr>
      <w:tr w:rsidR="00CE7B97" w14:paraId="22E91753" w14:textId="77777777" w:rsidTr="005D1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F5F5F5"/>
          </w:tcPr>
          <w:p w14:paraId="4853D454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Mid-size regional bank (Dallas)</w:t>
            </w:r>
          </w:p>
        </w:tc>
        <w:tc>
          <w:tcPr>
            <w:tcW w:w="2340" w:type="dxa"/>
            <w:shd w:val="clear" w:color="auto" w:fill="F5F5F5"/>
          </w:tcPr>
          <w:p w14:paraId="5305745B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~200 developers</w:t>
            </w:r>
          </w:p>
        </w:tc>
        <w:tc>
          <w:tcPr>
            <w:tcW w:w="4490" w:type="dxa"/>
            <w:shd w:val="clear" w:color="auto" w:fill="F5F5F5"/>
          </w:tcPr>
          <w:p w14:paraId="134D98BC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Started 1 team; scaled to multiple cohorts; ongoing</w:t>
            </w:r>
          </w:p>
        </w:tc>
      </w:tr>
    </w:tbl>
    <w:p w14:paraId="63309960" w14:textId="77777777" w:rsidR="00CE7B97" w:rsidRDefault="00CE7B97">
      <w:pPr>
        <w:rPr>
          <w:rFonts w:hint="eastAsia"/>
        </w:rPr>
      </w:pPr>
    </w:p>
    <w:p w14:paraId="5A78E9FD" w14:textId="77777777" w:rsidR="00CE7B97" w:rsidRDefault="00000000">
      <w:pPr>
        <w:rPr>
          <w:rFonts w:hint="eastAsia"/>
        </w:rPr>
      </w:pPr>
      <w:r>
        <w:rPr>
          <w:rFonts w:cs="Khula"/>
        </w:rPr>
        <w:t>Improving is not a large-MSP competitor. Foot Locker will not be one of dozens of accounts where the program is executed by a contractor who read the playbook last week. The people who designed these programs are the same people who will be in your sprints.</w:t>
      </w:r>
    </w:p>
    <w:p w14:paraId="6BB58140" w14:textId="77777777" w:rsidR="00CE7B97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t>Proposed Next Steps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070"/>
        <w:gridCol w:w="5156"/>
        <w:gridCol w:w="3114"/>
      </w:tblGrid>
      <w:tr w:rsidR="00CE7B97" w14:paraId="6A4D96FF" w14:textId="77777777" w:rsidTr="005D1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005596"/>
          </w:tcPr>
          <w:p w14:paraId="2D2C5522" w14:textId="77777777" w:rsidR="00CE7B97" w:rsidRDefault="00000000">
            <w:pPr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#</w:t>
            </w:r>
          </w:p>
        </w:tc>
        <w:tc>
          <w:tcPr>
            <w:tcW w:w="5156" w:type="dxa"/>
            <w:shd w:val="clear" w:color="auto" w:fill="005596"/>
          </w:tcPr>
          <w:p w14:paraId="18CACDF3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Action</w:t>
            </w:r>
          </w:p>
        </w:tc>
        <w:tc>
          <w:tcPr>
            <w:tcW w:w="3114" w:type="dxa"/>
            <w:shd w:val="clear" w:color="auto" w:fill="005596"/>
          </w:tcPr>
          <w:p w14:paraId="374B9987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Owner / Timing</w:t>
            </w:r>
          </w:p>
        </w:tc>
      </w:tr>
      <w:tr w:rsidR="00CE7B97" w14:paraId="0001ED39" w14:textId="77777777" w:rsidTr="005D1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5F5F5"/>
          </w:tcPr>
          <w:p w14:paraId="3DA6B55D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1</w:t>
            </w:r>
          </w:p>
        </w:tc>
        <w:tc>
          <w:tcPr>
            <w:tcW w:w="5156" w:type="dxa"/>
            <w:shd w:val="clear" w:color="auto" w:fill="F5F5F5"/>
          </w:tcPr>
          <w:p w14:paraId="3F888CDF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Review this proposal with Ross and Patrick; align on MVP team selection criteria</w:t>
            </w:r>
          </w:p>
        </w:tc>
        <w:tc>
          <w:tcPr>
            <w:tcW w:w="3114" w:type="dxa"/>
            <w:shd w:val="clear" w:color="auto" w:fill="F5F5F5"/>
          </w:tcPr>
          <w:p w14:paraId="749129EA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Diana + Ross Clanton | Within 1 week</w:t>
            </w:r>
          </w:p>
        </w:tc>
      </w:tr>
      <w:tr w:rsidR="00CE7B97" w14:paraId="47B92EC8" w14:textId="77777777" w:rsidTr="005D14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64F656E2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2</w:t>
            </w:r>
          </w:p>
        </w:tc>
        <w:tc>
          <w:tcPr>
            <w:tcW w:w="5156" w:type="dxa"/>
          </w:tcPr>
          <w:p w14:paraId="596FF843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Foot Locker provides tech stack breakdown and team org structure for Wave 1 cohort planning</w:t>
            </w:r>
          </w:p>
        </w:tc>
        <w:tc>
          <w:tcPr>
            <w:tcW w:w="3114" w:type="dxa"/>
          </w:tcPr>
          <w:p w14:paraId="37941A13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Patrick + Foot Locker IT | Within 2 weeks</w:t>
            </w:r>
          </w:p>
        </w:tc>
      </w:tr>
      <w:tr w:rsidR="00CE7B97" w14:paraId="6B347B42" w14:textId="77777777" w:rsidTr="005D1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5F5F5"/>
          </w:tcPr>
          <w:p w14:paraId="26448D5E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3</w:t>
            </w:r>
          </w:p>
        </w:tc>
        <w:tc>
          <w:tcPr>
            <w:tcW w:w="5156" w:type="dxa"/>
            <w:shd w:val="clear" w:color="auto" w:fill="F5F5F5"/>
          </w:tcPr>
          <w:p w14:paraId="2EF01967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Finalize MVP scope: 1-2 teams, start date, success metrics, governance baseline</w:t>
            </w:r>
          </w:p>
        </w:tc>
        <w:tc>
          <w:tcPr>
            <w:tcW w:w="3114" w:type="dxa"/>
            <w:shd w:val="clear" w:color="auto" w:fill="F5F5F5"/>
          </w:tcPr>
          <w:p w14:paraId="4C0B5E7B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Improving + Foot Locker | Within 2 weeks</w:t>
            </w:r>
          </w:p>
        </w:tc>
      </w:tr>
      <w:tr w:rsidR="00CE7B97" w14:paraId="492978D3" w14:textId="77777777" w:rsidTr="005D14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5769865D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4</w:t>
            </w:r>
          </w:p>
        </w:tc>
        <w:tc>
          <w:tcPr>
            <w:tcW w:w="5156" w:type="dxa"/>
          </w:tcPr>
          <w:p w14:paraId="06549380" w14:textId="2D13EEE3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Commercial proposal review (separate call before</w:t>
            </w:r>
            <w:r w:rsidR="005D144B">
              <w:rPr>
                <w:rFonts w:cs="Khula"/>
              </w:rPr>
              <w:t xml:space="preserve"> </w:t>
            </w:r>
            <w:r>
              <w:rPr>
                <w:rFonts w:cs="Khula"/>
              </w:rPr>
              <w:t>distribution)</w:t>
            </w:r>
          </w:p>
        </w:tc>
        <w:tc>
          <w:tcPr>
            <w:tcW w:w="3114" w:type="dxa"/>
          </w:tcPr>
          <w:p w14:paraId="75AB56AF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Diana + account lead | Before broad send</w:t>
            </w:r>
          </w:p>
        </w:tc>
      </w:tr>
      <w:tr w:rsidR="00CE7B97" w14:paraId="6ED84087" w14:textId="77777777" w:rsidTr="005D1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5F5F5"/>
          </w:tcPr>
          <w:p w14:paraId="570D1D3A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5</w:t>
            </w:r>
          </w:p>
        </w:tc>
        <w:tc>
          <w:tcPr>
            <w:tcW w:w="5156" w:type="dxa"/>
            <w:shd w:val="clear" w:color="auto" w:fill="F5F5F5"/>
          </w:tcPr>
          <w:p w14:paraId="2D272D76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Send follow-up materials: DLP deck, governance dashboard examples, model targeting guide</w:t>
            </w:r>
          </w:p>
        </w:tc>
        <w:tc>
          <w:tcPr>
            <w:tcW w:w="3114" w:type="dxa"/>
            <w:shd w:val="clear" w:color="auto" w:fill="F5F5F5"/>
          </w:tcPr>
          <w:p w14:paraId="5307D737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Improving | This week</w:t>
            </w:r>
          </w:p>
        </w:tc>
      </w:tr>
      <w:tr w:rsidR="00CE7B97" w14:paraId="39CB886E" w14:textId="77777777" w:rsidTr="005D14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79307C4B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6</w:t>
            </w:r>
          </w:p>
        </w:tc>
        <w:tc>
          <w:tcPr>
            <w:tcW w:w="5156" w:type="dxa"/>
          </w:tcPr>
          <w:p w14:paraId="541D2FD2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Optional: introduce Ross Clanton to a current DLP customer (Dallas) for peer reference</w:t>
            </w:r>
          </w:p>
        </w:tc>
        <w:tc>
          <w:tcPr>
            <w:tcW w:w="3114" w:type="dxa"/>
          </w:tcPr>
          <w:p w14:paraId="7EC07EC0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Improving | Per Ross's interest</w:t>
            </w:r>
          </w:p>
        </w:tc>
      </w:tr>
    </w:tbl>
    <w:p w14:paraId="6D172297" w14:textId="77777777" w:rsidR="00CE7B97" w:rsidRDefault="00000000">
      <w:pPr>
        <w:pBdr>
          <w:bottom w:val="single" w:sz="16" w:space="2" w:color="5BC2A7"/>
        </w:pBdr>
        <w:spacing w:before="360"/>
        <w:rPr>
          <w:rFonts w:hint="eastAsia"/>
        </w:rPr>
      </w:pPr>
      <w:r>
        <w:rPr>
          <w:rFonts w:ascii="Poppins" w:hAnsi="Poppins" w:cs="Poppins"/>
          <w:b/>
          <w:color w:val="005596"/>
          <w:sz w:val="48"/>
        </w:rPr>
        <w:lastRenderedPageBreak/>
        <w:t>Terminology Reference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590"/>
        <w:gridCol w:w="5750"/>
      </w:tblGrid>
      <w:tr w:rsidR="00CE7B97" w14:paraId="22A84D2A" w14:textId="77777777" w:rsidTr="005D1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0" w:type="dxa"/>
            <w:shd w:val="clear" w:color="auto" w:fill="005596"/>
          </w:tcPr>
          <w:p w14:paraId="2B96DDD6" w14:textId="77777777" w:rsidR="00CE7B97" w:rsidRDefault="00000000">
            <w:pPr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Term</w:t>
            </w:r>
          </w:p>
        </w:tc>
        <w:tc>
          <w:tcPr>
            <w:tcW w:w="5750" w:type="dxa"/>
            <w:shd w:val="clear" w:color="auto" w:fill="005596"/>
          </w:tcPr>
          <w:p w14:paraId="55C932A2" w14:textId="77777777" w:rsidR="00CE7B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Poppins" w:hAnsi="Poppins" w:cs="Poppins"/>
                <w:color w:val="FFFFFF"/>
              </w:rPr>
              <w:t>Definition</w:t>
            </w:r>
          </w:p>
        </w:tc>
      </w:tr>
      <w:tr w:rsidR="00CE7B97" w14:paraId="468A4FC0" w14:textId="77777777" w:rsidTr="005D1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0" w:type="dxa"/>
            <w:shd w:val="clear" w:color="auto" w:fill="F5F5F5"/>
          </w:tcPr>
          <w:p w14:paraId="2DA515B5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Track</w:t>
            </w:r>
          </w:p>
        </w:tc>
        <w:tc>
          <w:tcPr>
            <w:tcW w:w="5750" w:type="dxa"/>
            <w:shd w:val="clear" w:color="auto" w:fill="F5F5F5"/>
          </w:tcPr>
          <w:p w14:paraId="313E853D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The full series of 6 bi-weekly workshops delivered to a single cohort over 12 weeks. Cost unit for trainer delivery.</w:t>
            </w:r>
          </w:p>
        </w:tc>
      </w:tr>
      <w:tr w:rsidR="00CE7B97" w14:paraId="0293E8A2" w14:textId="77777777" w:rsidTr="005D14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0" w:type="dxa"/>
          </w:tcPr>
          <w:p w14:paraId="43224361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Cohort</w:t>
            </w:r>
          </w:p>
        </w:tc>
        <w:tc>
          <w:tcPr>
            <w:tcW w:w="5750" w:type="dxa"/>
          </w:tcPr>
          <w:p w14:paraId="147FB6C9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One group of up to 24 participants (max 3 teams) who go through the DLP together. Aligned by tech stack.</w:t>
            </w:r>
          </w:p>
        </w:tc>
      </w:tr>
      <w:tr w:rsidR="00CE7B97" w14:paraId="495457B8" w14:textId="77777777" w:rsidTr="005D1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0" w:type="dxa"/>
            <w:shd w:val="clear" w:color="auto" w:fill="F5F5F5"/>
          </w:tcPr>
          <w:p w14:paraId="7F503762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Team</w:t>
            </w:r>
          </w:p>
        </w:tc>
        <w:tc>
          <w:tcPr>
            <w:tcW w:w="5750" w:type="dxa"/>
            <w:shd w:val="clear" w:color="auto" w:fill="F5F5F5"/>
          </w:tcPr>
          <w:p w14:paraId="4369B512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The base unit: max 8 people per team. Receives one dedicated embedded engineer for the wave duration.</w:t>
            </w:r>
          </w:p>
        </w:tc>
      </w:tr>
      <w:tr w:rsidR="00CE7B97" w14:paraId="3B5CC27A" w14:textId="77777777" w:rsidTr="005D14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0" w:type="dxa"/>
          </w:tcPr>
          <w:p w14:paraId="43B60210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Embedded Engineer (EE)</w:t>
            </w:r>
          </w:p>
        </w:tc>
        <w:tc>
          <w:tcPr>
            <w:tcW w:w="5750" w:type="dxa"/>
          </w:tcPr>
          <w:p w14:paraId="3879FFF2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An Improving engineer dedicated to one team for the full 12 weeks. Coaches in sprint work; not shared across teams.</w:t>
            </w:r>
          </w:p>
        </w:tc>
      </w:tr>
      <w:tr w:rsidR="00CE7B97" w14:paraId="2C81FC09" w14:textId="77777777" w:rsidTr="005D1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0" w:type="dxa"/>
            <w:shd w:val="clear" w:color="auto" w:fill="F5F5F5"/>
          </w:tcPr>
          <w:p w14:paraId="709D9ACF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Enterprise Coach</w:t>
            </w:r>
          </w:p>
        </w:tc>
        <w:tc>
          <w:tcPr>
            <w:tcW w:w="5750" w:type="dxa"/>
            <w:shd w:val="clear" w:color="auto" w:fill="F5F5F5"/>
          </w:tcPr>
          <w:p w14:paraId="6948E4E4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Senior program manager who starts 4 weeks pre-wave and remains full-time throughout. Plans cohort composition, drives OCM, owns governance framework.</w:t>
            </w:r>
          </w:p>
        </w:tc>
      </w:tr>
      <w:tr w:rsidR="00CE7B97" w14:paraId="53A0EEA5" w14:textId="77777777" w:rsidTr="005D14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0" w:type="dxa"/>
          </w:tcPr>
          <w:p w14:paraId="11AEACC1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Wave</w:t>
            </w:r>
          </w:p>
        </w:tc>
        <w:tc>
          <w:tcPr>
            <w:tcW w:w="5750" w:type="dxa"/>
          </w:tcPr>
          <w:p w14:paraId="75262687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One full program execution: 10-12 cohorts running the 12-week DLP simultaneously, preceded by a 4-week planning period.</w:t>
            </w:r>
          </w:p>
        </w:tc>
      </w:tr>
      <w:tr w:rsidR="00CE7B97" w14:paraId="47A569D9" w14:textId="77777777" w:rsidTr="005D1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0" w:type="dxa"/>
            <w:shd w:val="clear" w:color="auto" w:fill="F5F5F5"/>
          </w:tcPr>
          <w:p w14:paraId="5FF01578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Agent Repository</w:t>
            </w:r>
          </w:p>
        </w:tc>
        <w:tc>
          <w:tcPr>
            <w:tcW w:w="5750" w:type="dxa"/>
            <w:shd w:val="clear" w:color="auto" w:fill="F5F5F5"/>
          </w:tcPr>
          <w:p w14:paraId="18747B28" w14:textId="77777777" w:rsidR="00CE7B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Shared library of promoted agents — task agents and workflow agents — accessible to all Foot Locker teams after Wave 1. Populated by embedded engineers and governed by the enterprise coach.</w:t>
            </w:r>
          </w:p>
        </w:tc>
      </w:tr>
      <w:tr w:rsidR="00CE7B97" w14:paraId="0204A892" w14:textId="77777777" w:rsidTr="005D14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0" w:type="dxa"/>
          </w:tcPr>
          <w:p w14:paraId="2FDA8C24" w14:textId="77777777" w:rsidR="00CE7B97" w:rsidRDefault="00000000">
            <w:pPr>
              <w:rPr>
                <w:rFonts w:hint="eastAsia"/>
              </w:rPr>
            </w:pPr>
            <w:r>
              <w:rPr>
                <w:rFonts w:cs="Khula"/>
                <w:b w:val="0"/>
              </w:rPr>
              <w:t>DLP</w:t>
            </w:r>
          </w:p>
        </w:tc>
        <w:tc>
          <w:tcPr>
            <w:tcW w:w="5750" w:type="dxa"/>
          </w:tcPr>
          <w:p w14:paraId="6E3F008A" w14:textId="77777777" w:rsidR="00CE7B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cs="Khula"/>
              </w:rPr>
              <w:t>Development Learning Program. Improving's 12-week applied AI enablement program for software development teams.</w:t>
            </w:r>
          </w:p>
        </w:tc>
      </w:tr>
    </w:tbl>
    <w:p w14:paraId="07C394E0" w14:textId="77777777" w:rsidR="00CE7B97" w:rsidRDefault="00CE7B97">
      <w:pPr>
        <w:rPr>
          <w:rFonts w:hint="eastAsia"/>
        </w:rPr>
      </w:pPr>
    </w:p>
    <w:sectPr w:rsidR="00CE7B97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A14D98" w14:textId="77777777" w:rsidR="003B5840" w:rsidRDefault="003B584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E2CF77" w14:textId="77777777" w:rsidR="003B5840" w:rsidRDefault="003B584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hula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84C473" w14:textId="77777777" w:rsidR="00CE7B97" w:rsidRDefault="00000000">
    <w:pPr>
      <w:pStyle w:val="Footer"/>
      <w:pBdr>
        <w:bottom w:val="single" w:sz="8" w:space="4" w:color="4597D3"/>
      </w:pBdr>
      <w:jc w:val="center"/>
      <w:rPr>
        <w:rFonts w:hint="eastAsia"/>
      </w:rPr>
    </w:pPr>
    <w:r>
      <w:rPr>
        <w:rFonts w:cs="Khula"/>
        <w:color w:val="606060"/>
        <w:sz w:val="18"/>
      </w:rPr>
      <w:t>improving.com   ·   It's what we do.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BA8919" w14:textId="77777777" w:rsidR="003B5840" w:rsidRDefault="003B584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F4664D" w14:textId="77777777" w:rsidR="003B5840" w:rsidRDefault="003B584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8903576">
    <w:abstractNumId w:val="8"/>
  </w:num>
  <w:num w:numId="2" w16cid:durableId="1460756250">
    <w:abstractNumId w:val="6"/>
  </w:num>
  <w:num w:numId="3" w16cid:durableId="1199902626">
    <w:abstractNumId w:val="5"/>
  </w:num>
  <w:num w:numId="4" w16cid:durableId="1681080472">
    <w:abstractNumId w:val="4"/>
  </w:num>
  <w:num w:numId="5" w16cid:durableId="1744067236">
    <w:abstractNumId w:val="7"/>
  </w:num>
  <w:num w:numId="6" w16cid:durableId="1905871887">
    <w:abstractNumId w:val="3"/>
  </w:num>
  <w:num w:numId="7" w16cid:durableId="190382917">
    <w:abstractNumId w:val="2"/>
  </w:num>
  <w:num w:numId="8" w16cid:durableId="671489923">
    <w:abstractNumId w:val="1"/>
  </w:num>
  <w:num w:numId="9" w16cid:durableId="7245264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5840"/>
    <w:rsid w:val="00440C46"/>
    <w:rsid w:val="005D144B"/>
    <w:rsid w:val="00863659"/>
    <w:rsid w:val="0098658A"/>
    <w:rsid w:val="00AA1D8D"/>
    <w:rsid w:val="00B47730"/>
    <w:rsid w:val="00CB0664"/>
    <w:rsid w:val="00CE7B97"/>
    <w:rsid w:val="00FA63C1"/>
    <w:rsid w:val="00FB792A"/>
    <w:rsid w:val="00FC693F"/>
    <w:rsid w:val="00FD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D3D14B"/>
  <w14:defaultImageDpi w14:val="300"/>
  <w15:docId w15:val="{92DA2C3F-4948-C84F-9722-7BA3DE2B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Khula" w:hAnsi="Khula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3879</Words>
  <Characters>23197</Characters>
  <Application>Microsoft Office Word</Application>
  <DocSecurity>0</DocSecurity>
  <Lines>799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 McGreal</cp:lastModifiedBy>
  <cp:revision>4</cp:revision>
  <dcterms:created xsi:type="dcterms:W3CDTF">2026-07-13T16:35:00Z</dcterms:created>
  <dcterms:modified xsi:type="dcterms:W3CDTF">2026-07-13T16:43:00Z</dcterms:modified>
  <cp:category/>
</cp:coreProperties>
</file>