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FA1A2" w14:textId="589B42B3" w:rsidR="0051631B" w:rsidRPr="00E43EED" w:rsidRDefault="008743FC" w:rsidP="00D671EB">
      <w:pPr>
        <w:jc w:val="both"/>
      </w:pPr>
      <w:r w:rsidRPr="00E43EED">
        <w:t>INTRODUÇÃO:</w:t>
      </w:r>
    </w:p>
    <w:p w14:paraId="575AB69A" w14:textId="4E1C0929" w:rsidR="008743FC" w:rsidRPr="00E43EED" w:rsidRDefault="008743FC" w:rsidP="00D671EB">
      <w:pPr>
        <w:jc w:val="both"/>
      </w:pPr>
    </w:p>
    <w:p w14:paraId="24985438" w14:textId="4CCF3EF7" w:rsidR="008743FC" w:rsidRDefault="008743FC" w:rsidP="00D671EB">
      <w:pPr>
        <w:jc w:val="both"/>
      </w:pPr>
      <w:r w:rsidRPr="008743FC">
        <w:t>FISIOPATOLOGIA DA DEFICI</w:t>
      </w:r>
      <w:r>
        <w:t>Ê</w:t>
      </w:r>
      <w:r w:rsidRPr="008743FC">
        <w:t>NCIA DO FATOR V</w:t>
      </w:r>
      <w:r>
        <w:t>II</w:t>
      </w:r>
    </w:p>
    <w:p w14:paraId="45AF76E7" w14:textId="77714857" w:rsidR="008743FC" w:rsidRDefault="008743FC" w:rsidP="00D671EB">
      <w:pPr>
        <w:jc w:val="both"/>
      </w:pPr>
    </w:p>
    <w:p w14:paraId="4776DF12" w14:textId="07EB2EFF" w:rsidR="00140ED9" w:rsidRDefault="008743FC" w:rsidP="00D671EB">
      <w:pPr>
        <w:ind w:firstLine="708"/>
        <w:jc w:val="both"/>
      </w:pPr>
      <w:r>
        <w:t>A deficiência do fator VII é considerada uma coagulopatia rara, autossômica recessiva, sendo ela a mais prevalente (1:500.000), tem como característica uma grande variedade genética e uma pequena correlação entre o nível de atividade coagulante do FVII e os sintomas hemorrágicos</w:t>
      </w:r>
      <w:r w:rsidR="009F7A37">
        <w:t xml:space="preserve"> (BRASIL, 2015).</w:t>
      </w:r>
    </w:p>
    <w:p w14:paraId="59E58C8C" w14:textId="77777777" w:rsidR="00D671EB" w:rsidRDefault="00140ED9" w:rsidP="00D671EB">
      <w:pPr>
        <w:ind w:firstLine="708"/>
        <w:jc w:val="both"/>
      </w:pPr>
      <w:r>
        <w:t xml:space="preserve">O fator VII é considerado uma glicoproteína vitamina K-dependente, ele é formado por quatro domínios, sendo ele uma proteína de cadeia única, sintetizado pelo fígado e circula no plasma sobre a forma inativa e a forma ativa. </w:t>
      </w:r>
    </w:p>
    <w:p w14:paraId="5C68779A" w14:textId="06ED5514" w:rsidR="00140ED9" w:rsidRPr="00140ED9" w:rsidRDefault="009F7A37" w:rsidP="00D671EB">
      <w:pPr>
        <w:ind w:firstLine="708"/>
        <w:jc w:val="both"/>
      </w:pPr>
      <w:r w:rsidRPr="009F7A37">
        <w:t xml:space="preserve">Indivíduos </w:t>
      </w:r>
      <w:r>
        <w:t xml:space="preserve">que </w:t>
      </w:r>
      <w:r w:rsidR="00EE5832">
        <w:t xml:space="preserve">apresenta essa deficiência </w:t>
      </w:r>
      <w:r w:rsidRPr="009F7A37">
        <w:t xml:space="preserve">de </w:t>
      </w:r>
      <w:r w:rsidR="00EE5832">
        <w:t xml:space="preserve">fator </w:t>
      </w:r>
      <w:r w:rsidRPr="009F7A37">
        <w:t xml:space="preserve">VII </w:t>
      </w:r>
      <w:r w:rsidR="00EE5832">
        <w:t xml:space="preserve">manifesta </w:t>
      </w:r>
      <w:r w:rsidRPr="009F7A37">
        <w:t xml:space="preserve">o TP prolongado, com </w:t>
      </w:r>
      <w:proofErr w:type="spellStart"/>
      <w:r w:rsidRPr="009F7A37">
        <w:t>TTPa</w:t>
      </w:r>
      <w:proofErr w:type="spellEnd"/>
      <w:r w:rsidRPr="009F7A37">
        <w:t>, TT e tempo de sangramento dentro dos limites da normalidade.</w:t>
      </w:r>
      <w:r w:rsidR="00EE5832">
        <w:t xml:space="preserve"> </w:t>
      </w:r>
      <w:r w:rsidR="00140ED9" w:rsidRPr="00140ED9">
        <w:t xml:space="preserve">O gene que </w:t>
      </w:r>
      <w:r w:rsidR="00140ED9">
        <w:t xml:space="preserve">é responsável por </w:t>
      </w:r>
      <w:r w:rsidR="00140ED9" w:rsidRPr="00140ED9">
        <w:t>codifica</w:t>
      </w:r>
      <w:r w:rsidR="00140ED9">
        <w:t>r o fator VII</w:t>
      </w:r>
      <w:r w:rsidR="00140ED9" w:rsidRPr="00140ED9">
        <w:t xml:space="preserve"> está localizado no braço longo do cromossomo 13, na região 13q34</w:t>
      </w:r>
      <w:r>
        <w:t xml:space="preserve"> (BRASIL, 2015).</w:t>
      </w:r>
    </w:p>
    <w:p w14:paraId="00EC7831" w14:textId="08BAD093" w:rsidR="00140ED9" w:rsidRDefault="00140ED9" w:rsidP="00D671EB">
      <w:pPr>
        <w:ind w:firstLine="708"/>
        <w:jc w:val="both"/>
      </w:pPr>
      <w:r>
        <w:t>Ele apresenta</w:t>
      </w:r>
      <w:r w:rsidRPr="00140ED9">
        <w:t xml:space="preserve"> </w:t>
      </w:r>
      <w:r>
        <w:t>uma função</w:t>
      </w:r>
      <w:r w:rsidRPr="00140ED9">
        <w:t xml:space="preserve"> importante n</w:t>
      </w:r>
      <w:r>
        <w:t>o inicio</w:t>
      </w:r>
      <w:r w:rsidRPr="00140ED9">
        <w:t xml:space="preserve"> da coagulação sanguínea</w:t>
      </w:r>
      <w:r>
        <w:t>,</w:t>
      </w:r>
      <w:r w:rsidR="00F341E9">
        <w:t xml:space="preserve"> isso se dá pelo fator de que</w:t>
      </w:r>
      <w:r w:rsidRPr="00140ED9">
        <w:t xml:space="preserve"> </w:t>
      </w:r>
      <w:r>
        <w:t>a</w:t>
      </w:r>
      <w:r w:rsidRPr="00140ED9">
        <w:t xml:space="preserve">pós a </w:t>
      </w:r>
      <w:r w:rsidR="00F341E9">
        <w:t xml:space="preserve">ocorrência de uma </w:t>
      </w:r>
      <w:r w:rsidRPr="00140ED9">
        <w:t>lesão do endotélio vascular, o fator tissular (FT) é exposto na superfície da membrana endotelial</w:t>
      </w:r>
      <w:r>
        <w:t xml:space="preserve">, em decorrência desse fenômeno o fator </w:t>
      </w:r>
      <w:r w:rsidRPr="00140ED9">
        <w:t xml:space="preserve">VII e uma pequena quantidade de </w:t>
      </w:r>
      <w:r>
        <w:t xml:space="preserve">fator </w:t>
      </w:r>
      <w:proofErr w:type="spellStart"/>
      <w:r w:rsidRPr="00140ED9">
        <w:t>VIIa</w:t>
      </w:r>
      <w:proofErr w:type="spellEnd"/>
      <w:r w:rsidRPr="00140ED9">
        <w:t xml:space="preserve"> circulantes 33 </w:t>
      </w:r>
      <w:r w:rsidR="00F341E9">
        <w:t>se juntam</w:t>
      </w:r>
      <w:r w:rsidRPr="00140ED9">
        <w:t xml:space="preserve"> ao </w:t>
      </w:r>
      <w:r>
        <w:t>fator tissular</w:t>
      </w:r>
      <w:r w:rsidRPr="00140ED9">
        <w:t xml:space="preserve"> formando o complexo FT-FVII. </w:t>
      </w:r>
      <w:r w:rsidR="00F341E9">
        <w:t>D</w:t>
      </w:r>
      <w:r>
        <w:t xml:space="preserve">essa forma, </w:t>
      </w:r>
      <w:r w:rsidRPr="00140ED9">
        <w:t xml:space="preserve">o </w:t>
      </w:r>
      <w:r>
        <w:t xml:space="preserve">fator </w:t>
      </w:r>
      <w:r w:rsidRPr="00140ED9">
        <w:t xml:space="preserve">VII é ativado em </w:t>
      </w:r>
      <w:r>
        <w:t xml:space="preserve">fator </w:t>
      </w:r>
      <w:proofErr w:type="spellStart"/>
      <w:r w:rsidRPr="00140ED9">
        <w:t>VIIa</w:t>
      </w:r>
      <w:proofErr w:type="spellEnd"/>
      <w:r w:rsidRPr="00140ED9">
        <w:t>, formando um complexo FT-</w:t>
      </w:r>
      <w:proofErr w:type="spellStart"/>
      <w:r w:rsidRPr="00140ED9">
        <w:t>FVIIa</w:t>
      </w:r>
      <w:proofErr w:type="spellEnd"/>
      <w:r w:rsidRPr="00140ED9">
        <w:t xml:space="preserve">, que </w:t>
      </w:r>
      <w:r>
        <w:t xml:space="preserve">em consequência </w:t>
      </w:r>
      <w:r w:rsidRPr="00140ED9">
        <w:t xml:space="preserve">ativa os fatores X e IX em </w:t>
      </w:r>
      <w:proofErr w:type="spellStart"/>
      <w:r w:rsidRPr="00140ED9">
        <w:t>Xa</w:t>
      </w:r>
      <w:proofErr w:type="spellEnd"/>
      <w:r w:rsidRPr="00140ED9">
        <w:t xml:space="preserve"> e </w:t>
      </w:r>
      <w:proofErr w:type="spellStart"/>
      <w:r w:rsidRPr="00140ED9">
        <w:t>IXa</w:t>
      </w:r>
      <w:proofErr w:type="spellEnd"/>
      <w:r w:rsidRPr="00140ED9">
        <w:t xml:space="preserve">, respectivamente, </w:t>
      </w:r>
      <w:r>
        <w:t>que leva a</w:t>
      </w:r>
      <w:r w:rsidRPr="00140ED9">
        <w:t xml:space="preserve"> formação de fibrina</w:t>
      </w:r>
      <w:r w:rsidR="009F7A37">
        <w:t xml:space="preserve"> (BRASIL, 2015).</w:t>
      </w:r>
    </w:p>
    <w:p w14:paraId="6FCB0DCC" w14:textId="5BE94E89" w:rsidR="00F341E9" w:rsidRDefault="00F341E9" w:rsidP="00D671EB">
      <w:pPr>
        <w:ind w:firstLine="708"/>
        <w:jc w:val="both"/>
      </w:pPr>
    </w:p>
    <w:p w14:paraId="2076C8C5" w14:textId="5489F6A3" w:rsidR="00F341E9" w:rsidRDefault="00F341E9" w:rsidP="00D671EB">
      <w:pPr>
        <w:jc w:val="both"/>
      </w:pPr>
      <w:r>
        <w:t>MANIFESTAÇÕES CLINICAS:</w:t>
      </w:r>
    </w:p>
    <w:p w14:paraId="4BC79C49" w14:textId="16743435" w:rsidR="00F341E9" w:rsidRDefault="00F341E9" w:rsidP="00D671EB">
      <w:pPr>
        <w:jc w:val="both"/>
      </w:pPr>
      <w:r>
        <w:tab/>
        <w:t xml:space="preserve">Suas manifestações clínicas irão variar a cada paciente, entretanto, na maioria dos casos ela é considerada leve. Pacientes que apresentam deficiência do fator VII frequentemente apresentará episódios de hemorragia como equimoses, hematomas e </w:t>
      </w:r>
      <w:proofErr w:type="spellStart"/>
      <w:r>
        <w:t>epistaxes</w:t>
      </w:r>
      <w:proofErr w:type="spellEnd"/>
      <w:r>
        <w:t>. Os sangramentos pós operatórios nesses pacientes não são considerados raros</w:t>
      </w:r>
      <w:r w:rsidR="009F7A37">
        <w:t xml:space="preserve"> (BRASIL,2015).</w:t>
      </w:r>
    </w:p>
    <w:p w14:paraId="157ED814" w14:textId="2052CE4B" w:rsidR="00F341E9" w:rsidRDefault="00F341E9" w:rsidP="00D671EB">
      <w:pPr>
        <w:jc w:val="both"/>
      </w:pPr>
      <w:r>
        <w:tab/>
        <w:t>Pacientes que apresente deficiência do fator VII de forma leve apresentará</w:t>
      </w:r>
      <w:r w:rsidRPr="00F341E9">
        <w:t xml:space="preserve"> um ou dois sintomas hemorrágicos que não sejam sangramentos </w:t>
      </w:r>
      <w:r>
        <w:t>gastrointestinais (GI)</w:t>
      </w:r>
      <w:r w:rsidRPr="00F341E9">
        <w:t xml:space="preserve">, </w:t>
      </w:r>
      <w:r>
        <w:t xml:space="preserve">do sistema nervoso central (SNC) </w:t>
      </w:r>
      <w:r w:rsidRPr="00F341E9">
        <w:t xml:space="preserve">ou </w:t>
      </w:r>
      <w:proofErr w:type="spellStart"/>
      <w:r w:rsidRPr="00F341E9">
        <w:t>hemartrose</w:t>
      </w:r>
      <w:proofErr w:type="spellEnd"/>
      <w:r>
        <w:t>. Pessoas que apresente essa deficiência de forma moderada irão p</w:t>
      </w:r>
      <w:r w:rsidRPr="00F341E9">
        <w:t>ossui</w:t>
      </w:r>
      <w:r>
        <w:t>r</w:t>
      </w:r>
      <w:r w:rsidRPr="00F341E9">
        <w:t xml:space="preserve"> três ou mais sintomas que não sejam sangramento GI, SNC ou </w:t>
      </w:r>
      <w:proofErr w:type="spellStart"/>
      <w:r w:rsidRPr="00F341E9">
        <w:t>hemartrose</w:t>
      </w:r>
      <w:proofErr w:type="spellEnd"/>
      <w:r w:rsidRPr="00F341E9">
        <w:t>.</w:t>
      </w:r>
      <w:r>
        <w:t xml:space="preserve"> Já a forma grave p</w:t>
      </w:r>
      <w:r w:rsidRPr="00F341E9">
        <w:t xml:space="preserve">ossui pelo menos um dos sintomas: hemorragia GI, SNC ou </w:t>
      </w:r>
      <w:proofErr w:type="spellStart"/>
      <w:r w:rsidRPr="00F341E9">
        <w:t>hemartrose</w:t>
      </w:r>
      <w:proofErr w:type="spellEnd"/>
      <w:r w:rsidRPr="00F341E9">
        <w:t xml:space="preserve"> com ou sem outros sangramentos</w:t>
      </w:r>
      <w:r>
        <w:t xml:space="preserve"> (</w:t>
      </w:r>
      <w:r w:rsidR="000C52AB">
        <w:t>LAPECORRELA e MARIANI, 2008).</w:t>
      </w:r>
    </w:p>
    <w:p w14:paraId="1A84EE59" w14:textId="6476AA60" w:rsidR="00F341E9" w:rsidRDefault="00F341E9" w:rsidP="00D671EB">
      <w:pPr>
        <w:jc w:val="both"/>
      </w:pPr>
    </w:p>
    <w:p w14:paraId="3773187D" w14:textId="53174318" w:rsidR="009F7A37" w:rsidRDefault="009F7A37" w:rsidP="00D671EB">
      <w:pPr>
        <w:jc w:val="both"/>
      </w:pPr>
      <w:r>
        <w:t>MÉTODOS DIAGNÓSTICOS:</w:t>
      </w:r>
    </w:p>
    <w:p w14:paraId="3E75D83E" w14:textId="0B30188F" w:rsidR="009F7A37" w:rsidRDefault="009F7A37" w:rsidP="00D671EB">
      <w:pPr>
        <w:jc w:val="both"/>
      </w:pPr>
    </w:p>
    <w:p w14:paraId="04A25E13" w14:textId="7F3E94F8" w:rsidR="00EE5832" w:rsidRDefault="009F7A37" w:rsidP="00D671EB">
      <w:pPr>
        <w:ind w:firstLine="708"/>
        <w:jc w:val="both"/>
      </w:pPr>
      <w:r w:rsidRPr="009F7A37">
        <w:t xml:space="preserve">O diagnóstico </w:t>
      </w:r>
      <w:r>
        <w:t xml:space="preserve">para descobrir se uma pessoa apresenta a deficiência do fator VII </w:t>
      </w:r>
      <w:r w:rsidRPr="009F7A37">
        <w:t>deve basear-se na história pessoal de sangramento, na história familiar e nos exames laboratoriais (exames de triagem, testes funcionais e antigênicos e biologia molecular).</w:t>
      </w:r>
      <w:r w:rsidR="00EE5832">
        <w:t xml:space="preserve"> É então confirmado o seu diagnóstico </w:t>
      </w:r>
      <w:r w:rsidR="00EE5832" w:rsidRPr="00EE5832">
        <w:t>com a dosagem da atividade coagulante do FVII, baseada no TP. A eficiência desse teste é altamente dependente da sensibilidade da tromboplastina</w:t>
      </w:r>
      <w:r w:rsidR="00EE5832">
        <w:t xml:space="preserve"> (</w:t>
      </w:r>
      <w:r w:rsidR="00874B14">
        <w:t>COLOMBO e JÚNIOR, 2013).</w:t>
      </w:r>
    </w:p>
    <w:p w14:paraId="32FF2976" w14:textId="01E666AB" w:rsidR="00EE5832" w:rsidRDefault="00EE5832" w:rsidP="00D671EB">
      <w:pPr>
        <w:jc w:val="both"/>
      </w:pPr>
    </w:p>
    <w:p w14:paraId="7EFD5694" w14:textId="6857E54F" w:rsidR="00EE5832" w:rsidRDefault="00EE5832" w:rsidP="00D671EB">
      <w:pPr>
        <w:jc w:val="both"/>
      </w:pPr>
      <w:r>
        <w:t xml:space="preserve">TRATAMENTO </w:t>
      </w:r>
    </w:p>
    <w:p w14:paraId="0F04EBF5" w14:textId="77777777" w:rsidR="00354ED1" w:rsidRPr="00EE5832" w:rsidRDefault="00354ED1" w:rsidP="00D671EB">
      <w:pPr>
        <w:jc w:val="both"/>
      </w:pPr>
    </w:p>
    <w:p w14:paraId="13838432" w14:textId="57D3D21C" w:rsidR="00354ED1" w:rsidRDefault="00354ED1" w:rsidP="00D671EB">
      <w:pPr>
        <w:jc w:val="both"/>
        <w:rPr>
          <w:rFonts w:ascii="Arial" w:hAnsi="Arial" w:cs="Arial"/>
          <w:color w:val="202124"/>
          <w:shd w:val="clear" w:color="auto" w:fill="FFFFFF"/>
        </w:rPr>
      </w:pPr>
      <w:r w:rsidRPr="00354ED1">
        <w:rPr>
          <w:rFonts w:ascii="Arial" w:hAnsi="Arial" w:cs="Arial"/>
          <w:b/>
          <w:bCs/>
          <w:color w:val="202124"/>
          <w:shd w:val="clear" w:color="auto" w:fill="FFFFFF"/>
        </w:rPr>
        <w:t>CID</w:t>
      </w:r>
      <w:r w:rsidRPr="00354ED1">
        <w:rPr>
          <w:rFonts w:ascii="Arial" w:hAnsi="Arial" w:cs="Arial"/>
          <w:color w:val="202124"/>
          <w:shd w:val="clear" w:color="auto" w:fill="FFFFFF"/>
        </w:rPr>
        <w:t> 10 D68.</w:t>
      </w:r>
      <w:r>
        <w:rPr>
          <w:rFonts w:ascii="Arial" w:hAnsi="Arial" w:cs="Arial"/>
          <w:color w:val="202124"/>
          <w:shd w:val="clear" w:color="auto" w:fill="FFFFFF"/>
        </w:rPr>
        <w:t>2</w:t>
      </w:r>
    </w:p>
    <w:p w14:paraId="0A4B8A0C" w14:textId="3457CB89" w:rsidR="00354ED1" w:rsidRDefault="00354ED1" w:rsidP="00D671EB">
      <w:pPr>
        <w:ind w:firstLine="708"/>
        <w:jc w:val="both"/>
      </w:pPr>
      <w:r>
        <w:rPr>
          <w:rFonts w:ascii="Arial" w:hAnsi="Arial" w:cs="Arial"/>
          <w:color w:val="202124"/>
          <w:shd w:val="clear" w:color="auto" w:fill="FFFFFF"/>
        </w:rPr>
        <w:lastRenderedPageBreak/>
        <w:t>Para a terapêutica da deficiência do fator VII existe o tratamento de reposição ela é utilizada especialmente para pessoas que apresentam fator VII menor que 8%</w:t>
      </w:r>
      <w:r w:rsidRPr="00354ED1">
        <w:t>.</w:t>
      </w:r>
      <w:r>
        <w:t xml:space="preserve"> Para saber se o individuo necessita da reposição é necessário</w:t>
      </w:r>
      <w:r w:rsidRPr="00354ED1">
        <w:t xml:space="preserve"> </w:t>
      </w:r>
      <w:r>
        <w:t>j</w:t>
      </w:r>
      <w:r w:rsidRPr="00354ED1">
        <w:t>untamente com a dosagem de FVII, a história hemorrágica prévia do pacient</w:t>
      </w:r>
      <w:r>
        <w:t>e</w:t>
      </w:r>
      <w:r w:rsidRPr="00354ED1">
        <w:t>. O principal problema no tratamento é a sua meia-vida curta, de 4–6 horas, o que implica em maior periodicidade de reposição.</w:t>
      </w:r>
      <w:r>
        <w:t xml:space="preserve"> Para isso os produtos que contem esse fator são </w:t>
      </w:r>
      <w:proofErr w:type="gramStart"/>
      <w:r>
        <w:t xml:space="preserve">os  </w:t>
      </w:r>
      <w:r w:rsidRPr="00354ED1">
        <w:t>PFC</w:t>
      </w:r>
      <w:proofErr w:type="gramEnd"/>
      <w:r w:rsidRPr="00354ED1">
        <w:t xml:space="preserve">, CCP e o concentrado de </w:t>
      </w:r>
      <w:proofErr w:type="spellStart"/>
      <w:r w:rsidRPr="00354ED1">
        <w:t>FVIIa</w:t>
      </w:r>
      <w:proofErr w:type="spellEnd"/>
      <w:r w:rsidRPr="00354ED1">
        <w:t xml:space="preserve"> recombinante (</w:t>
      </w:r>
      <w:proofErr w:type="spellStart"/>
      <w:r w:rsidRPr="00354ED1">
        <w:t>FVIIa</w:t>
      </w:r>
      <w:proofErr w:type="spellEnd"/>
      <w:r w:rsidRPr="00354ED1">
        <w:t>-r)</w:t>
      </w:r>
      <w:r w:rsidR="005F12AA">
        <w:t xml:space="preserve"> (BRASIL, 2015).</w:t>
      </w:r>
    </w:p>
    <w:p w14:paraId="12D73D48" w14:textId="32302CE3" w:rsidR="005F12AA" w:rsidRDefault="00354ED1" w:rsidP="00D671EB">
      <w:pPr>
        <w:jc w:val="both"/>
      </w:pPr>
      <w:r>
        <w:tab/>
        <w:t xml:space="preserve">O </w:t>
      </w:r>
      <w:proofErr w:type="spellStart"/>
      <w:r>
        <w:t>FVIIa</w:t>
      </w:r>
      <w:proofErr w:type="spellEnd"/>
      <w:r>
        <w:t>-r é escolhido quando o paciente apresenta deficiência do fator VII congênita podendo ele ser associado com um</w:t>
      </w:r>
      <w:r w:rsidRPr="00354ED1">
        <w:t xml:space="preserve"> </w:t>
      </w:r>
      <w:proofErr w:type="spellStart"/>
      <w:r w:rsidRPr="00354ED1">
        <w:t>antifibrinolíticos</w:t>
      </w:r>
      <w:proofErr w:type="spellEnd"/>
      <w:r>
        <w:t xml:space="preserve">. O CCP é utilizado quando não tem a disponibilidade do </w:t>
      </w:r>
      <w:proofErr w:type="spellStart"/>
      <w:r>
        <w:t>FVIIa</w:t>
      </w:r>
      <w:proofErr w:type="spellEnd"/>
      <w:r>
        <w:t>-r</w:t>
      </w:r>
      <w:r w:rsidR="005F12AA">
        <w:t>,</w:t>
      </w:r>
      <w:r>
        <w:t xml:space="preserve"> </w:t>
      </w:r>
      <w:r w:rsidR="005F12AA">
        <w:t xml:space="preserve">deve ser utilizado com cautela pois </w:t>
      </w:r>
      <w:r w:rsidRPr="00354ED1">
        <w:t>pode ser trombogênico em altas doses</w:t>
      </w:r>
      <w:r w:rsidR="005F12AA">
        <w:t xml:space="preserve"> e ele</w:t>
      </w:r>
      <w:r w:rsidRPr="00354ED1">
        <w:t xml:space="preserve"> não deve ser usado associado ao uso de </w:t>
      </w:r>
      <w:proofErr w:type="spellStart"/>
      <w:r w:rsidRPr="00354ED1">
        <w:t>antifibrinolítico</w:t>
      </w:r>
      <w:proofErr w:type="spellEnd"/>
      <w:r w:rsidRPr="00354ED1">
        <w:t>.</w:t>
      </w:r>
      <w:r w:rsidR="005F12AA">
        <w:t xml:space="preserve"> Já o CFC também é utilizado quando não tem o </w:t>
      </w:r>
      <w:proofErr w:type="spellStart"/>
      <w:r w:rsidR="005F12AA">
        <w:t>FVIIa</w:t>
      </w:r>
      <w:proofErr w:type="spellEnd"/>
      <w:r w:rsidR="005F12AA">
        <w:t>-r, p</w:t>
      </w:r>
      <w:r w:rsidR="005F12AA" w:rsidRPr="005F12AA">
        <w:t xml:space="preserve">or causa da meia-vida curta do </w:t>
      </w:r>
      <w:r w:rsidR="005F12AA">
        <w:t xml:space="preserve">fator </w:t>
      </w:r>
      <w:r w:rsidR="005F12AA" w:rsidRPr="005F12AA">
        <w:t>VII, o uso do PFC fica limitado devido ao risco de sobrecarga de volume</w:t>
      </w:r>
      <w:r w:rsidR="005F12AA">
        <w:t xml:space="preserve"> (BRASIL, 2015).</w:t>
      </w:r>
    </w:p>
    <w:p w14:paraId="7D36C6F8" w14:textId="397C1560" w:rsidR="00100DA2" w:rsidRDefault="00100DA2" w:rsidP="00D671EB">
      <w:pPr>
        <w:jc w:val="both"/>
      </w:pPr>
    </w:p>
    <w:p w14:paraId="684CD253" w14:textId="1FE1EDB2" w:rsidR="00100DA2" w:rsidRDefault="00100DA2" w:rsidP="00D671EB">
      <w:pPr>
        <w:jc w:val="both"/>
      </w:pPr>
      <w:r>
        <w:t>PIE</w:t>
      </w:r>
      <w:r w:rsidR="003939E0">
        <w:t>LONEFRITE</w:t>
      </w:r>
    </w:p>
    <w:p w14:paraId="39689158" w14:textId="77777777" w:rsidR="003939E0" w:rsidRPr="005F12AA" w:rsidRDefault="003939E0" w:rsidP="00D671EB">
      <w:pPr>
        <w:jc w:val="both"/>
      </w:pPr>
    </w:p>
    <w:p w14:paraId="2722114E" w14:textId="04B9FE8E" w:rsidR="00354ED1" w:rsidRDefault="003939E0" w:rsidP="00354ED1">
      <w:r>
        <w:t>FISIOPATOLOGIA:</w:t>
      </w:r>
    </w:p>
    <w:p w14:paraId="6E674C60" w14:textId="77777777" w:rsidR="003939E0" w:rsidRPr="00354ED1" w:rsidRDefault="003939E0" w:rsidP="00725A0E">
      <w:pPr>
        <w:spacing w:line="276" w:lineRule="auto"/>
      </w:pPr>
    </w:p>
    <w:p w14:paraId="7C3ED506" w14:textId="07874C4D" w:rsidR="00987A18" w:rsidRPr="00E43EED" w:rsidRDefault="00E43EED" w:rsidP="00725A0E">
      <w:pPr>
        <w:spacing w:line="276" w:lineRule="auto"/>
        <w:ind w:firstLine="708"/>
        <w:jc w:val="both"/>
      </w:pPr>
      <w:r>
        <w:t xml:space="preserve">A pielonefrite é uma infecção do sistema urinário que atinge a sua parte superior </w:t>
      </w:r>
      <w:r w:rsidRPr="00E43EED">
        <w:t xml:space="preserve">acomete </w:t>
      </w:r>
      <w:r>
        <w:t>(</w:t>
      </w:r>
      <w:r w:rsidRPr="00E43EED">
        <w:t>pelve e o córtex renal</w:t>
      </w:r>
      <w:r>
        <w:t>)</w:t>
      </w:r>
      <w:r w:rsidRPr="00E43EED">
        <w:t>, podendo levar a insuficiência renal crônica se não tratada</w:t>
      </w:r>
      <w:r>
        <w:t xml:space="preserve"> corretamente, pacientes com essa doente frequentemente apresentam sintomas mais graves, levando ao paciente não raramente ir ao hospital com queixas de infeção urinária </w:t>
      </w:r>
      <w:r w:rsidRPr="00E43EED">
        <w:t>(WIDMAIER, 2013; SUSKIND et al., 2016).</w:t>
      </w:r>
    </w:p>
    <w:p w14:paraId="75254CFF" w14:textId="04D9739B" w:rsidR="00987A18" w:rsidRDefault="00987A18" w:rsidP="00725A0E">
      <w:pPr>
        <w:spacing w:line="276" w:lineRule="auto"/>
        <w:ind w:firstLine="708"/>
        <w:jc w:val="both"/>
      </w:pPr>
      <w:r w:rsidRPr="00987A18">
        <w:t>Ess</w:t>
      </w:r>
      <w:r>
        <w:t>a infecção geralmente acontece quando o individuo já apresenta uma infecção do trata urinário inferior que posteriormente ascende para o superior</w:t>
      </w:r>
      <w:r w:rsidRPr="00987A18">
        <w:t xml:space="preserve">, </w:t>
      </w:r>
      <w:r>
        <w:t xml:space="preserve">sendo o Escherichia coli o principal agente etiológico, outros motivos para o paciente apresentar pielonefrite são as complicações renais por </w:t>
      </w:r>
      <w:proofErr w:type="spellStart"/>
      <w:r>
        <w:t>hematogênese</w:t>
      </w:r>
      <w:proofErr w:type="spellEnd"/>
      <w:r>
        <w:t xml:space="preserve"> que geralmente acontece em paciente </w:t>
      </w:r>
      <w:proofErr w:type="spellStart"/>
      <w:r w:rsidRPr="00987A18">
        <w:t>imunossuprimidos</w:t>
      </w:r>
      <w:proofErr w:type="spellEnd"/>
      <w:r w:rsidRPr="00987A18">
        <w:t xml:space="preserve"> (BRADAN et al., 2015; BRYCE et al., 2016) </w:t>
      </w:r>
    </w:p>
    <w:p w14:paraId="038A77A3" w14:textId="19418D55" w:rsidR="00987A18" w:rsidRDefault="00987A18" w:rsidP="00725A0E">
      <w:pPr>
        <w:spacing w:line="276" w:lineRule="auto"/>
        <w:ind w:firstLine="708"/>
        <w:jc w:val="both"/>
      </w:pPr>
      <w:r w:rsidRPr="00987A18">
        <w:t xml:space="preserve">Quando </w:t>
      </w:r>
      <w:r>
        <w:t xml:space="preserve">a pielonefrite </w:t>
      </w:r>
      <w:r w:rsidRPr="00987A18">
        <w:t xml:space="preserve">não </w:t>
      </w:r>
      <w:r>
        <w:t xml:space="preserve">é </w:t>
      </w:r>
      <w:r w:rsidRPr="00987A18">
        <w:t xml:space="preserve">tratada </w:t>
      </w:r>
      <w:r>
        <w:t>de forma correta</w:t>
      </w:r>
      <w:r w:rsidRPr="00987A18">
        <w:t xml:space="preserve"> pode apresentar complicações </w:t>
      </w:r>
      <w:r>
        <w:t>graves</w:t>
      </w:r>
      <w:r w:rsidRPr="00987A18">
        <w:t xml:space="preserve"> como a infecção renal crônica e a hipertensão renal,</w:t>
      </w:r>
      <w:r w:rsidR="00725A0E">
        <w:t xml:space="preserve"> podendo também desenvolver</w:t>
      </w:r>
      <w:r w:rsidRPr="00987A18">
        <w:t xml:space="preserve"> com abscessos renais, </w:t>
      </w:r>
      <w:proofErr w:type="spellStart"/>
      <w:r w:rsidRPr="00987A18">
        <w:t>pionefrose</w:t>
      </w:r>
      <w:proofErr w:type="spellEnd"/>
      <w:r w:rsidRPr="00987A18">
        <w:t>,</w:t>
      </w:r>
      <w:r w:rsidR="00725A0E">
        <w:t xml:space="preserve"> septicemia, pielonefrite crônica e</w:t>
      </w:r>
      <w:r w:rsidRPr="00987A18">
        <w:t xml:space="preserve"> pielonefrite enfisematosa. É comum </w:t>
      </w:r>
      <w:r w:rsidR="00725A0E">
        <w:t>indivíduos</w:t>
      </w:r>
      <w:r w:rsidRPr="00987A18">
        <w:t xml:space="preserve"> com </w:t>
      </w:r>
      <w:r w:rsidR="00725A0E">
        <w:t>pielonefrite aguda</w:t>
      </w:r>
      <w:r w:rsidRPr="00987A18">
        <w:t xml:space="preserve"> </w:t>
      </w:r>
      <w:r w:rsidR="00725A0E">
        <w:t xml:space="preserve">ter a presença de </w:t>
      </w:r>
      <w:r w:rsidRPr="00987A18">
        <w:t>cicatrizes renais causadas pela infecção que levarão posteriormente a essas complicações mais graves (GREENHOW et al., 2014; BRADAN et al., 2015).</w:t>
      </w:r>
    </w:p>
    <w:p w14:paraId="472613AE" w14:textId="1ACDCE82" w:rsidR="00725A0E" w:rsidRDefault="00725A0E" w:rsidP="00725A0E">
      <w:pPr>
        <w:spacing w:line="276" w:lineRule="auto"/>
        <w:jc w:val="both"/>
      </w:pPr>
    </w:p>
    <w:p w14:paraId="647811F6" w14:textId="6D56082B" w:rsidR="00725A0E" w:rsidRDefault="00725A0E" w:rsidP="00725A0E">
      <w:pPr>
        <w:spacing w:line="276" w:lineRule="auto"/>
        <w:jc w:val="both"/>
      </w:pPr>
    </w:p>
    <w:p w14:paraId="188458DA" w14:textId="2F5B16DE" w:rsidR="00725A0E" w:rsidRDefault="00725A0E" w:rsidP="00725A0E">
      <w:pPr>
        <w:spacing w:line="276" w:lineRule="auto"/>
        <w:jc w:val="both"/>
      </w:pPr>
      <w:r>
        <w:t>MANIFESTAÇÕES CLINICAS:</w:t>
      </w:r>
    </w:p>
    <w:p w14:paraId="54891BE3" w14:textId="2AFFBA1E" w:rsidR="00725A0E" w:rsidRDefault="00725A0E" w:rsidP="00725A0E">
      <w:pPr>
        <w:spacing w:line="276" w:lineRule="auto"/>
        <w:jc w:val="both"/>
      </w:pPr>
    </w:p>
    <w:p w14:paraId="1EA60BA6" w14:textId="7AE8B14A" w:rsidR="00725A0E" w:rsidRPr="00725A0E" w:rsidRDefault="00725A0E" w:rsidP="003B3B68">
      <w:pPr>
        <w:jc w:val="both"/>
      </w:pPr>
      <w:r>
        <w:tab/>
        <w:t xml:space="preserve">Pacientes que apresentam pielonefrite tem como </w:t>
      </w:r>
      <w:r w:rsidR="003B3B68">
        <w:t xml:space="preserve">sinais e sintomas a </w:t>
      </w:r>
      <w:r w:rsidRPr="00725A0E">
        <w:t>febre (&gt;38-38,5°C), dor</w:t>
      </w:r>
      <w:r>
        <w:t xml:space="preserve"> </w:t>
      </w:r>
      <w:r w:rsidRPr="00725A0E">
        <w:t>lombar,</w:t>
      </w:r>
      <w:r w:rsidR="003B3B68">
        <w:t xml:space="preserve"> calafrios,</w:t>
      </w:r>
      <w:r w:rsidRPr="00725A0E">
        <w:t xml:space="preserve"> náusea e vómito, tensão do ângulo </w:t>
      </w:r>
      <w:proofErr w:type="spellStart"/>
      <w:r w:rsidRPr="00725A0E">
        <w:t>costo</w:t>
      </w:r>
      <w:proofErr w:type="spellEnd"/>
      <w:r w:rsidR="003B3B68">
        <w:t xml:space="preserve"> </w:t>
      </w:r>
      <w:r w:rsidRPr="00725A0E">
        <w:t>vertebral e sintomas de cistite (</w:t>
      </w:r>
      <w:r w:rsidR="003B3B68">
        <w:t xml:space="preserve">dor </w:t>
      </w:r>
      <w:proofErr w:type="spellStart"/>
      <w:r w:rsidR="003B3B68">
        <w:t>suprapública</w:t>
      </w:r>
      <w:proofErr w:type="spellEnd"/>
      <w:r w:rsidR="003B3B68">
        <w:t xml:space="preserve">, </w:t>
      </w:r>
      <w:r w:rsidRPr="00725A0E">
        <w:t xml:space="preserve">disúria, </w:t>
      </w:r>
      <w:r w:rsidR="003B3B68">
        <w:t xml:space="preserve">urgência miccional ou </w:t>
      </w:r>
      <w:r w:rsidRPr="00725A0E">
        <w:t>aumento da frequência miccional</w:t>
      </w:r>
      <w:r w:rsidR="003B3B68">
        <w:t>) (</w:t>
      </w:r>
      <w:r w:rsidR="005021A6">
        <w:t>ROQUE., 2011).</w:t>
      </w:r>
    </w:p>
    <w:p w14:paraId="2B3C11E9" w14:textId="7116B096" w:rsidR="00725A0E" w:rsidRDefault="00725A0E" w:rsidP="00725A0E"/>
    <w:p w14:paraId="0E816694" w14:textId="156F85FD" w:rsidR="0010753D" w:rsidRDefault="0010753D" w:rsidP="00725A0E">
      <w:r>
        <w:t>MÉTODOS DIAGNÓSTICOS:</w:t>
      </w:r>
    </w:p>
    <w:p w14:paraId="7273E88A" w14:textId="63ACE7B9" w:rsidR="0010753D" w:rsidRDefault="0010753D" w:rsidP="00725A0E"/>
    <w:p w14:paraId="4B236F96" w14:textId="7A2CFC9D" w:rsidR="0010753D" w:rsidRDefault="0010753D" w:rsidP="0010753D">
      <w:pPr>
        <w:jc w:val="both"/>
      </w:pPr>
      <w:r>
        <w:lastRenderedPageBreak/>
        <w:tab/>
        <w:t xml:space="preserve">Para o diagnóstico de pielonefrite tem-se a forma clínica que consiste em avaliar os sintomas do paciente que em grande maioria queixa-se de disúria </w:t>
      </w:r>
      <w:r w:rsidRPr="0010753D">
        <w:t>poliúria</w:t>
      </w:r>
      <w:r>
        <w:t xml:space="preserve"> e </w:t>
      </w:r>
      <w:r w:rsidRPr="0010753D">
        <w:t>urgência miccional</w:t>
      </w:r>
      <w:r>
        <w:t>, sendo excluídos doenças que apresentam sematologia semelhante (</w:t>
      </w:r>
      <w:r w:rsidRPr="0010753D">
        <w:t>LADOMENOU et al, 2015; PRICE et al, 2016</w:t>
      </w:r>
      <w:r>
        <w:t>).</w:t>
      </w:r>
    </w:p>
    <w:p w14:paraId="07EEB073" w14:textId="78F7338C" w:rsidR="00C76050" w:rsidRDefault="002D0031" w:rsidP="00C76050">
      <w:pPr>
        <w:jc w:val="both"/>
      </w:pPr>
      <w:r>
        <w:tab/>
        <w:t>No diagnóstico laboratorial faz-se a analise de urina e urocultura, no qual</w:t>
      </w:r>
      <w:r w:rsidRPr="002D0031">
        <w:t xml:space="preserve"> apresenta </w:t>
      </w:r>
      <w:r w:rsidRPr="002D0031">
        <w:t>leucócit</w:t>
      </w:r>
      <w:r>
        <w:t>os elevados</w:t>
      </w:r>
      <w:r w:rsidRPr="002D0031">
        <w:t>, geralmente acompanhado de hematúria e presença de microrganismos</w:t>
      </w:r>
      <w:r>
        <w:t>, e a intensidade</w:t>
      </w:r>
      <w:r w:rsidRPr="002D0031">
        <w:t xml:space="preserve"> da infecção</w:t>
      </w:r>
      <w:r>
        <w:t xml:space="preserve">, a realização da cultura de urina </w:t>
      </w:r>
      <w:r>
        <w:t xml:space="preserve">demonstra o crescimento do tipo bacteriano </w:t>
      </w:r>
      <w:r>
        <w:t>e o</w:t>
      </w:r>
      <w:r>
        <w:t xml:space="preserve"> teste de sensibilidade a antimicrobianos </w:t>
      </w:r>
      <w:r>
        <w:t xml:space="preserve">para a escolhe do medicamento mais adequando </w:t>
      </w:r>
      <w:r>
        <w:t>(</w:t>
      </w:r>
      <w:r w:rsidRPr="0010753D">
        <w:t>PRICE et al, 2016</w:t>
      </w:r>
      <w:r>
        <w:t>)</w:t>
      </w:r>
      <w:r>
        <w:t>. Já o exame de hemocultura é importante para se diagnosticar complicação em decorrência da doença</w:t>
      </w:r>
      <w:r w:rsidR="00F52914">
        <w:t xml:space="preserve"> (PAULO</w:t>
      </w:r>
      <w:r w:rsidR="00F52914">
        <w:t xml:space="preserve"> et al, 201</w:t>
      </w:r>
      <w:r w:rsidR="00F52914">
        <w:t>9</w:t>
      </w:r>
      <w:r w:rsidR="00C76050">
        <w:t xml:space="preserve">; </w:t>
      </w:r>
      <w:r w:rsidR="00C76050">
        <w:t>LONGO et al, 2012</w:t>
      </w:r>
      <w:r w:rsidR="00C76050">
        <w:t>).</w:t>
      </w:r>
    </w:p>
    <w:p w14:paraId="16FE7152" w14:textId="6AF3DB6E" w:rsidR="00F52914" w:rsidRDefault="00F52914" w:rsidP="00F52914">
      <w:pPr>
        <w:jc w:val="both"/>
      </w:pPr>
    </w:p>
    <w:p w14:paraId="41782EE8" w14:textId="3A4E1EF2" w:rsidR="002D0031" w:rsidRDefault="002D0031" w:rsidP="00F52914">
      <w:pPr>
        <w:jc w:val="both"/>
      </w:pPr>
    </w:p>
    <w:p w14:paraId="2AE408C0" w14:textId="562DE0A8" w:rsidR="002D0031" w:rsidRDefault="002D0031" w:rsidP="002D0031"/>
    <w:p w14:paraId="39107901" w14:textId="77777777" w:rsidR="002D0031" w:rsidRPr="0010753D" w:rsidRDefault="002D0031" w:rsidP="002D0031"/>
    <w:p w14:paraId="47FEEB63" w14:textId="1FCE4707" w:rsidR="002D0031" w:rsidRDefault="002D0031" w:rsidP="002D0031">
      <w:pPr>
        <w:jc w:val="both"/>
      </w:pPr>
      <w:r>
        <w:t xml:space="preserve">TRATAMENTO </w:t>
      </w:r>
    </w:p>
    <w:p w14:paraId="47879B0E" w14:textId="385434D0" w:rsidR="002D0031" w:rsidRDefault="002D0031" w:rsidP="002D0031">
      <w:pPr>
        <w:jc w:val="both"/>
      </w:pPr>
    </w:p>
    <w:p w14:paraId="61AD294E" w14:textId="0817F59D" w:rsidR="002D0031" w:rsidRDefault="002D0031" w:rsidP="002D0031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 w:rsidRPr="00354ED1">
        <w:rPr>
          <w:rFonts w:ascii="Arial" w:hAnsi="Arial" w:cs="Arial"/>
          <w:b/>
          <w:bCs/>
          <w:color w:val="202124"/>
          <w:shd w:val="clear" w:color="auto" w:fill="FFFFFF"/>
        </w:rPr>
        <w:t>CID</w:t>
      </w:r>
      <w:r w:rsidRPr="00354ED1">
        <w:rPr>
          <w:rFonts w:ascii="Arial" w:hAnsi="Arial" w:cs="Arial"/>
          <w:color w:val="202124"/>
          <w:shd w:val="clear" w:color="auto" w:fill="FFFFFF"/>
        </w:rPr>
        <w:t xml:space="preserve"> 10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N11.0</w:t>
      </w:r>
    </w:p>
    <w:p w14:paraId="21CB35C8" w14:textId="288DDBD1" w:rsidR="00F52914" w:rsidRDefault="00F52914" w:rsidP="00F52914">
      <w:pPr>
        <w:ind w:firstLine="708"/>
        <w:jc w:val="both"/>
      </w:pPr>
      <w:r>
        <w:rPr>
          <w:rFonts w:ascii="Times" w:hAnsi="Times"/>
        </w:rPr>
        <w:t>Para o tratamento de pielonefrite grave o paciente deve ficar internado no hospital para realizar medicações endovenosas para a melhora mais rápida do paciente pelo fato da infusão ser constante. Já para pacientes que não apresenta a forma grave da doença pode ser tratado de forma ambulatorial através de antibióticos (</w:t>
      </w:r>
      <w:r>
        <w:t>BRADAN et al, 2015; BONADIO et al, 2017).</w:t>
      </w:r>
    </w:p>
    <w:p w14:paraId="662A933C" w14:textId="6DE0F282" w:rsidR="00D91067" w:rsidRDefault="00F52914" w:rsidP="00C76050">
      <w:pPr>
        <w:jc w:val="both"/>
      </w:pPr>
      <w:r>
        <w:t>Após 6 a 4 semanas de tratamento com antibiótico d</w:t>
      </w:r>
      <w:r>
        <w:t xml:space="preserve">eve ser feita uma cultura de urina </w:t>
      </w:r>
      <w:r>
        <w:t xml:space="preserve">para que dessa forma seja </w:t>
      </w:r>
      <w:r>
        <w:t>documenta</w:t>
      </w:r>
      <w:r>
        <w:t>da</w:t>
      </w:r>
      <w:r>
        <w:t xml:space="preserve"> a erradicação da infecção. </w:t>
      </w:r>
      <w:r>
        <w:t xml:space="preserve">Porém, para os </w:t>
      </w:r>
      <w:r>
        <w:t>pacientes com sintomas recorrentes em poucas semanas após o tratamento</w:t>
      </w:r>
      <w:r>
        <w:t>,</w:t>
      </w:r>
      <w:r>
        <w:t xml:space="preserve"> deve </w:t>
      </w:r>
      <w:r>
        <w:t>ser realizado</w:t>
      </w:r>
      <w:r>
        <w:t xml:space="preserve"> a cultura de urina repetida e </w:t>
      </w:r>
      <w:r>
        <w:t>e</w:t>
      </w:r>
      <w:r>
        <w:t xml:space="preserve">xame de imagem. </w:t>
      </w:r>
      <w:r>
        <w:t>Nos casos em que</w:t>
      </w:r>
      <w:r>
        <w:t xml:space="preserve"> a suscetibilidade antimicrobiana ser idêntica a inicial, </w:t>
      </w:r>
      <w:r>
        <w:t>é necessário que se</w:t>
      </w:r>
      <w:r>
        <w:t xml:space="preserve"> tro</w:t>
      </w:r>
      <w:r>
        <w:t>que</w:t>
      </w:r>
      <w:r>
        <w:t xml:space="preserve"> o antibiótico</w:t>
      </w:r>
      <w:r>
        <w:t xml:space="preserve"> (</w:t>
      </w:r>
      <w:r>
        <w:t>BRADAN et al, 2015; PRICE et al, 2016</w:t>
      </w:r>
      <w:r w:rsidR="00C76050">
        <w:t>).</w:t>
      </w:r>
    </w:p>
    <w:p w14:paraId="2E78DDC7" w14:textId="5A6F81D0" w:rsidR="00D91067" w:rsidRDefault="00D91067" w:rsidP="00D91067">
      <w:pPr>
        <w:pStyle w:val="NormalWeb"/>
      </w:pPr>
      <w:r>
        <w:rPr>
          <w:color w:val="0C0C0C"/>
        </w:rPr>
        <w:t xml:space="preserve">Tendo em vista a </w:t>
      </w:r>
      <w:r>
        <w:rPr>
          <w:color w:val="0C0C0C"/>
        </w:rPr>
        <w:t>necessidade de aprofundamento do caso clínico do paciente Matheus Junior</w:t>
      </w:r>
      <w:r>
        <w:rPr>
          <w:color w:val="0C0C0C"/>
        </w:rPr>
        <w:t xml:space="preserve">, o objetivo deste estudo é </w:t>
      </w:r>
      <w:r>
        <w:rPr>
          <w:color w:val="0C0C0C"/>
        </w:rPr>
        <w:t>descrever as suas patologias e apresentar o caso clínico do paciente.</w:t>
      </w:r>
    </w:p>
    <w:p w14:paraId="06BE592E" w14:textId="77777777" w:rsidR="00D91067" w:rsidRDefault="00D91067" w:rsidP="00C76050">
      <w:pPr>
        <w:jc w:val="both"/>
      </w:pPr>
    </w:p>
    <w:p w14:paraId="006A4DF3" w14:textId="2F8CFD0F" w:rsidR="00F52914" w:rsidRDefault="00F52914" w:rsidP="00F52914">
      <w:pPr>
        <w:ind w:firstLine="708"/>
        <w:jc w:val="both"/>
      </w:pPr>
    </w:p>
    <w:p w14:paraId="611630F9" w14:textId="2B61AAB5" w:rsidR="009F7A37" w:rsidRDefault="009F7A37" w:rsidP="00F341E9"/>
    <w:p w14:paraId="5CDEAAF5" w14:textId="77777777" w:rsidR="009F7A37" w:rsidRDefault="009F7A37" w:rsidP="00F341E9"/>
    <w:p w14:paraId="5B6D5E74" w14:textId="4CA433B5" w:rsidR="00F341E9" w:rsidRPr="0010753D" w:rsidRDefault="00F341E9" w:rsidP="00F341E9">
      <w:pPr>
        <w:rPr>
          <w:lang w:val="en-US"/>
        </w:rPr>
      </w:pPr>
      <w:proofErr w:type="spellStart"/>
      <w:r w:rsidRPr="0010753D">
        <w:rPr>
          <w:lang w:val="en-US"/>
        </w:rPr>
        <w:t>Referencias</w:t>
      </w:r>
      <w:proofErr w:type="spellEnd"/>
      <w:r w:rsidRPr="0010753D">
        <w:rPr>
          <w:lang w:val="en-US"/>
        </w:rPr>
        <w:t xml:space="preserve"> </w:t>
      </w:r>
      <w:proofErr w:type="spellStart"/>
      <w:r w:rsidRPr="0010753D">
        <w:rPr>
          <w:lang w:val="en-US"/>
        </w:rPr>
        <w:t>bibliográficas</w:t>
      </w:r>
      <w:proofErr w:type="spellEnd"/>
      <w:r w:rsidRPr="0010753D">
        <w:rPr>
          <w:lang w:val="en-US"/>
        </w:rPr>
        <w:t>:</w:t>
      </w:r>
    </w:p>
    <w:p w14:paraId="52608AB5" w14:textId="37BA5A3C" w:rsidR="00F341E9" w:rsidRPr="0010753D" w:rsidRDefault="00F341E9" w:rsidP="00F341E9">
      <w:pPr>
        <w:rPr>
          <w:lang w:val="en-US"/>
        </w:rPr>
      </w:pPr>
    </w:p>
    <w:p w14:paraId="04198B5F" w14:textId="77777777" w:rsidR="00987A18" w:rsidRPr="00987A18" w:rsidRDefault="00987A18" w:rsidP="00987A18">
      <w:r w:rsidRPr="0010753D">
        <w:rPr>
          <w:lang w:val="en-US"/>
        </w:rPr>
        <w:t xml:space="preserve">BADRAN, Y. A. et al. </w:t>
      </w:r>
      <w:r w:rsidRPr="00987A18">
        <w:rPr>
          <w:lang w:val="en-US"/>
        </w:rPr>
        <w:t xml:space="preserve">Impact of genital hygiene and sexual activity on urinary tract infection during pregnancy. </w:t>
      </w:r>
      <w:proofErr w:type="spellStart"/>
      <w:r w:rsidRPr="00987A18">
        <w:t>Urology</w:t>
      </w:r>
      <w:proofErr w:type="spellEnd"/>
      <w:r w:rsidRPr="00987A18">
        <w:t xml:space="preserve"> </w:t>
      </w:r>
      <w:proofErr w:type="spellStart"/>
      <w:r w:rsidRPr="00987A18">
        <w:t>Annals</w:t>
      </w:r>
      <w:proofErr w:type="spellEnd"/>
      <w:r w:rsidRPr="00987A18">
        <w:t>. n.7, v. 4, p.478–481, 2015.</w:t>
      </w:r>
    </w:p>
    <w:p w14:paraId="13BC3E9A" w14:textId="77777777" w:rsidR="00987A18" w:rsidRPr="00F341E9" w:rsidRDefault="00987A18" w:rsidP="00F341E9"/>
    <w:p w14:paraId="1BCC4F29" w14:textId="150443EC" w:rsidR="00F341E9" w:rsidRDefault="000C52AB" w:rsidP="00F341E9">
      <w:pPr>
        <w:rPr>
          <w:lang w:val="en-US"/>
        </w:rPr>
      </w:pPr>
      <w:r>
        <w:t xml:space="preserve">BRASIL. Ministério da Saúde. Manual das Coagulopatias hereditárias raras. </w:t>
      </w:r>
      <w:r w:rsidRPr="0010753D">
        <w:rPr>
          <w:lang w:val="en-US"/>
        </w:rPr>
        <w:t>Brasília, 2015.</w:t>
      </w:r>
    </w:p>
    <w:p w14:paraId="5FAE686F" w14:textId="40E950E7" w:rsidR="00F52914" w:rsidRDefault="00F52914" w:rsidP="00F341E9">
      <w:pPr>
        <w:rPr>
          <w:lang w:val="en-US"/>
        </w:rPr>
      </w:pPr>
    </w:p>
    <w:p w14:paraId="51D17AF2" w14:textId="15CE5B36" w:rsidR="00F52914" w:rsidRPr="00F52914" w:rsidRDefault="00F52914" w:rsidP="00F341E9">
      <w:r w:rsidRPr="00F52914">
        <w:rPr>
          <w:lang w:val="en-US"/>
        </w:rPr>
        <w:t xml:space="preserve">BONADIO, W.; MAIDA, G. Urinary tract infection in outpatient febrile infants younger than 30 days of age: a 10-year evaluation. </w:t>
      </w:r>
      <w:proofErr w:type="spellStart"/>
      <w:r>
        <w:t>Pediatr</w:t>
      </w:r>
      <w:proofErr w:type="spellEnd"/>
      <w:r>
        <w:t xml:space="preserve"> </w:t>
      </w:r>
      <w:proofErr w:type="spellStart"/>
      <w:r>
        <w:t>Infect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J. n. 33, v. 4, p.342-344, 2014.</w:t>
      </w:r>
    </w:p>
    <w:p w14:paraId="2C05F608" w14:textId="59E84350" w:rsidR="00874B14" w:rsidRPr="0010753D" w:rsidRDefault="00874B14" w:rsidP="00F341E9">
      <w:pPr>
        <w:rPr>
          <w:lang w:val="en-US"/>
        </w:rPr>
      </w:pPr>
    </w:p>
    <w:p w14:paraId="3E6B47C1" w14:textId="2DF142BC" w:rsidR="00987A18" w:rsidRDefault="00987A18" w:rsidP="00F341E9">
      <w:r w:rsidRPr="00987A18">
        <w:rPr>
          <w:lang w:val="en-US"/>
        </w:rPr>
        <w:lastRenderedPageBreak/>
        <w:t xml:space="preserve">BRYCE, A. et al. Global prevalence of antibiotic resistance in </w:t>
      </w:r>
      <w:proofErr w:type="spellStart"/>
      <w:r w:rsidRPr="00987A18">
        <w:rPr>
          <w:lang w:val="en-US"/>
        </w:rPr>
        <w:t>paediatric</w:t>
      </w:r>
      <w:proofErr w:type="spellEnd"/>
      <w:r w:rsidRPr="00987A18">
        <w:rPr>
          <w:lang w:val="en-US"/>
        </w:rPr>
        <w:t xml:space="preserve"> urinary tract infections caused by Escherichia coli and association with routine use of antibiotics in primary care: systematic review and meta-analysis. </w:t>
      </w:r>
      <w:r w:rsidRPr="00987A18">
        <w:t>BMJ. n. 352, v. 1, p.939, 2016.</w:t>
      </w:r>
    </w:p>
    <w:p w14:paraId="5CC3AD9D" w14:textId="77777777" w:rsidR="00987A18" w:rsidRDefault="00987A18" w:rsidP="00F341E9"/>
    <w:p w14:paraId="4EC9CCF4" w14:textId="6C86D03B" w:rsidR="00874B14" w:rsidRDefault="00874B14" w:rsidP="00874B14">
      <w:r>
        <w:t xml:space="preserve">COLOMBO, </w:t>
      </w:r>
      <w:proofErr w:type="gramStart"/>
      <w:r>
        <w:t>R,T.</w:t>
      </w:r>
      <w:proofErr w:type="gramEnd"/>
      <w:r>
        <w:t xml:space="preserve">; JÚNIOR, G,Z.;. </w:t>
      </w:r>
      <w:r w:rsidRPr="00874B14">
        <w:t>Hemofilias: Fisiopatologia, Diagnóstico e Tratament</w:t>
      </w:r>
      <w:r>
        <w:t xml:space="preserve">o. </w:t>
      </w:r>
      <w:proofErr w:type="spellStart"/>
      <w:r>
        <w:t>Infarma</w:t>
      </w:r>
      <w:proofErr w:type="spellEnd"/>
      <w:r>
        <w:t xml:space="preserve"> ciência farmacêutica. </w:t>
      </w:r>
      <w:r w:rsidRPr="00874B14">
        <w:t>V. 25, Nº 3</w:t>
      </w:r>
      <w:r>
        <w:t>. Maringá, 2013.</w:t>
      </w:r>
    </w:p>
    <w:p w14:paraId="56D2A9C7" w14:textId="77777777" w:rsidR="00725A0E" w:rsidRPr="00874B14" w:rsidRDefault="00725A0E" w:rsidP="00874B14"/>
    <w:p w14:paraId="37776327" w14:textId="7453C60B" w:rsidR="000C52AB" w:rsidRPr="0010753D" w:rsidRDefault="00725A0E" w:rsidP="00F341E9">
      <w:pPr>
        <w:rPr>
          <w:lang w:val="en-US"/>
        </w:rPr>
      </w:pPr>
      <w:r w:rsidRPr="0010753D">
        <w:t xml:space="preserve">GREENHOW, T. L. et al. </w:t>
      </w:r>
      <w:r w:rsidRPr="00725A0E">
        <w:rPr>
          <w:lang w:val="en-US"/>
        </w:rPr>
        <w:t xml:space="preserve">The changing epidemiology of serious bacterial infections in young infants. </w:t>
      </w:r>
      <w:proofErr w:type="spellStart"/>
      <w:r w:rsidRPr="0010753D">
        <w:rPr>
          <w:lang w:val="en-US"/>
        </w:rPr>
        <w:t>Pediatr</w:t>
      </w:r>
      <w:proofErr w:type="spellEnd"/>
      <w:r w:rsidRPr="0010753D">
        <w:rPr>
          <w:lang w:val="en-US"/>
        </w:rPr>
        <w:t xml:space="preserve"> Infect Dis J. n. 33, v. 6, p.595-599, 2014</w:t>
      </w:r>
    </w:p>
    <w:p w14:paraId="7983773F" w14:textId="75464895" w:rsidR="00874B14" w:rsidRDefault="00874B14" w:rsidP="00F341E9">
      <w:pPr>
        <w:rPr>
          <w:lang w:val="en-US"/>
        </w:rPr>
      </w:pPr>
    </w:p>
    <w:p w14:paraId="245B6A0D" w14:textId="323ECAA7" w:rsidR="0010753D" w:rsidRPr="002D0031" w:rsidRDefault="0010753D" w:rsidP="00F341E9">
      <w:r w:rsidRPr="0010753D">
        <w:rPr>
          <w:lang w:val="en-US"/>
        </w:rPr>
        <w:t xml:space="preserve">LADOMENOU, F.; BITSORI, M.; GALANAKIS, E. Incidence and morbidity of urinary tract infection in a prospective cohort of children. </w:t>
      </w:r>
      <w:r w:rsidRPr="0010753D">
        <w:t xml:space="preserve">Acta </w:t>
      </w:r>
      <w:proofErr w:type="spellStart"/>
      <w:r w:rsidRPr="0010753D">
        <w:t>Paediatr</w:t>
      </w:r>
      <w:proofErr w:type="spellEnd"/>
      <w:r w:rsidRPr="0010753D">
        <w:t>. n. 104, v. 7, p.324-329, 2015.</w:t>
      </w:r>
    </w:p>
    <w:p w14:paraId="2552D1C5" w14:textId="77777777" w:rsidR="0010753D" w:rsidRPr="0010753D" w:rsidRDefault="0010753D" w:rsidP="00F341E9">
      <w:pPr>
        <w:rPr>
          <w:lang w:val="en-US"/>
        </w:rPr>
      </w:pPr>
    </w:p>
    <w:p w14:paraId="131C86DA" w14:textId="45AE70EA" w:rsidR="00987A18" w:rsidRDefault="00F341E9" w:rsidP="00F341E9">
      <w:pPr>
        <w:rPr>
          <w:lang w:val="en-US"/>
        </w:rPr>
      </w:pPr>
      <w:r w:rsidRPr="0010753D">
        <w:rPr>
          <w:lang w:val="en-US"/>
        </w:rPr>
        <w:t xml:space="preserve">LAPECORELLA, M.; MARIANI, G. Factor VII deficiency: defining the clinical Picture and optimizing therapeutic options. </w:t>
      </w:r>
      <w:proofErr w:type="spellStart"/>
      <w:r w:rsidRPr="00C76050">
        <w:rPr>
          <w:lang w:val="en-US"/>
        </w:rPr>
        <w:t>Haemophilia</w:t>
      </w:r>
      <w:proofErr w:type="spellEnd"/>
      <w:r w:rsidRPr="00C76050">
        <w:rPr>
          <w:lang w:val="en-US"/>
        </w:rPr>
        <w:t>, [</w:t>
      </w:r>
      <w:proofErr w:type="spellStart"/>
      <w:r w:rsidRPr="00C76050">
        <w:rPr>
          <w:lang w:val="en-US"/>
        </w:rPr>
        <w:t>S.l.</w:t>
      </w:r>
      <w:proofErr w:type="spellEnd"/>
      <w:r w:rsidRPr="00C76050">
        <w:rPr>
          <w:lang w:val="en-US"/>
        </w:rPr>
        <w:t>], v. 14, p 1170-1175, 2008.</w:t>
      </w:r>
    </w:p>
    <w:p w14:paraId="502E9633" w14:textId="26451086" w:rsidR="00C76050" w:rsidRDefault="00C76050" w:rsidP="00F341E9">
      <w:pPr>
        <w:rPr>
          <w:lang w:val="en-US"/>
        </w:rPr>
      </w:pPr>
    </w:p>
    <w:p w14:paraId="4297B108" w14:textId="6CAE02E5" w:rsidR="00C76050" w:rsidRPr="00C76050" w:rsidRDefault="00C76050" w:rsidP="00F341E9">
      <w:r w:rsidRPr="00C76050">
        <w:rPr>
          <w:lang w:val="en-US"/>
        </w:rPr>
        <w:t xml:space="preserve">LONGO, D. L. et al. Urinary Tract Infections, Pyelonephritis, and Prostatitis. </w:t>
      </w:r>
      <w:proofErr w:type="spellStart"/>
      <w:r>
        <w:t>Harrison's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Medicine. 18 </w:t>
      </w:r>
      <w:proofErr w:type="spellStart"/>
      <w:r>
        <w:t>ed</w:t>
      </w:r>
      <w:proofErr w:type="spellEnd"/>
      <w:r>
        <w:t xml:space="preserve">: McGraw-Hill; 2012. 2395 p. </w:t>
      </w:r>
    </w:p>
    <w:p w14:paraId="260B06E5" w14:textId="3177380F" w:rsidR="00F52914" w:rsidRPr="00C76050" w:rsidRDefault="00F52914" w:rsidP="00F341E9">
      <w:pPr>
        <w:rPr>
          <w:lang w:val="en-US"/>
        </w:rPr>
      </w:pPr>
    </w:p>
    <w:p w14:paraId="739D8822" w14:textId="55B2F785" w:rsidR="00F52914" w:rsidRPr="00F52914" w:rsidRDefault="00F52914" w:rsidP="00F341E9">
      <w:r w:rsidRPr="00F52914">
        <w:rPr>
          <w:lang w:val="es-ES"/>
        </w:rPr>
        <w:t>PAULO, L. F. et al.</w:t>
      </w:r>
      <w:r>
        <w:rPr>
          <w:lang w:val="es-ES"/>
        </w:rPr>
        <w:t xml:space="preserve"> </w:t>
      </w:r>
      <w:r w:rsidRPr="00F52914">
        <w:t xml:space="preserve">Pielonefrite: revisão de literatura. </w:t>
      </w:r>
      <w:r>
        <w:t xml:space="preserve">Arquivos do MUDI, v 23, n 3, p. 413-431, 2019. </w:t>
      </w:r>
    </w:p>
    <w:p w14:paraId="34BF77E7" w14:textId="7DAEB051" w:rsidR="00987A18" w:rsidRPr="00F52914" w:rsidRDefault="00987A18" w:rsidP="00F341E9"/>
    <w:p w14:paraId="31AF0753" w14:textId="23D1F609" w:rsidR="002D0031" w:rsidRPr="002D0031" w:rsidRDefault="002D0031" w:rsidP="00F341E9">
      <w:pPr>
        <w:rPr>
          <w:lang w:val="en-US"/>
        </w:rPr>
      </w:pPr>
      <w:r w:rsidRPr="002D0031">
        <w:rPr>
          <w:lang w:val="en-US"/>
        </w:rPr>
        <w:t>PRICE, J. R. et al. Nitrofurantoin versus other prophylactic agents in reducing recurrent urinary tract infections in adult women. A Systematic Review and Meta-analysis. American journal of obstetrics and gynecology, n. 215, v.5, p.548–560, 2016.</w:t>
      </w:r>
    </w:p>
    <w:p w14:paraId="5882CD66" w14:textId="48D86F9E" w:rsidR="003B3B68" w:rsidRPr="003B3B68" w:rsidRDefault="003B3B68" w:rsidP="002D0031">
      <w:pPr>
        <w:pStyle w:val="NormalWeb"/>
      </w:pPr>
      <w:r w:rsidRPr="003B3B68">
        <w:t>ROQUE, J. M. C. M. A. Pielonefrite aguda: diagnóstico e tratamento. Universidade de Coimbra. Port</w:t>
      </w:r>
      <w:r>
        <w:t xml:space="preserve">ugal, Jan, 2011. disponível em: &lt; </w:t>
      </w:r>
      <w:r w:rsidRPr="003B3B68">
        <w:rPr>
          <w:rFonts w:ascii="Times" w:hAnsi="Times"/>
          <w:color w:val="000000" w:themeColor="text1"/>
          <w:shd w:val="clear" w:color="auto" w:fill="F9F2F4"/>
        </w:rPr>
        <w:t>http://hdl.handle.net/10316/45603</w:t>
      </w:r>
      <w:proofErr w:type="gramStart"/>
      <w:r>
        <w:t>&gt; .</w:t>
      </w:r>
      <w:proofErr w:type="gramEnd"/>
      <w:r>
        <w:t xml:space="preserve"> acesso em: 24/11/2021.</w:t>
      </w:r>
    </w:p>
    <w:p w14:paraId="625D0D05" w14:textId="3B6EFA5A" w:rsidR="00987A18" w:rsidRPr="00E43EED" w:rsidRDefault="00987A18" w:rsidP="00F341E9">
      <w:r w:rsidRPr="00987A18">
        <w:rPr>
          <w:lang w:val="en-US"/>
        </w:rPr>
        <w:t xml:space="preserve">SUSKIND, A. M. et al. Incidence and Management of Uncomplicated Recurrent Urinary Tract Infections in a National Sample of Women in the United States. </w:t>
      </w:r>
      <w:proofErr w:type="spellStart"/>
      <w:r w:rsidRPr="00987A18">
        <w:t>Urology</w:t>
      </w:r>
      <w:proofErr w:type="spellEnd"/>
      <w:r w:rsidRPr="00987A18">
        <w:t>. n. 90, v. 2, p.50–55, 2016.</w:t>
      </w:r>
    </w:p>
    <w:p w14:paraId="523B1EC2" w14:textId="0805A261" w:rsidR="00F341E9" w:rsidRPr="00E43EED" w:rsidRDefault="00F341E9" w:rsidP="00F341E9"/>
    <w:p w14:paraId="28D0B7FB" w14:textId="77777777" w:rsidR="00E43EED" w:rsidRPr="00E43EED" w:rsidRDefault="00E43EED" w:rsidP="00E43EED">
      <w:r w:rsidRPr="00E43EED">
        <w:t>WIDMAIER, E. P. Vander fisiologia humana: os mecanismos das funções corporais. 12. ed. Rio de Janeiro: Guanabara Koogan, 2013</w:t>
      </w:r>
    </w:p>
    <w:p w14:paraId="70D1D319" w14:textId="4117E6EC" w:rsidR="00F341E9" w:rsidRPr="00874B14" w:rsidRDefault="00F341E9" w:rsidP="00F341E9">
      <w:pPr>
        <w:rPr>
          <w:lang w:val="en-US"/>
        </w:rPr>
      </w:pPr>
    </w:p>
    <w:p w14:paraId="0F9FFF6D" w14:textId="77777777" w:rsidR="00F341E9" w:rsidRPr="00874B14" w:rsidRDefault="00F341E9" w:rsidP="00F341E9">
      <w:pPr>
        <w:rPr>
          <w:lang w:val="en-US"/>
        </w:rPr>
      </w:pPr>
    </w:p>
    <w:p w14:paraId="017920B8" w14:textId="72488729" w:rsidR="00F341E9" w:rsidRPr="00874B14" w:rsidRDefault="00F341E9" w:rsidP="00F341E9">
      <w:pPr>
        <w:rPr>
          <w:lang w:val="en-US"/>
        </w:rPr>
      </w:pPr>
      <w:r w:rsidRPr="00874B14">
        <w:rPr>
          <w:lang w:val="en-US"/>
        </w:rPr>
        <w:tab/>
      </w:r>
    </w:p>
    <w:p w14:paraId="6FA9CFC8" w14:textId="1EE8D623" w:rsidR="00F341E9" w:rsidRPr="00140ED9" w:rsidRDefault="00F341E9" w:rsidP="00F341E9">
      <w:pPr>
        <w:rPr>
          <w:lang w:val="en-US"/>
        </w:rPr>
      </w:pPr>
    </w:p>
    <w:p w14:paraId="1AEACE18" w14:textId="77777777" w:rsidR="00140ED9" w:rsidRPr="00140ED9" w:rsidRDefault="00140ED9" w:rsidP="00140ED9">
      <w:pPr>
        <w:ind w:firstLine="708"/>
        <w:jc w:val="both"/>
        <w:rPr>
          <w:lang w:val="en-US"/>
        </w:rPr>
      </w:pPr>
    </w:p>
    <w:p w14:paraId="4C41010F" w14:textId="77777777" w:rsidR="008743FC" w:rsidRPr="00874B14" w:rsidRDefault="008743FC">
      <w:pPr>
        <w:rPr>
          <w:lang w:val="en-US"/>
        </w:rPr>
      </w:pPr>
    </w:p>
    <w:sectPr w:rsidR="008743FC" w:rsidRPr="00874B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FC"/>
    <w:rsid w:val="000C52AB"/>
    <w:rsid w:val="00100DA2"/>
    <w:rsid w:val="0010753D"/>
    <w:rsid w:val="00140ED9"/>
    <w:rsid w:val="002D0031"/>
    <w:rsid w:val="00354ED1"/>
    <w:rsid w:val="003939E0"/>
    <w:rsid w:val="003B3B68"/>
    <w:rsid w:val="005021A6"/>
    <w:rsid w:val="0051631B"/>
    <w:rsid w:val="005F12AA"/>
    <w:rsid w:val="00725A0E"/>
    <w:rsid w:val="008743FC"/>
    <w:rsid w:val="00874B14"/>
    <w:rsid w:val="00987A18"/>
    <w:rsid w:val="009F7A37"/>
    <w:rsid w:val="00C76050"/>
    <w:rsid w:val="00D671EB"/>
    <w:rsid w:val="00D91067"/>
    <w:rsid w:val="00E43EED"/>
    <w:rsid w:val="00EE5832"/>
    <w:rsid w:val="00F341E9"/>
    <w:rsid w:val="00F5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06C6CB"/>
  <w15:chartTrackingRefBased/>
  <w15:docId w15:val="{BF6D93C5-F7B8-0543-BB93-865F5280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50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3B6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6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1523</Words>
  <Characters>8230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2021-11-23T19:26:00Z</dcterms:created>
  <dcterms:modified xsi:type="dcterms:W3CDTF">2021-11-24T23:41:00Z</dcterms:modified>
</cp:coreProperties>
</file>