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95EF5" w14:textId="60DD0931" w:rsidR="002815F9" w:rsidRPr="00082CB1" w:rsidRDefault="00FA3255" w:rsidP="00082CB1">
      <w:pPr>
        <w:rPr>
          <w:b/>
          <w:bCs/>
          <w:szCs w:val="22"/>
        </w:rPr>
      </w:pPr>
      <w:r w:rsidRPr="00082CB1">
        <w:rPr>
          <w:b/>
          <w:bCs/>
          <w:szCs w:val="22"/>
        </w:rPr>
        <w:t xml:space="preserve">The role of </w:t>
      </w:r>
      <w:r w:rsidR="006D7406" w:rsidRPr="00082CB1">
        <w:rPr>
          <w:b/>
          <w:bCs/>
          <w:szCs w:val="22"/>
        </w:rPr>
        <w:t xml:space="preserve">risk factors </w:t>
      </w:r>
      <w:r w:rsidR="002815F9" w:rsidRPr="00082CB1">
        <w:rPr>
          <w:b/>
          <w:bCs/>
          <w:szCs w:val="22"/>
        </w:rPr>
        <w:t xml:space="preserve">across the spectrum of cardiovascular disease presentations. </w:t>
      </w:r>
      <w:r w:rsidR="0039616A">
        <w:rPr>
          <w:b/>
          <w:bCs/>
          <w:szCs w:val="22"/>
        </w:rPr>
        <w:br/>
      </w:r>
      <w:r w:rsidR="002815F9" w:rsidRPr="00082CB1">
        <w:rPr>
          <w:b/>
          <w:bCs/>
          <w:szCs w:val="22"/>
        </w:rPr>
        <w:t>A UK Biobank study.</w:t>
      </w:r>
    </w:p>
    <w:p w14:paraId="6DB92A2E" w14:textId="09142F6E" w:rsidR="007F6989" w:rsidRDefault="007F6989" w:rsidP="00082CB1">
      <w:pPr>
        <w:rPr>
          <w:b/>
          <w:bCs/>
          <w:szCs w:val="22"/>
        </w:rPr>
      </w:pPr>
    </w:p>
    <w:p w14:paraId="6A636C64" w14:textId="2A1EDA3C" w:rsidR="00884AE6" w:rsidRDefault="00394B9A" w:rsidP="00082CB1">
      <w:pPr>
        <w:rPr>
          <w:b/>
          <w:bCs/>
          <w:szCs w:val="22"/>
        </w:rPr>
      </w:pPr>
      <w:r>
        <w:rPr>
          <w:b/>
          <w:bCs/>
          <w:szCs w:val="22"/>
        </w:rPr>
        <w:t>Statistical analysis plan</w:t>
      </w:r>
    </w:p>
    <w:p w14:paraId="2E6BCC6C" w14:textId="198E2A26" w:rsidR="00394B9A" w:rsidRDefault="00394B9A" w:rsidP="00082CB1">
      <w:pPr>
        <w:rPr>
          <w:szCs w:val="22"/>
        </w:rPr>
      </w:pPr>
      <w:r>
        <w:rPr>
          <w:szCs w:val="22"/>
        </w:rPr>
        <w:t xml:space="preserve">Nathalie Conrad, Mark Woodward, </w:t>
      </w:r>
      <w:r w:rsidRPr="00394B9A">
        <w:rPr>
          <w:szCs w:val="22"/>
        </w:rPr>
        <w:t>25 May 2025</w:t>
      </w:r>
      <w:r>
        <w:rPr>
          <w:szCs w:val="22"/>
        </w:rPr>
        <w:t>.</w:t>
      </w:r>
    </w:p>
    <w:p w14:paraId="3936F8BF" w14:textId="77777777" w:rsidR="00394B9A" w:rsidRPr="00394B9A" w:rsidRDefault="00394B9A" w:rsidP="00082CB1">
      <w:pPr>
        <w:rPr>
          <w:szCs w:val="22"/>
        </w:rPr>
      </w:pPr>
    </w:p>
    <w:p w14:paraId="07D8BAB1" w14:textId="6F6D99BC" w:rsidR="007F6989" w:rsidRPr="00082CB1" w:rsidRDefault="0039616A" w:rsidP="00082CB1">
      <w:pPr>
        <w:rPr>
          <w:b/>
          <w:bCs/>
          <w:color w:val="0070C0"/>
          <w:szCs w:val="22"/>
        </w:rPr>
      </w:pPr>
      <w:r>
        <w:rPr>
          <w:b/>
          <w:bCs/>
          <w:color w:val="0070C0"/>
          <w:szCs w:val="22"/>
        </w:rPr>
        <w:t>Aims</w:t>
      </w:r>
    </w:p>
    <w:p w14:paraId="412D8E0B" w14:textId="4D87A36F" w:rsidR="007F6989" w:rsidRPr="00082CB1" w:rsidRDefault="0039616A" w:rsidP="00082CB1">
      <w:pPr>
        <w:rPr>
          <w:rFonts w:cs="Calibri"/>
          <w:color w:val="000000" w:themeColor="text1"/>
          <w:szCs w:val="22"/>
          <w:lang w:val="en-GB"/>
        </w:rPr>
      </w:pPr>
      <w:r>
        <w:rPr>
          <w:szCs w:val="22"/>
        </w:rPr>
        <w:t>This study aims</w:t>
      </w:r>
      <w:r w:rsidR="007F6989" w:rsidRPr="00082CB1">
        <w:rPr>
          <w:szCs w:val="22"/>
        </w:rPr>
        <w:t xml:space="preserve"> </w:t>
      </w:r>
      <w:r>
        <w:rPr>
          <w:szCs w:val="22"/>
        </w:rPr>
        <w:t>to perform a</w:t>
      </w:r>
      <w:r w:rsidR="007F6989" w:rsidRPr="00082CB1">
        <w:rPr>
          <w:szCs w:val="22"/>
        </w:rPr>
        <w:t xml:space="preserve"> comprehensive analysis of risk factors and their associations across the spectrum of cardiovascular disease presentations.</w:t>
      </w:r>
      <w:r w:rsidR="007F6989" w:rsidRPr="00082CB1">
        <w:rPr>
          <w:szCs w:val="22"/>
          <w:lang w:val="en-GB"/>
        </w:rPr>
        <w:t xml:space="preserve"> </w:t>
      </w:r>
    </w:p>
    <w:p w14:paraId="3C6E715B" w14:textId="77777777" w:rsidR="001A0171" w:rsidRDefault="001A0171" w:rsidP="00082CB1">
      <w:pPr>
        <w:rPr>
          <w:b/>
          <w:bCs/>
          <w:color w:val="0070C0"/>
          <w:szCs w:val="22"/>
        </w:rPr>
      </w:pPr>
    </w:p>
    <w:p w14:paraId="0BAF2220" w14:textId="23B39BD8" w:rsidR="007F6989" w:rsidRPr="00082CB1" w:rsidRDefault="007F6989" w:rsidP="00082CB1">
      <w:pPr>
        <w:rPr>
          <w:b/>
          <w:bCs/>
          <w:color w:val="0070C0"/>
          <w:szCs w:val="22"/>
        </w:rPr>
      </w:pPr>
      <w:r w:rsidRPr="00082CB1">
        <w:rPr>
          <w:b/>
          <w:bCs/>
          <w:color w:val="0070C0"/>
          <w:szCs w:val="22"/>
        </w:rPr>
        <w:t>Methods</w:t>
      </w:r>
    </w:p>
    <w:p w14:paraId="58BCEF34" w14:textId="77777777" w:rsidR="007F6989" w:rsidRPr="00082CB1" w:rsidRDefault="007F6989" w:rsidP="00082CB1">
      <w:pPr>
        <w:rPr>
          <w:b/>
          <w:bCs/>
          <w:szCs w:val="22"/>
        </w:rPr>
      </w:pPr>
      <w:r w:rsidRPr="00082CB1">
        <w:rPr>
          <w:b/>
          <w:bCs/>
          <w:szCs w:val="22"/>
        </w:rPr>
        <w:t>Data Source</w:t>
      </w:r>
    </w:p>
    <w:p w14:paraId="633185F7" w14:textId="6795B27D" w:rsidR="007F6989" w:rsidRPr="00082CB1" w:rsidRDefault="007F6989" w:rsidP="00082CB1">
      <w:pPr>
        <w:rPr>
          <w:szCs w:val="22"/>
        </w:rPr>
      </w:pPr>
      <w:r w:rsidRPr="00082CB1">
        <w:rPr>
          <w:szCs w:val="22"/>
        </w:rPr>
        <w:t xml:space="preserve">We </w:t>
      </w:r>
      <w:r w:rsidR="003F71FE" w:rsidRPr="00082CB1">
        <w:rPr>
          <w:szCs w:val="22"/>
        </w:rPr>
        <w:t xml:space="preserve">will </w:t>
      </w:r>
      <w:r w:rsidRPr="00082CB1">
        <w:rPr>
          <w:szCs w:val="22"/>
        </w:rPr>
        <w:t>use data from the</w:t>
      </w:r>
      <w:r w:rsidRPr="00082CB1">
        <w:rPr>
          <w:rFonts w:eastAsiaTheme="majorEastAsia"/>
          <w:szCs w:val="22"/>
        </w:rPr>
        <w:t> </w:t>
      </w:r>
      <w:r>
        <w:fldChar w:fldCharType="begin"/>
      </w:r>
      <w:r>
        <w:instrText>HYPERLINK "https://www.sciencedirect.com/topics/medicine-and-dentistry/uk-biobank" \o "Learn more about UK Biobank from ScienceDirect's AI-generated Topic Pages"</w:instrText>
      </w:r>
      <w:r>
        <w:fldChar w:fldCharType="separate"/>
      </w:r>
      <w:r w:rsidRPr="00082CB1">
        <w:rPr>
          <w:rFonts w:eastAsiaTheme="majorEastAsia"/>
          <w:szCs w:val="22"/>
        </w:rPr>
        <w:t>UK Biobank</w:t>
      </w:r>
      <w:r>
        <w:fldChar w:fldCharType="end"/>
      </w:r>
      <w:r w:rsidRPr="00082CB1">
        <w:rPr>
          <w:szCs w:val="22"/>
        </w:rPr>
        <w:t>, a population-based</w:t>
      </w:r>
      <w:r w:rsidRPr="00082CB1">
        <w:rPr>
          <w:rFonts w:eastAsiaTheme="majorEastAsia"/>
          <w:szCs w:val="22"/>
        </w:rPr>
        <w:t> </w:t>
      </w:r>
      <w:r>
        <w:fldChar w:fldCharType="begin"/>
      </w:r>
      <w:r>
        <w:instrText>HYPERLINK "https://www.sciencedirect.com/topics/biochemistry-genetics-and-molecular-biology/prospective-cohort-study" \o "Learn more about prospective cohort study from ScienceDirect's AI-generated Topic Pages"</w:instrText>
      </w:r>
      <w:r>
        <w:fldChar w:fldCharType="separate"/>
      </w:r>
      <w:r w:rsidRPr="00082CB1">
        <w:rPr>
          <w:rFonts w:eastAsiaTheme="majorEastAsia"/>
          <w:szCs w:val="22"/>
        </w:rPr>
        <w:t>prospective cohort study</w:t>
      </w:r>
      <w:r>
        <w:fldChar w:fldCharType="end"/>
      </w:r>
      <w:r w:rsidRPr="00082CB1">
        <w:rPr>
          <w:szCs w:val="22"/>
        </w:rPr>
        <w:t xml:space="preserve"> comprising 500 000 individual</w:t>
      </w:r>
      <w:r w:rsidR="00D17E69" w:rsidRPr="00082CB1">
        <w:rPr>
          <w:szCs w:val="22"/>
        </w:rPr>
        <w:t>s</w:t>
      </w:r>
      <w:r w:rsidRPr="00082CB1">
        <w:rPr>
          <w:szCs w:val="22"/>
        </w:rPr>
        <w:t xml:space="preserve"> from the UK, aged 40–69 years at recruitement between 2006 and 2010. </w:t>
      </w:r>
    </w:p>
    <w:p w14:paraId="7DED3A08" w14:textId="77777777" w:rsidR="007F6989" w:rsidRPr="00082CB1" w:rsidRDefault="007F6989" w:rsidP="00082CB1">
      <w:pPr>
        <w:rPr>
          <w:b/>
          <w:bCs/>
          <w:szCs w:val="22"/>
        </w:rPr>
      </w:pPr>
      <w:r w:rsidRPr="00082CB1">
        <w:rPr>
          <w:b/>
          <w:bCs/>
          <w:szCs w:val="22"/>
        </w:rPr>
        <w:t>Study population</w:t>
      </w:r>
    </w:p>
    <w:p w14:paraId="252BD67C" w14:textId="74ED5C18" w:rsidR="005E6E3F" w:rsidRPr="00082CB1" w:rsidRDefault="007F6989" w:rsidP="00082CB1">
      <w:pPr>
        <w:rPr>
          <w:szCs w:val="22"/>
        </w:rPr>
      </w:pPr>
      <w:r w:rsidRPr="00270DA6">
        <w:rPr>
          <w:szCs w:val="22"/>
        </w:rPr>
        <w:t xml:space="preserve">We </w:t>
      </w:r>
      <w:r w:rsidR="003F71FE" w:rsidRPr="00270DA6">
        <w:rPr>
          <w:szCs w:val="22"/>
        </w:rPr>
        <w:t xml:space="preserve">will </w:t>
      </w:r>
      <w:r w:rsidRPr="00270DA6">
        <w:rPr>
          <w:szCs w:val="22"/>
        </w:rPr>
        <w:t>includ</w:t>
      </w:r>
      <w:r w:rsidR="003F71FE" w:rsidRPr="00270DA6">
        <w:rPr>
          <w:szCs w:val="22"/>
        </w:rPr>
        <w:t>e</w:t>
      </w:r>
      <w:r w:rsidRPr="00270DA6">
        <w:rPr>
          <w:szCs w:val="22"/>
        </w:rPr>
        <w:t xml:space="preserve"> all men and women </w:t>
      </w:r>
      <w:r w:rsidR="001B08D3" w:rsidRPr="00270DA6">
        <w:rPr>
          <w:szCs w:val="22"/>
        </w:rPr>
        <w:t>from</w:t>
      </w:r>
      <w:r w:rsidRPr="00270DA6">
        <w:rPr>
          <w:szCs w:val="22"/>
        </w:rPr>
        <w:t xml:space="preserve"> the UK Biobank</w:t>
      </w:r>
      <w:r w:rsidR="001B08D3" w:rsidRPr="00270DA6">
        <w:rPr>
          <w:szCs w:val="22"/>
        </w:rPr>
        <w:t xml:space="preserve"> cohort</w:t>
      </w:r>
      <w:r w:rsidR="00270DA6" w:rsidRPr="00270DA6">
        <w:rPr>
          <w:szCs w:val="22"/>
        </w:rPr>
        <w:t xml:space="preserve">. </w:t>
      </w:r>
      <w:r w:rsidR="002B477D" w:rsidRPr="00270DA6">
        <w:rPr>
          <w:szCs w:val="22"/>
        </w:rPr>
        <w:t xml:space="preserve">Baseline date </w:t>
      </w:r>
      <w:r w:rsidR="003F71FE" w:rsidRPr="00270DA6">
        <w:rPr>
          <w:szCs w:val="22"/>
        </w:rPr>
        <w:t>will be</w:t>
      </w:r>
      <w:r w:rsidR="002B477D" w:rsidRPr="00270DA6">
        <w:rPr>
          <w:szCs w:val="22"/>
        </w:rPr>
        <w:t xml:space="preserve"> set as the date of</w:t>
      </w:r>
      <w:r w:rsidR="001777C7" w:rsidRPr="00270DA6">
        <w:rPr>
          <w:szCs w:val="22"/>
        </w:rPr>
        <w:t xml:space="preserve"> first assessment center visit.</w:t>
      </w:r>
      <w:r w:rsidR="005E6E3F" w:rsidRPr="00270DA6">
        <w:rPr>
          <w:szCs w:val="22"/>
        </w:rPr>
        <w:t xml:space="preserve"> </w:t>
      </w:r>
      <w:r w:rsidR="00270DA6" w:rsidRPr="00270DA6">
        <w:rPr>
          <w:szCs w:val="22"/>
        </w:rPr>
        <w:t>Participants with prevalent cardiovascular disease at baseline will be excluded.</w:t>
      </w:r>
    </w:p>
    <w:p w14:paraId="517330DA" w14:textId="77777777" w:rsidR="007F6989" w:rsidRPr="00082CB1" w:rsidRDefault="007F6989" w:rsidP="00082CB1">
      <w:pPr>
        <w:rPr>
          <w:rFonts w:eastAsiaTheme="minorHAnsi"/>
          <w:b/>
          <w:bCs/>
          <w:szCs w:val="22"/>
        </w:rPr>
      </w:pPr>
      <w:r w:rsidRPr="00082CB1">
        <w:rPr>
          <w:rFonts w:eastAsiaTheme="minorHAnsi"/>
          <w:b/>
          <w:bCs/>
          <w:szCs w:val="22"/>
        </w:rPr>
        <w:t>Study endpoints</w:t>
      </w:r>
    </w:p>
    <w:p w14:paraId="5E38381E" w14:textId="3C28ABB5" w:rsidR="00293B7E" w:rsidRDefault="007F6989" w:rsidP="00082CB1">
      <w:pPr>
        <w:rPr>
          <w:szCs w:val="22"/>
        </w:rPr>
      </w:pPr>
      <w:r w:rsidRPr="00082CB1">
        <w:rPr>
          <w:szCs w:val="22"/>
        </w:rPr>
        <w:t>T</w:t>
      </w:r>
      <w:r w:rsidR="002B477D" w:rsidRPr="00082CB1">
        <w:rPr>
          <w:szCs w:val="22"/>
        </w:rPr>
        <w:t xml:space="preserve">he primary study endpoint </w:t>
      </w:r>
      <w:r w:rsidR="003F71FE" w:rsidRPr="00082CB1">
        <w:rPr>
          <w:szCs w:val="22"/>
        </w:rPr>
        <w:t>is</w:t>
      </w:r>
      <w:r w:rsidR="002B477D" w:rsidRPr="00082CB1">
        <w:rPr>
          <w:szCs w:val="22"/>
        </w:rPr>
        <w:t xml:space="preserve"> incident cardiovascular disease</w:t>
      </w:r>
      <w:r w:rsidR="00271F5F">
        <w:rPr>
          <w:szCs w:val="22"/>
        </w:rPr>
        <w:t xml:space="preserve"> (CVD)</w:t>
      </w:r>
      <w:r w:rsidR="002B477D" w:rsidRPr="00082CB1">
        <w:rPr>
          <w:szCs w:val="22"/>
        </w:rPr>
        <w:t>. T</w:t>
      </w:r>
      <w:r w:rsidRPr="00082CB1">
        <w:rPr>
          <w:szCs w:val="22"/>
        </w:rPr>
        <w:t xml:space="preserve">o best characterise the spectrum of CVD, we </w:t>
      </w:r>
      <w:r w:rsidR="003F71FE" w:rsidRPr="00082CB1">
        <w:rPr>
          <w:szCs w:val="22"/>
        </w:rPr>
        <w:t>will e</w:t>
      </w:r>
      <w:r w:rsidRPr="00082CB1">
        <w:rPr>
          <w:szCs w:val="22"/>
        </w:rPr>
        <w:t xml:space="preserve">xamine the following conditions: </w:t>
      </w:r>
      <w:r w:rsidR="00E06E4C">
        <w:rPr>
          <w:szCs w:val="22"/>
        </w:rPr>
        <w:t>ischaemic heart disease (</w:t>
      </w:r>
      <w:r w:rsidRPr="00082CB1">
        <w:rPr>
          <w:szCs w:val="22"/>
        </w:rPr>
        <w:t>acute coronary syndrome</w:t>
      </w:r>
      <w:r w:rsidR="00E06E4C">
        <w:rPr>
          <w:szCs w:val="22"/>
        </w:rPr>
        <w:t xml:space="preserve"> and other</w:t>
      </w:r>
      <w:r w:rsidR="00E06E4C" w:rsidRPr="00082CB1">
        <w:rPr>
          <w:szCs w:val="22"/>
        </w:rPr>
        <w:t xml:space="preserve"> ischaemic heart disease</w:t>
      </w:r>
      <w:r w:rsidR="00E06E4C">
        <w:rPr>
          <w:szCs w:val="22"/>
        </w:rPr>
        <w:t>)</w:t>
      </w:r>
      <w:r w:rsidRPr="00082CB1">
        <w:rPr>
          <w:szCs w:val="22"/>
        </w:rPr>
        <w:t>; aortic aneurysm; aortic stenosis; atrial fibrillation and flutter; heart failure; peripheral arterial disease; second- and third-degree heart block; stroke; and venous thromboembolism</w:t>
      </w:r>
      <w:r w:rsidR="00293B7E">
        <w:rPr>
          <w:szCs w:val="22"/>
        </w:rPr>
        <w:t xml:space="preserve">. </w:t>
      </w:r>
      <w:r w:rsidR="009C2C3E" w:rsidRPr="00082CB1">
        <w:rPr>
          <w:szCs w:val="22"/>
        </w:rPr>
        <w:t xml:space="preserve">We </w:t>
      </w:r>
      <w:r w:rsidR="003F71FE" w:rsidRPr="00082CB1">
        <w:rPr>
          <w:szCs w:val="22"/>
        </w:rPr>
        <w:t xml:space="preserve">will </w:t>
      </w:r>
      <w:r w:rsidR="009C2C3E" w:rsidRPr="00082CB1">
        <w:rPr>
          <w:szCs w:val="22"/>
        </w:rPr>
        <w:t>consider diseases individually and as a composite outcome of all CVD combined (defined as the first recorded event across all conditions investigated).</w:t>
      </w:r>
      <w:r w:rsidR="00293B7E">
        <w:rPr>
          <w:szCs w:val="22"/>
        </w:rPr>
        <w:t xml:space="preserve"> </w:t>
      </w:r>
    </w:p>
    <w:p w14:paraId="3C9C85CF" w14:textId="6FD32779" w:rsidR="00340035" w:rsidRPr="00082CB1" w:rsidRDefault="00E06E4C" w:rsidP="00082CB1">
      <w:pPr>
        <w:rPr>
          <w:szCs w:val="22"/>
        </w:rPr>
      </w:pPr>
      <w:r>
        <w:rPr>
          <w:szCs w:val="22"/>
        </w:rPr>
        <w:t>A series of substudies will investigate</w:t>
      </w:r>
      <w:r w:rsidR="00340035" w:rsidRPr="002F3F87">
        <w:rPr>
          <w:szCs w:val="22"/>
        </w:rPr>
        <w:t xml:space="preserve"> secondary endpoint</w:t>
      </w:r>
      <w:r>
        <w:rPr>
          <w:szCs w:val="22"/>
        </w:rPr>
        <w:t xml:space="preserve">s, </w:t>
      </w:r>
      <w:r w:rsidR="00490E93">
        <w:rPr>
          <w:szCs w:val="22"/>
        </w:rPr>
        <w:t>focussing on</w:t>
      </w:r>
      <w:r>
        <w:rPr>
          <w:szCs w:val="22"/>
        </w:rPr>
        <w:t xml:space="preserve"> </w:t>
      </w:r>
      <w:r w:rsidR="00340035">
        <w:rPr>
          <w:szCs w:val="22"/>
        </w:rPr>
        <w:t>specific disease subtypes</w:t>
      </w:r>
      <w:r w:rsidR="00490E93">
        <w:rPr>
          <w:szCs w:val="22"/>
        </w:rPr>
        <w:t xml:space="preserve"> including: i) </w:t>
      </w:r>
      <w:r w:rsidR="00340035">
        <w:rPr>
          <w:szCs w:val="22"/>
        </w:rPr>
        <w:t xml:space="preserve">acute coronary syndromes </w:t>
      </w:r>
      <w:r w:rsidR="00490E93">
        <w:rPr>
          <w:szCs w:val="22"/>
        </w:rPr>
        <w:t>(</w:t>
      </w:r>
      <w:r w:rsidR="00340035" w:rsidRPr="00293B7E">
        <w:rPr>
          <w:szCs w:val="22"/>
        </w:rPr>
        <w:t xml:space="preserve">ST-segment elevation myocardial infarction (STEMI) </w:t>
      </w:r>
      <w:r w:rsidR="00340035">
        <w:rPr>
          <w:szCs w:val="22"/>
        </w:rPr>
        <w:t>and non-</w:t>
      </w:r>
      <w:r w:rsidR="00340035" w:rsidRPr="00293B7E">
        <w:rPr>
          <w:szCs w:val="22"/>
        </w:rPr>
        <w:t xml:space="preserve"> ST-segment elevation myocardial infarction (</w:t>
      </w:r>
      <w:r w:rsidR="00340035">
        <w:rPr>
          <w:szCs w:val="22"/>
        </w:rPr>
        <w:t>N</w:t>
      </w:r>
      <w:r w:rsidR="00340035" w:rsidRPr="00293B7E">
        <w:rPr>
          <w:szCs w:val="22"/>
        </w:rPr>
        <w:t>STEMI)</w:t>
      </w:r>
      <w:r w:rsidR="00490E93">
        <w:rPr>
          <w:szCs w:val="22"/>
        </w:rPr>
        <w:t>)</w:t>
      </w:r>
      <w:r w:rsidR="00340035">
        <w:rPr>
          <w:szCs w:val="22"/>
        </w:rPr>
        <w:t>;</w:t>
      </w:r>
      <w:r w:rsidR="00490E93">
        <w:rPr>
          <w:szCs w:val="22"/>
        </w:rPr>
        <w:t xml:space="preserve"> ii)</w:t>
      </w:r>
      <w:r w:rsidR="00340035">
        <w:rPr>
          <w:szCs w:val="22"/>
        </w:rPr>
        <w:t xml:space="preserve"> heart failure </w:t>
      </w:r>
      <w:r w:rsidR="00490E93">
        <w:rPr>
          <w:szCs w:val="22"/>
        </w:rPr>
        <w:t>(</w:t>
      </w:r>
      <w:r w:rsidR="00340035">
        <w:rPr>
          <w:szCs w:val="22"/>
        </w:rPr>
        <w:t>following</w:t>
      </w:r>
      <w:r w:rsidR="00340035" w:rsidRPr="002F3F87">
        <w:rPr>
          <w:szCs w:val="22"/>
        </w:rPr>
        <w:t xml:space="preserve"> </w:t>
      </w:r>
      <w:r w:rsidR="00490E93">
        <w:rPr>
          <w:szCs w:val="22"/>
        </w:rPr>
        <w:t>ischaemic heart disease</w:t>
      </w:r>
      <w:r w:rsidR="00340035">
        <w:rPr>
          <w:szCs w:val="22"/>
        </w:rPr>
        <w:t xml:space="preserve"> </w:t>
      </w:r>
      <w:r w:rsidR="00490E93">
        <w:rPr>
          <w:szCs w:val="22"/>
        </w:rPr>
        <w:t>and other)</w:t>
      </w:r>
      <w:r w:rsidR="00340035">
        <w:rPr>
          <w:szCs w:val="22"/>
        </w:rPr>
        <w:t>;</w:t>
      </w:r>
      <w:r w:rsidR="00490E93">
        <w:rPr>
          <w:szCs w:val="22"/>
        </w:rPr>
        <w:t xml:space="preserve"> iii)</w:t>
      </w:r>
      <w:r w:rsidR="00340035">
        <w:rPr>
          <w:szCs w:val="22"/>
        </w:rPr>
        <w:t xml:space="preserve"> </w:t>
      </w:r>
      <w:r w:rsidR="00490E93">
        <w:rPr>
          <w:szCs w:val="22"/>
        </w:rPr>
        <w:t>heart block (following</w:t>
      </w:r>
      <w:r w:rsidR="00490E93" w:rsidRPr="002F3F87">
        <w:rPr>
          <w:szCs w:val="22"/>
        </w:rPr>
        <w:t xml:space="preserve"> </w:t>
      </w:r>
      <w:r w:rsidR="00490E93">
        <w:rPr>
          <w:szCs w:val="22"/>
        </w:rPr>
        <w:t xml:space="preserve">ischaemic heart disease and other); </w:t>
      </w:r>
      <w:r w:rsidR="00340035">
        <w:rPr>
          <w:szCs w:val="22"/>
        </w:rPr>
        <w:t xml:space="preserve">subtypes of stroke </w:t>
      </w:r>
      <w:r w:rsidR="00490E93">
        <w:rPr>
          <w:szCs w:val="22"/>
        </w:rPr>
        <w:t>(</w:t>
      </w:r>
      <w:r w:rsidR="00340035" w:rsidRPr="00082CB1">
        <w:rPr>
          <w:szCs w:val="22"/>
        </w:rPr>
        <w:t>ischaemic</w:t>
      </w:r>
      <w:r w:rsidR="00490E93">
        <w:rPr>
          <w:szCs w:val="22"/>
        </w:rPr>
        <w:t xml:space="preserve">, </w:t>
      </w:r>
      <w:r w:rsidR="00490E93" w:rsidRPr="00490E93">
        <w:rPr>
          <w:szCs w:val="22"/>
        </w:rPr>
        <w:t>intracerebral haemorrhage, subarachnoid haemorrhage</w:t>
      </w:r>
      <w:r w:rsidR="00490E93">
        <w:rPr>
          <w:szCs w:val="22"/>
        </w:rPr>
        <w:t xml:space="preserve">); iv) </w:t>
      </w:r>
      <w:r w:rsidR="00340035" w:rsidRPr="00082CB1">
        <w:rPr>
          <w:szCs w:val="22"/>
        </w:rPr>
        <w:t xml:space="preserve">venous thromboembolism </w:t>
      </w:r>
      <w:r w:rsidR="00490E93">
        <w:rPr>
          <w:szCs w:val="22"/>
        </w:rPr>
        <w:t>(</w:t>
      </w:r>
      <w:r w:rsidR="00340035" w:rsidRPr="00082CB1">
        <w:rPr>
          <w:szCs w:val="22"/>
        </w:rPr>
        <w:t>deep vein thrombosis and pulmonary embolism</w:t>
      </w:r>
      <w:r w:rsidR="00490E93">
        <w:rPr>
          <w:szCs w:val="22"/>
        </w:rPr>
        <w:t>)</w:t>
      </w:r>
      <w:r w:rsidR="00340035" w:rsidRPr="00082CB1">
        <w:rPr>
          <w:szCs w:val="22"/>
        </w:rPr>
        <w:t>.</w:t>
      </w:r>
      <w:r w:rsidR="00340035" w:rsidRPr="008B3671">
        <w:rPr>
          <w:szCs w:val="22"/>
        </w:rPr>
        <w:t xml:space="preserve"> </w:t>
      </w:r>
    </w:p>
    <w:p w14:paraId="4D86438B" w14:textId="7175A9BA" w:rsidR="00254096" w:rsidRDefault="002B477D" w:rsidP="00082CB1">
      <w:pPr>
        <w:rPr>
          <w:rFonts w:eastAsia="MS Mincho" w:cs="Arial"/>
          <w:color w:val="000000"/>
          <w:szCs w:val="22"/>
          <w:lang w:val="en-GB"/>
        </w:rPr>
      </w:pPr>
      <w:r w:rsidRPr="00082CB1">
        <w:rPr>
          <w:szCs w:val="22"/>
        </w:rPr>
        <w:t>Cardiovascular events</w:t>
      </w:r>
      <w:r w:rsidR="007F6989" w:rsidRPr="00082CB1">
        <w:rPr>
          <w:rFonts w:eastAsiaTheme="minorHAnsi"/>
          <w:szCs w:val="22"/>
        </w:rPr>
        <w:t xml:space="preserve"> </w:t>
      </w:r>
      <w:r w:rsidR="003F71FE" w:rsidRPr="00082CB1">
        <w:rPr>
          <w:rFonts w:eastAsiaTheme="minorHAnsi"/>
          <w:szCs w:val="22"/>
        </w:rPr>
        <w:t>will be</w:t>
      </w:r>
      <w:r w:rsidR="009C2C3E" w:rsidRPr="00082CB1">
        <w:rPr>
          <w:rFonts w:eastAsiaTheme="minorHAnsi"/>
          <w:szCs w:val="22"/>
        </w:rPr>
        <w:t xml:space="preserve"> extracted from</w:t>
      </w:r>
      <w:r w:rsidR="007F6989" w:rsidRPr="00082CB1">
        <w:rPr>
          <w:rFonts w:eastAsiaTheme="minorHAnsi"/>
          <w:szCs w:val="22"/>
        </w:rPr>
        <w:t xml:space="preserve"> secondary care</w:t>
      </w:r>
      <w:r w:rsidR="009C2C3E" w:rsidRPr="00082CB1">
        <w:rPr>
          <w:rFonts w:eastAsiaTheme="minorHAnsi"/>
          <w:szCs w:val="22"/>
        </w:rPr>
        <w:t xml:space="preserve"> admissions data</w:t>
      </w:r>
      <w:r w:rsidR="0099132D">
        <w:rPr>
          <w:rFonts w:eastAsiaTheme="minorHAnsi"/>
          <w:szCs w:val="22"/>
        </w:rPr>
        <w:t xml:space="preserve"> and death certificates</w:t>
      </w:r>
      <w:r w:rsidR="007F6989" w:rsidRPr="00082CB1">
        <w:rPr>
          <w:rFonts w:eastAsiaTheme="minorHAnsi"/>
          <w:szCs w:val="22"/>
        </w:rPr>
        <w:t xml:space="preserve">, in any diagnostic position. </w:t>
      </w:r>
      <w:r w:rsidR="00254096">
        <w:rPr>
          <w:rFonts w:eastAsiaTheme="minorHAnsi"/>
          <w:szCs w:val="22"/>
        </w:rPr>
        <w:t>C</w:t>
      </w:r>
      <w:r w:rsidR="007F6989" w:rsidRPr="00082CB1">
        <w:rPr>
          <w:rFonts w:eastAsia="MS Mincho" w:cs="Arial"/>
          <w:color w:val="000000"/>
          <w:szCs w:val="22"/>
          <w:lang w:val="en-GB"/>
        </w:rPr>
        <w:t>ode</w:t>
      </w:r>
      <w:r w:rsidR="001E3CC6" w:rsidRPr="00082CB1">
        <w:rPr>
          <w:rFonts w:eastAsia="MS Mincho" w:cs="Arial"/>
          <w:color w:val="000000"/>
          <w:szCs w:val="22"/>
          <w:lang w:val="en-GB"/>
        </w:rPr>
        <w:t xml:space="preserve"> lists </w:t>
      </w:r>
      <w:r w:rsidR="00254096">
        <w:rPr>
          <w:rFonts w:eastAsia="MS Mincho" w:cs="Arial"/>
          <w:color w:val="000000"/>
          <w:szCs w:val="22"/>
          <w:lang w:val="en-GB"/>
        </w:rPr>
        <w:t xml:space="preserve">for event identification </w:t>
      </w:r>
      <w:r w:rsidR="001E3CC6" w:rsidRPr="00082CB1">
        <w:rPr>
          <w:rFonts w:eastAsia="MS Mincho" w:cs="Arial"/>
          <w:color w:val="000000"/>
          <w:szCs w:val="22"/>
          <w:lang w:val="en-GB"/>
        </w:rPr>
        <w:t>w</w:t>
      </w:r>
      <w:r w:rsidR="00394B9A">
        <w:rPr>
          <w:rFonts w:eastAsia="MS Mincho" w:cs="Arial"/>
          <w:color w:val="000000"/>
          <w:szCs w:val="22"/>
          <w:lang w:val="en-GB"/>
        </w:rPr>
        <w:t>ill be</w:t>
      </w:r>
      <w:r w:rsidR="001E3CC6" w:rsidRPr="00082CB1">
        <w:rPr>
          <w:rFonts w:eastAsia="MS Mincho" w:cs="Arial"/>
          <w:color w:val="000000"/>
          <w:szCs w:val="22"/>
          <w:lang w:val="en-GB"/>
        </w:rPr>
        <w:t xml:space="preserve"> established following previously established methods</w:t>
      </w:r>
      <w:r w:rsidR="001E3CC6" w:rsidRPr="00082CB1">
        <w:rPr>
          <w:rFonts w:eastAsia="MS Mincho" w:cs="Arial"/>
          <w:color w:val="000000"/>
          <w:szCs w:val="22"/>
          <w:lang w:val="en-GB"/>
        </w:rPr>
        <w:fldChar w:fldCharType="begin"/>
      </w:r>
      <w:r w:rsidR="00B905B0">
        <w:rPr>
          <w:rFonts w:eastAsia="MS Mincho" w:cs="Arial"/>
          <w:color w:val="000000"/>
          <w:szCs w:val="22"/>
          <w:lang w:val="en-GB"/>
        </w:rPr>
        <w:instrText xml:space="preserve"> ADDIN ZOTERO_ITEM CSL_CITATION {"citationID":"R1glzUrU","properties":{"formattedCitation":"\\super 1\\uc0\\u8211{}3\\nosupersub{}","plainCitation":"1–3","noteIndex":0},"citationItems":[{"id":3304,"uris":["http://zotero.org/users/10014724/items/JX8E2CHA"],"itemData":{"id":3304,"type":"article-journal","abstract":"BACKGROUND Large-scale and contemporary population-based studies of heart failure incidence are needed to inform resource planning and research prioritisation but current evidence is scarce. We aimed to assess temporal trends in incidence and prevalence of heart failure in a large general population cohort from the UK, between 2002 and 2014. METHODS For this population-based study, we used linked primary and secondary electronic health records of 4 million individuals from the Clinical Practice Research Datalink (CPRD), a cohort that is representative of the UK population in terms of age and sex. Eligible patients were aged 16 years and older, had contributed data between Jan 1, 2002, and Dec 31, 2014, had an acceptable record according to CPRD quality control, were approved for CPRD and Hospital Episodes Statistics linkage, and were registered with their general practice for at least 12 months. For patients with incident heart failure, we extracted the most recent measurement of baseline characteristics (within 2 years of diagnosis) from electronic health records, as well as information about comorbidities, socioeconomic status, ethnicity, and region. We calculated standardised rates by applying direct age and sex standardisation to the 2013 European Standard Population, and we inferred crude rates by applying year-specific, age-specific, and sex-specific incidence to UK census mid-year population estimates. We assumed no heart failure for patients aged 15 years or younger and report total incidence and prevalence for all ages (&gt;0 years). FINDINGS From 2002 to 2014, heart failure incidence (standardised by age and sex) decreased, similarly for men and women, by 7% (from 358 to 332 per 100 000 person-years; adjusted incidence ratio 0·93, 95% CI 0·91-0·94). However, the estimated absolute number of individuals with newly diagnosed heart failure in the UK increased by 12% (from 170 727 in 2002 to 190 798 in 2014), largely due to an increase in population size and age. The estimated absolute number of prevalent heart failure cases in the UK increased even more, by 23% (from 750 127 to 920 616). Over the study period, patient age and multi-morbidity at first presentation of heart failure increased (mean age 76·5 years [SD 12·0] to 77·0 years [12·9], adjusted difference 0·79 years, 95% CI 0·37-1·20; mean number of comorbidities 3·4 [SD 1·9] vs 5·4 [2·5]; adjusted difference 2·0, 95% CI 1·9-2·1). Socioeconomically deprived individuals were more likely to develop heart failure than were affluent individuals (incidence rate ratio 1·61, 95% CI 1·58-1·64), and did so earlier in life than those from the most affluent group (adjusted difference -3·51 years, 95% CI -3·77 to -3·25). From 2002 to 2014, the socioeconomic gradient in age at first presentation with heart failure widened. Socioeconomically deprived individuals also had more comorbidities, despite their younger age. INTERPRETATION Despite a moderate decline in standardised incidence of heart failure, the burden of heart failure in the UK is increasing, and is now similar to the four most common causes of cancer combined. The observed socioeconomic disparities in disease incidence and age at onset within the same nation point to a potentially preventable nature of heart failure that still needs to be tackled. FUNDING British Heart Foundation and National Institute for Health Research.","container-title":"The Lancet","DOI":"10.1016/S0140-6736(17)32520-5","ISSN":"1474-547X","issue":"10120","note":"PMID: 29174292\npublisher: Elsevier","page":"572-580","title":"Temporal trends and patterns in heart failure incidence: a population-based study of 4 million individuals.","volume":"391","author":[{"family":"Conrad","given":"Nathalie"},{"family":"Judge","given":"Andrew"},{"family":"Tran","given":"Jenny"},{"family":"Mohseni","given":"Hamid"},{"family":"Hedgecott","given":"Deborah"},{"family":"Crespillo","given":"Abel Perez"},{"family":"Allison","given":"Moira"},{"family":"Hemingway","given":"Harry"},{"family":"Cleland","given":"John G"},{"family":"McMurray","given":"John J V"},{"family":"Rahimi","given":"Kazem"}],"issued":{"date-parts":[["2017",11,21]]}}},{"id":4173,"uris":["http://zotero.org/users/10014724/items/JFMBR85N"],"itemData":{"id":4173,"type":"article-journal","abstract":"BACKGROUND Some autoimmune diseases are associated with an increased risk of cardiovascular disease. We aimed to determine whether or not this is true, and to what extent, for a broad range of autoimmune conditions. METHODS In this population-based study, we used linked primary and secondary care records from the Clinical Practice Research Datalink (CPRD), GOLD and Aurum datasets, to assemble a cohort of individuals across the UK who were newly diagnosed with any of 19 autoimmune diseases between Jan 1, 2000, and Dec 31, 2017, younger than 80 years at diagnosis, and free of cardiovascular diseases up to 12 months after diagnosis. We also assembled a matched cohort with up to five individuals matched on age, sex, socioeconomic status, region, and calendar year, who were free of autoimmune disease and free of cardiovascular diseases up to 12 months after study entry. Both cohorts were followed up until June 30, 2019. We investigated the incidence of 12 cardiovascular outcomes and used Cox proportional hazards models to examine differences in patients with and without autoimmune diseases. FINDINGS Of 22 009 375 individuals identified from the CPRD databases, we identified 446 449 eligible individuals with autoimmune diseases and 2 102 830 matched controls. In the autoimmune cohort, mean age at diagnosis was 46·2 years (SD 19·8), and 271 410 (60·8%) were women and 175 039 (39·2%) were men. 68 413 (15·3%) people with and 231 410 (11·0%) without autoimmune diseases developed incident cardiovascular disease during a median of 6·2 years (IQR 2·7-10·8) of follow-up. The incidence rate of cardiovascular disease was 23·3 events per 1000 patient-years among patients with autoimmune disease and 15·0 events per 1000 patient-years among those without an autoimmune disease (hazard ratio [HR] 1·56 [95% CI 1·52-1·59]). An increased risk of cardiovascular disease with autoimmune disease was seen for every individual cardiovascular disease and increased progressively with the number of autoimmune diseases present (one disease: HR 1·41 [95% CI 1·37-1·45]; two diseases: 2·63 [2·49-2·78]); three or more diseases: 3·79 [3·36-4·27]), and in younger age groups (age &lt;45 years: 2·33 [2·16-2·51]; 55-64 years: 1·76 [1·67-1·85]; ≥75 years: 1·30 [1·24-1·36]). Among autoimmune diseases, systemic sclerosis (3·59 [2·81-4·59]), Addison's disease (2·83 [1·96-4·09]), systemic lupus erythematosus (2·82 [2·38-3·33]), and type 1 diabetes (2·36 [2·21-2·52]) had the highest overall cardiovascular risk. INTERPRETATION These findings warrant targeted cardiovascular prevention measures, in particular in younger patients with autoimmune diseases, and further research into pathophysiological mechanisms underlying these complications. FUNDING Horizon 2020 Marie Skłodowska-Curie Actions and European Society of Cardiology.","container-title":"Lancet (London, England)","DOI":"10.1016/S0140-6736(22)01349-6","ISSN":"1474-547X","issue":"0","note":"PMID: 36041475\npublisher: Elsevier","title":"Autoimmune diseases and cardiovascular risk: a population-based study on 19 autoimmune diseases and 12 cardiovascular diseases in 22 million individuals in the UK.","URL":"http://www.ncbi.nlm.nih.gov/pubmed/36041475","volume":"0","author":[{"family":"Conrad","given":"Nathalie"},{"family":"Verbeke","given":"Geert"},{"family":"Molenberghs","given":"Geert"},{"family":"Goetschalckx","given":"Laura"},{"family":"Callender","given":"Thomas"},{"family":"Cambridge","given":"Geraldine"},{"family":"Mason","given":"Justin C"},{"family":"Rahimi","given":"Kazem"},{"family":"McMurray","given":"John J V"},{"family":"Verbakel","given":"Jan Y"}],"accessed":{"date-parts":[["2022",9,1]]},"issued":{"date-parts":[["2022",8,26]]}}},{"id":10015,"uris":["http://zotero.org/users/10014724/items/R6CUPBQB"],"itemData":{"id":10015,"type":"article-journal","abstract":"Objective To investigate the incidence of cardiovascular disease (CVD) overall and by age, sex, and socioeconomic status, and its variation over time, in the UK during 2000-19.\nDesign Population based study.\nSetting UK.\nParticipants 1 650 052 individuals registered with a general practice contributing to Clinical Practice Research Datalink and newly diagnosed with at least one CVD from 1 January 2000 to 30 June 2019.\nMain outcome measures The primary outcome was incident diagnosis of CVD, comprising acute coronary syndrome, aortic aneurysm, aortic stenosis, atrial fibrillation or flutter, chronic ischaemic heart disease, heart failure, peripheral artery disease, second or third degree heart block, stroke (ischaemic, haemorrhagic, and unspecified), and venous thromboembolism (deep vein thrombosis or pulmonary embolism). Disease incidence rates were calculated individually and as a composite outcome of all 10 CVDs combined and were standardised for age and sex using the 2013 European standard population. Negative binomial regression models investigated temporal trends and variation by age, sex, and socioeconomic status.\nResults The mean age of the population was 70.5 years and 47.6% (n=784 904) were women. The age and sex standardised incidence of all 10 prespecified CVDs declined by 19% during 2000-19 (incidence rate ratio 2017-19 v 2000-02: 0.80, 95% confidence interval 0.73 to 0.88). The incidence of coronary heart disease and stroke decreased by about 30% (incidence rate ratios for acute coronary syndrome, chronic ischaemic heart disease, and stroke were 0.70 (0.69 to 0.70), 0.67 (0.66 to 0.67), and 0.75 (0.67 to 0.83), respectively). In parallel, an increasing number of diagnoses of cardiac arrhythmias, valve disease, and thromboembolic diseases were observed. As a result, the overall incidence of CVDs across the 10 conditions remained relatively stable from the mid-2000s. Age stratified analyses further showed that the observed decline in coronary heart disease incidence was largely restricted to age groups older than 60 years, with little or no improvement in younger age groups. Trends were generally similar between men and women. A socioeconomic gradient was observed for almost every CVD investigated. The gradient did not decrease over time and was most noticeable for peripheral artery disease (incidence rate ratio most deprived v least deprived: 1.98 (1.87 to 2.09)), acute coronary syndrome (1.55 (1.54 to 1.57)), and heart failure (1.50 (1.41 to 1.59)).\nConclusions Despite substantial improvements in the prevention of atherosclerotic diseases in the UK, the overall burden of CVDs remained high during 2000-19. For CVDs to decrease further, future prevention strategies might need to consider a broader spectrum of conditions, including arrhythmias, valve diseases, and thromboembolism, and examine the specific needs of younger age groups and socioeconomically deprived populations.","container-title":"BMJ","DOI":"10.1136/bmj-2023-078523","ISSN":"1756-1833","journalAbbreviation":"BMJ","language":"en","license":"© Author(s) (or their employer(s)) 2019. Re-use permitted under CC BY. No commercial re-use. See rights and permissions. Published by BMJ.. http://creativecommons.org/licenses/by/4.0/This is an Open Access article distributed in accordance with the terms of the Creative Commons Attribution (CC BY 4.0) license, which permits others to distribute, remix, adapt and build upon this work, for commercial use, provided the original work is properly cited. See: http://creativecommons.org/licenses/by/4.0/.","note":"publisher: British Medical Journal Publishing Group\nsection: Research\nPMID: 38925788","page":"e078523","source":"www.bmj.com","title":"Trends in cardiovascular disease incidence among 22 million people in the UK over 20 years: population based study","title-short":"Trends in cardiovascular disease incidence among 22 million people in the UK over 20 years","volume":"385","author":[{"family":"Conrad","given":"Nathalie"},{"family":"Molenberghs","given":"Geert"},{"family":"Verbeke","given":"Geert"},{"family":"Zaccardi","given":"Francesco"},{"family":"Lawson","given":"Claire"},{"family":"Friday","given":"Jocelyn M."},{"family":"Su","given":"Huimin"},{"family":"Jhund","given":"Pardeep S."},{"family":"Sattar","given":"Naveed"},{"family":"Rahimi","given":"Kazem"},{"family":"Cleland","given":"John G."},{"family":"Khunti","given":"Kamlesh"},{"family":"Budts","given":"Werner"},{"family":"McMurray","given":"John J. V."}],"issued":{"date-parts":[["2024",6,26]]}}}],"schema":"https://github.com/citation-style-language/schema/raw/master/csl-citation.json"} </w:instrText>
      </w:r>
      <w:r w:rsidR="001E3CC6" w:rsidRPr="00082CB1">
        <w:rPr>
          <w:rFonts w:eastAsia="MS Mincho" w:cs="Arial"/>
          <w:color w:val="000000"/>
          <w:szCs w:val="22"/>
          <w:lang w:val="en-GB"/>
        </w:rPr>
        <w:fldChar w:fldCharType="separate"/>
      </w:r>
      <w:r w:rsidR="00B905B0" w:rsidRPr="00B905B0">
        <w:rPr>
          <w:rFonts w:ascii="Aptos"/>
          <w:color w:val="000000"/>
          <w:vertAlign w:val="superscript"/>
          <w:lang w:val="en-GB"/>
        </w:rPr>
        <w:t>1–3</w:t>
      </w:r>
      <w:r w:rsidR="001E3CC6" w:rsidRPr="00082CB1">
        <w:rPr>
          <w:rFonts w:eastAsia="MS Mincho" w:cs="Arial"/>
          <w:color w:val="000000"/>
          <w:szCs w:val="22"/>
          <w:lang w:val="en-GB"/>
        </w:rPr>
        <w:fldChar w:fldCharType="end"/>
      </w:r>
      <w:r w:rsidR="001E3CC6" w:rsidRPr="00082CB1">
        <w:rPr>
          <w:rFonts w:eastAsia="MS Mincho" w:cs="Arial"/>
          <w:color w:val="000000"/>
          <w:szCs w:val="22"/>
          <w:lang w:val="en-GB"/>
        </w:rPr>
        <w:t xml:space="preserve"> and include</w:t>
      </w:r>
      <w:r w:rsidR="00394B9A">
        <w:rPr>
          <w:rFonts w:eastAsia="MS Mincho" w:cs="Arial"/>
          <w:color w:val="000000"/>
          <w:szCs w:val="22"/>
          <w:lang w:val="en-GB"/>
        </w:rPr>
        <w:t xml:space="preserve"> </w:t>
      </w:r>
      <w:r w:rsidR="001E3CC6" w:rsidRPr="00082CB1">
        <w:rPr>
          <w:rFonts w:eastAsia="MS Mincho" w:cs="Arial"/>
          <w:color w:val="000000"/>
          <w:szCs w:val="22"/>
          <w:lang w:val="en-GB"/>
        </w:rPr>
        <w:t>diagnoses (International Classification of Diseases, tenth revision (ICD-10)) and procedures (UK Office of Population Census and Surveys classification (OPCS-4)</w:t>
      </w:r>
      <w:r w:rsidR="00394B9A">
        <w:rPr>
          <w:rFonts w:eastAsia="MS Mincho" w:cs="Arial"/>
          <w:color w:val="000000"/>
          <w:szCs w:val="22"/>
          <w:lang w:val="en-GB"/>
        </w:rPr>
        <w:t>).</w:t>
      </w:r>
    </w:p>
    <w:p w14:paraId="66766B1C" w14:textId="5CFB026F" w:rsidR="0099132D" w:rsidRPr="0099132D" w:rsidRDefault="0099132D" w:rsidP="00082CB1">
      <w:pPr>
        <w:rPr>
          <w:rFonts w:eastAsia="MS Mincho" w:cs="Arial"/>
          <w:color w:val="000000"/>
          <w:szCs w:val="22"/>
        </w:rPr>
      </w:pPr>
      <w:r w:rsidRPr="0099132D">
        <w:rPr>
          <w:rFonts w:eastAsia="MS Mincho" w:cs="Arial"/>
          <w:color w:val="000000"/>
          <w:szCs w:val="22"/>
          <w:lang w:val="en-GB"/>
        </w:rPr>
        <w:t>Two sets of analyses will be performed</w:t>
      </w:r>
      <w:r>
        <w:rPr>
          <w:rFonts w:eastAsia="MS Mincho" w:cs="Arial"/>
          <w:color w:val="000000"/>
          <w:szCs w:val="22"/>
          <w:lang w:val="en-GB"/>
        </w:rPr>
        <w:t xml:space="preserve"> -</w:t>
      </w:r>
      <w:r w:rsidRPr="0099132D">
        <w:rPr>
          <w:rFonts w:eastAsia="MS Mincho" w:cs="Arial"/>
          <w:color w:val="000000"/>
          <w:szCs w:val="22"/>
          <w:lang w:val="en-GB"/>
        </w:rPr>
        <w:t xml:space="preserve"> first </w:t>
      </w:r>
      <w:r>
        <w:rPr>
          <w:rFonts w:eastAsia="MS Mincho" w:cs="Arial"/>
          <w:color w:val="000000"/>
          <w:szCs w:val="22"/>
          <w:lang w:val="en-GB"/>
        </w:rPr>
        <w:t xml:space="preserve">only </w:t>
      </w:r>
      <w:r w:rsidRPr="0099132D">
        <w:rPr>
          <w:rFonts w:eastAsia="MS Mincho" w:cs="Arial"/>
          <w:color w:val="000000"/>
          <w:szCs w:val="22"/>
          <w:lang w:val="en-GB"/>
        </w:rPr>
        <w:t xml:space="preserve">considering events recorded during the patient lifetime (i.e. from hospital admissions data), and second, </w:t>
      </w:r>
      <w:r>
        <w:rPr>
          <w:rFonts w:eastAsia="MS Mincho" w:cs="Arial"/>
          <w:color w:val="000000"/>
          <w:szCs w:val="22"/>
          <w:lang w:val="en-GB"/>
        </w:rPr>
        <w:t>considering both fatal and non-fatal events (</w:t>
      </w:r>
      <w:proofErr w:type="spellStart"/>
      <w:r>
        <w:rPr>
          <w:rFonts w:eastAsia="MS Mincho" w:cs="Arial"/>
          <w:color w:val="000000"/>
          <w:szCs w:val="22"/>
          <w:lang w:val="en-GB"/>
        </w:rPr>
        <w:t>ie</w:t>
      </w:r>
      <w:proofErr w:type="spellEnd"/>
      <w:r>
        <w:rPr>
          <w:rFonts w:eastAsia="MS Mincho" w:cs="Arial"/>
          <w:color w:val="000000"/>
          <w:szCs w:val="22"/>
          <w:lang w:val="en-GB"/>
        </w:rPr>
        <w:t>. also including events recorded</w:t>
      </w:r>
      <w:r w:rsidRPr="0099132D">
        <w:rPr>
          <w:szCs w:val="22"/>
        </w:rPr>
        <w:t xml:space="preserve"> </w:t>
      </w:r>
      <w:r w:rsidRPr="0099132D">
        <w:rPr>
          <w:rFonts w:eastAsiaTheme="minorHAnsi"/>
          <w:szCs w:val="22"/>
        </w:rPr>
        <w:t>on death certificates</w:t>
      </w:r>
      <w:r>
        <w:rPr>
          <w:szCs w:val="22"/>
        </w:rPr>
        <w:t>).</w:t>
      </w:r>
    </w:p>
    <w:p w14:paraId="2F88A986" w14:textId="77777777" w:rsidR="007F6989" w:rsidRPr="00082CB1" w:rsidRDefault="007F6989" w:rsidP="00082CB1">
      <w:pPr>
        <w:rPr>
          <w:rFonts w:cs="Arial"/>
          <w:b/>
          <w:bCs/>
          <w:szCs w:val="22"/>
        </w:rPr>
      </w:pPr>
      <w:r w:rsidRPr="00082CB1">
        <w:rPr>
          <w:rFonts w:cs="Arial"/>
          <w:b/>
          <w:bCs/>
          <w:szCs w:val="22"/>
        </w:rPr>
        <w:t>Exposures</w:t>
      </w:r>
    </w:p>
    <w:p w14:paraId="28DC5578" w14:textId="000F4D07" w:rsidR="007F6989" w:rsidRPr="00082CB1" w:rsidRDefault="009A46F6" w:rsidP="00082CB1">
      <w:pPr>
        <w:rPr>
          <w:rFonts w:cs="Arial"/>
          <w:color w:val="000000" w:themeColor="text1"/>
          <w:szCs w:val="22"/>
        </w:rPr>
      </w:pPr>
      <w:r>
        <w:rPr>
          <w:rFonts w:eastAsiaTheme="minorHAnsi"/>
          <w:color w:val="000000" w:themeColor="text1"/>
          <w:szCs w:val="22"/>
        </w:rPr>
        <w:t>C</w:t>
      </w:r>
      <w:r w:rsidR="007F6989" w:rsidRPr="00082CB1">
        <w:rPr>
          <w:rFonts w:eastAsiaTheme="minorHAnsi"/>
          <w:color w:val="000000" w:themeColor="text1"/>
          <w:szCs w:val="22"/>
        </w:rPr>
        <w:t>ovariates</w:t>
      </w:r>
      <w:r>
        <w:rPr>
          <w:rFonts w:eastAsiaTheme="minorHAnsi"/>
          <w:color w:val="000000" w:themeColor="text1"/>
          <w:szCs w:val="22"/>
        </w:rPr>
        <w:t xml:space="preserve"> will be selected</w:t>
      </w:r>
      <w:r w:rsidR="007F6989" w:rsidRPr="00082CB1">
        <w:rPr>
          <w:rFonts w:eastAsiaTheme="minorHAnsi"/>
          <w:color w:val="000000" w:themeColor="text1"/>
          <w:szCs w:val="22"/>
        </w:rPr>
        <w:t xml:space="preserve"> to represent </w:t>
      </w:r>
      <w:r>
        <w:rPr>
          <w:rFonts w:eastAsiaTheme="minorHAnsi"/>
          <w:color w:val="000000" w:themeColor="text1"/>
          <w:szCs w:val="22"/>
        </w:rPr>
        <w:t>a</w:t>
      </w:r>
      <w:r w:rsidR="007F6989" w:rsidRPr="00082CB1">
        <w:rPr>
          <w:rFonts w:eastAsiaTheme="minorHAnsi"/>
          <w:color w:val="000000" w:themeColor="text1"/>
          <w:szCs w:val="22"/>
        </w:rPr>
        <w:t xml:space="preserve"> range of well-established cardiovascular risk factors, and included </w:t>
      </w:r>
      <w:r w:rsidR="007F6989" w:rsidRPr="00082CB1">
        <w:rPr>
          <w:rFonts w:cs="Arial"/>
          <w:color w:val="000000" w:themeColor="text1"/>
          <w:szCs w:val="22"/>
        </w:rPr>
        <w:t>all those used in the most recent cardiovascular risk scores endorsed by European and American heart associations or recommended for screening in the latest cardiovascular disease prevention guidelines.</w:t>
      </w:r>
      <w:r w:rsidR="002446F7" w:rsidRPr="00082CB1">
        <w:rPr>
          <w:rFonts w:cs="Arial"/>
          <w:color w:val="000000" w:themeColor="text1"/>
          <w:szCs w:val="22"/>
        </w:rPr>
        <w:fldChar w:fldCharType="begin"/>
      </w:r>
      <w:r w:rsidR="003869A2">
        <w:rPr>
          <w:rFonts w:cs="Arial"/>
          <w:color w:val="000000" w:themeColor="text1"/>
          <w:szCs w:val="22"/>
        </w:rPr>
        <w:instrText xml:space="preserve"> ADDIN ZOTERO_ITEM CSL_CITATION {"citationID":"dgqVfVNV","properties":{"formattedCitation":"\\super 4\\uc0\\u8211{}6\\nosupersub{}","plainCitation":"4–6","noteIndex":0},"citationItems":[{"id":3969,"uris":["http://zotero.org/users/10014724/items/8TLNQACY"],"itemData":{"id":3969,"type":"article-journal","container-title":"European Heart Journal","DOI":"10.1093/eurheartj/ehab484","ISSN":"0195-668X","issue":"34","note":"publisher: Oxford Academic","page":"3227-3337","title":"2021 ESC Guidelines on cardiovascular disease prevention in clinical practice","volume":"42","author":[{"family":"Visseren","given":"Frank L J"},{"family":"Mach","given":"François"},{"family":"Smulders","given":"Yvo M"},{"family":"Carballo","given":"David"},{"family":"Koskinas","given":"Konstantinos C"},{"family":"Bäck","given":"Maria"},{"family":"Benetos","given":"Athanase"},{"family":"Biffi","given":"Alessandro"},{"family":"Boavida","given":"José-Manuel"},{"family":"Capodanno","given":"Davide"},{"family":"Cosyns","given":"Bernard"},{"family":"Crawford","given":"Carolyn"},{"family":"Davos","given":"Constantinos H"},{"family":"Desormais","given":"Ileana"},{"family":"Di Angelantonio","given":"Emanuele"},{"family":"Franco","given":"Oscar H"},{"family":"Halvorsen","given":"Sigrun"},{"family":"Hobbs","given":"F D Richard"},{"family":"Hollander","given":"Monika"},{"family":"Jankowska","given":"Ewa A"},{"family":"Michal","given":"Matthias"},{"family":"Sacco","given":"Simona"},{"family":"Sattar","given":"Naveed"},{"family":"Tokgozoglu","given":"Lale"},{"family":"Tonstad","given":"Serena"},{"family":"Tsioufis","given":"Konstantinos P"},{"family":"Dis","given":"Ineke","non-dropping-particle":"van"},{"family":"Gelder","given":"Isabelle C","non-dropping-particle":"van"},{"family":"Wanner","given":"Christoph"},{"family":"Williams","given":"Bryan"},{"family":"De Backer","given":"Guy"},{"family":"Regitz-Zagrosek","given":"Vera"},{"family":"Aamodt","given":"Anne Hege"},{"family":"Abdelhamid","given":"Magdy"},{"family":"Aboyans","given":"Victor"},{"family":"Albus","given":"Christian"},{"family":"Asteggiano","given":"Riccardo"},{"family":"Bäck","given":"Magnus"},{"family":"Borger","given":"Michael A"},{"family":"Brotons","given":"Carlos"},{"family":"Čelutkienė","given":"Jelena"},{"family":"Cifkova","given":"Renata"},{"family":"Cikes","given":"Maja"},{"family":"Cosentino","given":"Francesco"},{"family":"Dagres","given":"Nikolaos"},{"family":"De Backer","given":"Tine"},{"family":"De Bacquer","given":"Dirk"},{"family":"Delgado","given":"Victoria"},{"family":"Den Ruijter","given":"Hester"},{"family":"Dendale","given":"Paul"},{"family":"Drexel","given":"Heinz"},{"family":"Falk","given":"Volkmar"},{"family":"Fauchier","given":"Laurent"},{"family":"Ference","given":"Brian A"},{"family":"Ferrières","given":"Jean"},{"family":"Ferrini","given":"Marc"},{"family":"Fisher","given":"Miles"},{"family":"Fliser","given":"Danilo"},{"family":"Fras","given":"Zlatko"},{"family":"Gaita","given":"Dan"},{"family":"Giampaoli","given":"Simona"},{"family":"Gielen","given":"Stephan"},{"family":"Graham","given":"Ian"},{"family":"Jennings","given":"Catriona"},{"family":"Jorgensen","given":"Torben"},{"family":"Kautzky-Willer","given":"Alexandra"},{"family":"Kavousi","given":"Maryam"},{"family":"Koenig","given":"Wolfgang"},{"family":"Konradi","given":"Aleksandra"},{"family":"Kotecha","given":"Dipak"},{"family":"Landmesser","given":"Ulf"},{"family":"Lettino","given":"Madalena"},{"family":"Lewis","given":"Basil S"},{"family":"Linhart","given":"Aleš"},{"family":"Løchen","given":"Maja-Lisa"},{"family":"Makrilakis","given":"Konstantinos"},{"family":"Mancia","given":"Giuseppe"},{"family":"Marques-Vidal","given":"Pedro"},{"family":"McEvoy","given":"John William"},{"family":"McGreavy","given":"Paul"},{"family":"Merkely","given":"Bela"},{"family":"Neubeck","given":"Lis"},{"family":"Nielsen","given":"Jens Cosedis"},{"family":"Perk","given":"Joep"},{"family":"Petersen","given":"Steffen E"},{"family":"Petronio","given":"Anna Sonia"},{"family":"Piepoli","given":"Massimo"},{"family":"Pogosova","given":"Nana Goar"},{"family":"Prescott","given":"Eva Irene Bossano"},{"family":"Ray","given":"Kausik K"},{"family":"Reiner","given":"Zeljko"},{"family":"Richter","given":"Dimitrios J"},{"family":"Rydén","given":"Lars"},{"family":"Shlyakhto","given":"Evgeny"},{"family":"Sitges","given":"Marta"},{"family":"Sousa-Uva","given":"Miguel"},{"family":"Sudano","given":"Isabella"},{"family":"Tiberi","given":"Monica"},{"family":"Touyz","given":"Rhian M"},{"family":"Ungar","given":"Andrea"},{"family":"Verschuren","given":"W M Monique"},{"family":"Wiklund","given":"Olov"},{"family":"Wood","given":"David"},{"family":"Zamorano","given":"Jose Luis"},{"family":"Smulders","given":"Yvo M"},{"family":"Carballo","given":"David"},{"family":"Koskinas","given":"Konstantinos C"},{"family":"Bäck","given":"Maria"},{"family":"Benetos","given":"Athanase"},{"family":"Biffi","given":"Alessandro"},{"family":"Boavida","given":"José-Manuel"},{"family":"Capodanno","given":"Davide"},{"family":"Cosyns","given":"Bernard"},{"family":"Crawford","given":"Carolyn A"},{"family":"Davos","given":"Constantinos H"},{"family":"Desormais","given":"Ileana"},{"family":"Di Angelantonio","given":"Emanuele"},{"family":"Franco Duran","given":"Oscar H"},{"family":"Halvorsen","given":"Sigrun"},{"family":"Richard Hobbs","given":"F D"},{"family":"Hollander","given":"Monika"},{"family":"Jankowska","given":"Ewa A"},{"family":"Michal","given":"Matthias"},{"family":"Sacco","given":"Simona"},{"family":"Sattar","given":"Naveed"},{"family":"Tokgozoglu","given":"Lale"},{"family":"Tonstad","given":"Serena"},{"family":"Tsioufis","given":"Konstantinos P"},{"family":"Dis","given":"Ineke","dropping-particle":"van"},{"family":"Gelder","given":"Isabelle C","non-dropping-particle":"van"},{"family":"Wanner","given":"Christoph"},{"family":"Williams","given":"Bryan"},{"family":"Williams","given":"Bryan"}],"issued":{"date-parts":[["2021",9,7]]}}},{"id":10022,"uris":["http://zotero.org/users/10014724/items/7IUR3MZX"],"itemData":{"id":10022,"type":"article-journal","abstract":"BACKGROUND:\n              Multivariable equations are recommended by primary prevention guidelines to assess absolute risk of cardiovascular disease (CVD). However, current equations have several limitations. Therefore, we developed and validated the American Heart Association Predicting Risk of CVD EVENTs (PREVENT) equations among US adults 30 to 79 years of age without known CVD.\n            \n            \n              METHODS:\n              The derivation sample included individual-level participant data from 25 data sets (N=3</w:instrText>
      </w:r>
      <w:r w:rsidR="003869A2">
        <w:rPr>
          <w:rFonts w:ascii="Arial" w:hAnsi="Arial" w:cs="Arial"/>
          <w:color w:val="000000" w:themeColor="text1"/>
          <w:szCs w:val="22"/>
        </w:rPr>
        <w:instrText> </w:instrText>
      </w:r>
      <w:r w:rsidR="003869A2">
        <w:rPr>
          <w:rFonts w:cs="Arial"/>
          <w:color w:val="000000" w:themeColor="text1"/>
          <w:szCs w:val="22"/>
        </w:rPr>
        <w:instrText>281</w:instrText>
      </w:r>
      <w:r w:rsidR="003869A2">
        <w:rPr>
          <w:rFonts w:ascii="Arial" w:hAnsi="Arial" w:cs="Arial"/>
          <w:color w:val="000000" w:themeColor="text1"/>
          <w:szCs w:val="22"/>
        </w:rPr>
        <w:instrText> </w:instrText>
      </w:r>
      <w:r w:rsidR="003869A2">
        <w:rPr>
          <w:rFonts w:cs="Arial"/>
          <w:color w:val="000000" w:themeColor="text1"/>
          <w:szCs w:val="22"/>
        </w:rPr>
        <w:instrText>919) between 1992 and 2017. The primary outcome was CVD (atherosclerotic CVD and heart failure). Predictors included traditional risk factors (smoking status, systolic blood pressure, cholesterol, antihypertensive or statin use, and diabetes) and estimated glomerular filtration rate. Models were sex-specific, race-free, developed on the age scale, and adjusted for competing risk of non-CVD death. Analyses were conducted in each data set and meta-analyzed. Discrimination was assessed using the Harrell C-statistic. Calibration was calculated as the slope of the observed versus predicted risk by decile. Additional equations to predict each CVD subtype (atherosclerotic CVD and heart failure) and include optional predictors (urine albumin-to-creatinine ratio and hemoglobin A1c), and social deprivation index were also developed. External validation was performed in 3</w:instrText>
      </w:r>
      <w:r w:rsidR="003869A2">
        <w:rPr>
          <w:rFonts w:ascii="Arial" w:hAnsi="Arial" w:cs="Arial"/>
          <w:color w:val="000000" w:themeColor="text1"/>
          <w:szCs w:val="22"/>
        </w:rPr>
        <w:instrText> </w:instrText>
      </w:r>
      <w:r w:rsidR="003869A2">
        <w:rPr>
          <w:rFonts w:cs="Arial"/>
          <w:color w:val="000000" w:themeColor="text1"/>
          <w:szCs w:val="22"/>
        </w:rPr>
        <w:instrText>330</w:instrText>
      </w:r>
      <w:r w:rsidR="003869A2">
        <w:rPr>
          <w:rFonts w:ascii="Arial" w:hAnsi="Arial" w:cs="Arial"/>
          <w:color w:val="000000" w:themeColor="text1"/>
          <w:szCs w:val="22"/>
        </w:rPr>
        <w:instrText> </w:instrText>
      </w:r>
      <w:r w:rsidR="003869A2">
        <w:rPr>
          <w:rFonts w:cs="Arial"/>
          <w:color w:val="000000" w:themeColor="text1"/>
          <w:szCs w:val="22"/>
        </w:rPr>
        <w:instrText>085 participants from 21 additional data sets.\n            \n            \n              RESULTS:\n              \n                Among 6</w:instrText>
      </w:r>
      <w:r w:rsidR="003869A2">
        <w:rPr>
          <w:rFonts w:ascii="Arial" w:hAnsi="Arial" w:cs="Arial"/>
          <w:color w:val="000000" w:themeColor="text1"/>
          <w:szCs w:val="22"/>
        </w:rPr>
        <w:instrText> </w:instrText>
      </w:r>
      <w:r w:rsidR="003869A2">
        <w:rPr>
          <w:rFonts w:cs="Arial"/>
          <w:color w:val="000000" w:themeColor="text1"/>
          <w:szCs w:val="22"/>
        </w:rPr>
        <w:instrText>612</w:instrText>
      </w:r>
      <w:r w:rsidR="003869A2">
        <w:rPr>
          <w:rFonts w:ascii="Arial" w:hAnsi="Arial" w:cs="Arial"/>
          <w:color w:val="000000" w:themeColor="text1"/>
          <w:szCs w:val="22"/>
        </w:rPr>
        <w:instrText> </w:instrText>
      </w:r>
      <w:r w:rsidR="003869A2">
        <w:rPr>
          <w:rFonts w:cs="Arial"/>
          <w:color w:val="000000" w:themeColor="text1"/>
          <w:szCs w:val="22"/>
        </w:rPr>
        <w:instrText>004 adults included, mean±SD age was 53±12 years, and 56% were women. Over a mean±SD follow-up of 4.8±3.1 years, there were 211</w:instrText>
      </w:r>
      <w:r w:rsidR="003869A2">
        <w:rPr>
          <w:rFonts w:ascii="Arial" w:hAnsi="Arial" w:cs="Arial"/>
          <w:color w:val="000000" w:themeColor="text1"/>
          <w:szCs w:val="22"/>
        </w:rPr>
        <w:instrText> </w:instrText>
      </w:r>
      <w:r w:rsidR="003869A2">
        <w:rPr>
          <w:rFonts w:cs="Arial"/>
          <w:color w:val="000000" w:themeColor="text1"/>
          <w:szCs w:val="22"/>
        </w:rPr>
        <w:instrText>515 incident total CVD events. The median C-statistics in external validation for CVD were 0.794 (interquartile interval, 0.763–0.809) in female and 0.757 (0.727–0.778) in male participants. The calibration slopes were 1.03 (interquartile interval, 0.81–1.16) and 0.94 (0.81–1.13) among female and male participants, respectively. Similar estimates for discrimination and calibration were observed for atherosclerotic CVD– and heart failure–specific models. The improvement in discrimination was small but statistically significant when urine albumin-to-creatinine ratio, hemoglobin A1c, and social deprivation index were added together to the base model to total CVD (ΔC-statistic [interquartile interval] 0.004 [0.004–0.005] and 0.005 [0.004–0.007] among female and male participants, respectively). Calibration improved significantly when the urine albumin-to-creatinine ratio was added to the base model among those with marked albuminuria (&gt;300 mg/g; 1.05 [0.84–1.20] versus 1.39 [1.14–1.65];\n                P\n                =0.01).\n              \n            \n            \n              CONCLUSIONS:\n              PREVENT equations accurately and precisely predicted risk for incident CVD and CVD subtypes in a large, diverse, and contemporary sample of US adults by using routinely available clinical variables.","container-title":"Circulation","DOI":"10.1161/CIRCULATIONAHA.123.067626","ISSN":"0009-7322, 1524-4539","issue":"6","journalAbbreviation":"Circulation","language":"en","page":"430-449","source":"DOI.org (Crossref)","title":"Development and Validation of the American Heart Association’s PREVENT Equations","volume":"149","author":[{"family":"Khan","given":"Sadiya S."},{"family":"Matsushita","given":"Kunihiro"},{"family":"Sang","given":"Yingying"},{"family":"Ballew","given":"Shoshana H."},{"family":"Grams","given":"Morgan E."},{"family":"Surapaneni","given":"Aditya"},{"family":"Blaha","given":"Michael J."},{"family":"Carson","given":"April P."},{"family":"Chang","given":"Alexander R."},{"family":"Ciemins","given":"Elizabeth"},{"family":"Go","given":"Alan S."},{"family":"Gutierrez","given":"Orlando M."},{"family":"Hwang","given":"Shih-Jen"},{"family":"Jassal","given":"Simerjot K."},{"family":"Kovesdy","given":"Csaba P."},{"family":"Lloyd-Jones","given":"Donald M."},{"family":"Shlipak","given":"Michael G."},{"family":"Palaniappan","given":"Latha P."},{"family":"Sperling","given":"Laurence"},{"family":"Virani","given":"Salim S."},{"family":"Tuttle","given":"Katherine"},{"family":"Neeland","given":"Ian J."},{"family":"Chow","given":"Sheryl L."},{"family":"Rangaswami","given":"Janani"},{"family":"Pencina","given":"Michael J."},{"family":"Ndumele","given":"Chiadi E."},{"family":"Coresh","given":"Josef"},{"literal":"for the Chronic Kidney Disease Prognosis Consortium and the American Heart Association Cardiovascular-Kidney-Metabolic Science Advisory Group"}],"issued":{"date-parts":[["2024",2,6]]}}},{"id":9743,"uris":["http://zotero.org/users/10014724/items/KL3LHZ4V"],"itemData":{"id":9743,"type":"article-journal","abstract":"The aim of this study was to develop, validate, and illustrate an updated prediction model (SCORE2) to estimate 10-year fatal and non-fatal cardiovascular disease (CVD) risk in individuals without previous CVD or diabetes aged 40–69</w:instrText>
      </w:r>
      <w:r w:rsidR="003869A2">
        <w:rPr>
          <w:rFonts w:ascii="Arial" w:hAnsi="Arial" w:cs="Arial"/>
          <w:color w:val="000000" w:themeColor="text1"/>
          <w:szCs w:val="22"/>
        </w:rPr>
        <w:instrText> </w:instrText>
      </w:r>
      <w:r w:rsidR="003869A2">
        <w:rPr>
          <w:rFonts w:cs="Arial"/>
          <w:color w:val="000000" w:themeColor="text1"/>
          <w:szCs w:val="22"/>
        </w:rPr>
        <w:instrText>years in Europe.We derived risk prediction models using individual-participant data from 45 cohorts in 13 countries (677 684 individuals, 30 121 CVD events). We used sex-specific and competing risk-adjusted models, including age, smoking status, systolic blood pressure, and total- and HDL-cholesterol. We defined four risk regions in Europe according to country-specific CVD mortality, recalibrating models to each region using expected incidences and risk factor distributions. Region-specific incidence was estimated using CVD mortality and incidence data on 10 776 466 individuals. For external validation, we analysed data from 25 additional cohorts in 15 European countries (1 133 181 individuals, 43 492 CVD events). After applying the derived risk prediction models to external validation cohorts, C-indices ranged from 0.67 (0.65–0.68) to 0.81 (0.76–0.86). Predicted CVD risk varied several-fold across European regions. For example, the estimated 10-year CVD risk for a 50-year-old smoker, with a systolic blood pressure of 140</w:instrText>
      </w:r>
      <w:r w:rsidR="003869A2">
        <w:rPr>
          <w:rFonts w:ascii="Arial" w:hAnsi="Arial" w:cs="Arial"/>
          <w:color w:val="000000" w:themeColor="text1"/>
          <w:szCs w:val="22"/>
        </w:rPr>
        <w:instrText> </w:instrText>
      </w:r>
      <w:r w:rsidR="003869A2">
        <w:rPr>
          <w:rFonts w:cs="Arial"/>
          <w:color w:val="000000" w:themeColor="text1"/>
          <w:szCs w:val="22"/>
        </w:rPr>
        <w:instrText>mmHg, total cholesterol of 5.5</w:instrText>
      </w:r>
      <w:r w:rsidR="003869A2">
        <w:rPr>
          <w:rFonts w:ascii="Arial" w:hAnsi="Arial" w:cs="Arial"/>
          <w:color w:val="000000" w:themeColor="text1"/>
          <w:szCs w:val="22"/>
        </w:rPr>
        <w:instrText> </w:instrText>
      </w:r>
      <w:r w:rsidR="003869A2">
        <w:rPr>
          <w:rFonts w:cs="Arial"/>
          <w:color w:val="000000" w:themeColor="text1"/>
          <w:szCs w:val="22"/>
        </w:rPr>
        <w:instrText>mmol/L, and HDL-cholesterol of 1.3</w:instrText>
      </w:r>
      <w:r w:rsidR="003869A2">
        <w:rPr>
          <w:rFonts w:ascii="Arial" w:hAnsi="Arial" w:cs="Arial"/>
          <w:color w:val="000000" w:themeColor="text1"/>
          <w:szCs w:val="22"/>
        </w:rPr>
        <w:instrText> </w:instrText>
      </w:r>
      <w:r w:rsidR="003869A2">
        <w:rPr>
          <w:rFonts w:cs="Arial"/>
          <w:color w:val="000000" w:themeColor="text1"/>
          <w:szCs w:val="22"/>
        </w:rPr>
        <w:instrText xml:space="preserve">mmol/L, ranged from 5.9% for men in low-risk countries to 14.0% for men in very high-risk countries, and from 4.2% for women in low-risk countries to 13.7% for women in very high-risk countries.SCORE2—a new algorithm derived, calibrated, and validated to predict 10-year risk of first-onset CVD in European populations—enhances the identification of individuals at higher risk of developing CVD across Europe.","container-title":"European Heart Journal","DOI":"10.1093/eurheartj/ehab309","ISSN":"0195-668X","issue":"25","journalAbbreviation":"European Heart Journal","page":"2439-2454","source":"Silverchair","title":"SCORE2 risk prediction algorithms: new models to estimate 10-year risk of cardiovascular disease in Europe","title-short":"SCORE2 risk prediction algorithms","volume":"42","author":[{"literal":"SCORE2 working group and ESC Cardiovascular risk collaboration"}],"issued":{"date-parts":[["2021",7,1]]}}}],"schema":"https://github.com/citation-style-language/schema/raw/master/csl-citation.json"} </w:instrText>
      </w:r>
      <w:r w:rsidR="002446F7" w:rsidRPr="00082CB1">
        <w:rPr>
          <w:rFonts w:cs="Arial"/>
          <w:color w:val="000000" w:themeColor="text1"/>
          <w:szCs w:val="22"/>
        </w:rPr>
        <w:fldChar w:fldCharType="separate"/>
      </w:r>
      <w:r w:rsidR="003869A2" w:rsidRPr="003869A2">
        <w:rPr>
          <w:rFonts w:ascii="Aptos"/>
          <w:color w:val="000000"/>
          <w:vertAlign w:val="superscript"/>
          <w:lang w:val="en-GB"/>
        </w:rPr>
        <w:t>4–6</w:t>
      </w:r>
      <w:r w:rsidR="002446F7" w:rsidRPr="00082CB1">
        <w:rPr>
          <w:rFonts w:cs="Arial"/>
          <w:color w:val="000000" w:themeColor="text1"/>
          <w:szCs w:val="22"/>
        </w:rPr>
        <w:fldChar w:fldCharType="end"/>
      </w:r>
      <w:r w:rsidR="007F6989" w:rsidRPr="00082CB1">
        <w:rPr>
          <w:rFonts w:cs="Arial"/>
          <w:color w:val="000000" w:themeColor="text1"/>
          <w:szCs w:val="22"/>
        </w:rPr>
        <w:t xml:space="preserve"> We </w:t>
      </w:r>
      <w:r>
        <w:rPr>
          <w:rFonts w:cs="Arial"/>
          <w:color w:val="000000" w:themeColor="text1"/>
          <w:szCs w:val="22"/>
        </w:rPr>
        <w:t xml:space="preserve">will </w:t>
      </w:r>
      <w:r w:rsidR="007F6989" w:rsidRPr="00082CB1">
        <w:rPr>
          <w:rFonts w:cs="Arial"/>
          <w:color w:val="000000" w:themeColor="text1"/>
          <w:szCs w:val="22"/>
        </w:rPr>
        <w:t>complement this list with a small set of additional markers (</w:t>
      </w:r>
      <w:r w:rsidR="0039616A">
        <w:rPr>
          <w:rFonts w:cs="Arial"/>
          <w:color w:val="000000" w:themeColor="text1"/>
          <w:szCs w:val="22"/>
        </w:rPr>
        <w:t xml:space="preserve">eg. </w:t>
      </w:r>
      <w:r w:rsidR="007F6989" w:rsidRPr="00082CB1">
        <w:rPr>
          <w:rFonts w:cs="Arial"/>
          <w:color w:val="000000" w:themeColor="text1"/>
          <w:szCs w:val="22"/>
        </w:rPr>
        <w:t>Lp(a)</w:t>
      </w:r>
      <w:r w:rsidR="0039616A">
        <w:rPr>
          <w:rFonts w:cs="Arial"/>
          <w:color w:val="000000" w:themeColor="text1"/>
          <w:szCs w:val="22"/>
        </w:rPr>
        <w:t xml:space="preserve"> and </w:t>
      </w:r>
      <w:r w:rsidR="007F6989" w:rsidRPr="00082CB1">
        <w:rPr>
          <w:rFonts w:cs="Arial"/>
          <w:color w:val="000000" w:themeColor="text1"/>
          <w:szCs w:val="22"/>
        </w:rPr>
        <w:t>C</w:t>
      </w:r>
      <w:r w:rsidR="003A65F4" w:rsidRPr="00082CB1">
        <w:rPr>
          <w:rFonts w:cs="Arial"/>
          <w:color w:val="000000" w:themeColor="text1"/>
          <w:szCs w:val="22"/>
        </w:rPr>
        <w:t>-reactive protein)</w:t>
      </w:r>
      <w:r w:rsidR="007F6989" w:rsidRPr="00082CB1">
        <w:rPr>
          <w:rFonts w:cs="Arial"/>
          <w:color w:val="000000" w:themeColor="text1"/>
          <w:szCs w:val="22"/>
        </w:rPr>
        <w:t xml:space="preserve">, based on recent literature </w:t>
      </w:r>
      <w:r w:rsidR="002446F7" w:rsidRPr="00082CB1">
        <w:rPr>
          <w:rFonts w:cs="Arial"/>
          <w:color w:val="000000" w:themeColor="text1"/>
          <w:szCs w:val="22"/>
        </w:rPr>
        <w:t>s</w:t>
      </w:r>
      <w:r w:rsidR="007F6989" w:rsidRPr="00082CB1">
        <w:rPr>
          <w:rFonts w:cs="Arial"/>
          <w:color w:val="000000" w:themeColor="text1"/>
          <w:szCs w:val="22"/>
        </w:rPr>
        <w:t>ubstantiating their importance in cardiovascular risk assesment.</w:t>
      </w:r>
      <w:r w:rsidR="002446F7" w:rsidRPr="00082CB1">
        <w:rPr>
          <w:rFonts w:cs="Arial"/>
          <w:color w:val="000000" w:themeColor="text1"/>
          <w:szCs w:val="22"/>
        </w:rPr>
        <w:fldChar w:fldCharType="begin"/>
      </w:r>
      <w:r w:rsidR="003869A2">
        <w:rPr>
          <w:rFonts w:cs="Arial"/>
          <w:color w:val="000000" w:themeColor="text1"/>
          <w:szCs w:val="22"/>
        </w:rPr>
        <w:instrText xml:space="preserve"> ADDIN ZOTERO_ITEM CSL_CITATION {"citationID":"ajNbCBFD","properties":{"formattedCitation":"\\super 7,8\\nosupersub{}","plainCitation":"7,8","noteIndex":0},"citationItems":[{"id":9897,"uris":["http://zotero.org/users/10014724/items/I8VVF8ZK"],"itemData":{"id":9897,"type":"article-journal","abstract":"BACKGROUND High-sensitivity C-reactive protein (CRP), low-density lipoprotein (LDL) cholesterol, and lipoprotein(a) levels contribute to 5-year and 10-year predictions of cardiovascular risk and represent distinct pathways for pharmacologic intervention. More information about the usefulness of these biomarkers for predicting cardiovascular risk over longer periods of time in women is needed because early-life intervention represents an important risk-reduction method.\nMETHODS We measured high-sensitivity CRP, LDL cholesterol, and lipoprotein(a) levels at baseline in 27,939 initially healthy U.S. women who were subsequently followed for 30 years. The primary end point was a first major adverse cardiovascular event, which was a composite of myocardial infarction, coronary revascularization, stroke, or death from cardiovascular causes. We calculated the adjusted hazard ratios and 95% confidence intervals across quintiles of each biomarker, along with 30-year cumulative incidence curves adjusted for age and competing risks.\nRESULTS The mean age of the participants at baseline was 54.7 years. During the 30-year follow-up, 3662 first major cardiovascular events occurred. Quintiles of increasing baseline levels of high-sensitivity CRP, LDL cholesterol, and lipoprotein(a) all predicted 30-year risks. Covariable-adjusted hazard ratios for the primary end point in a comparison of the top with the bottom quintile were 1.70 (95% confidence interval [CI], 1.52 to 1.90) for high-sensitivity CRP, 1.36 (95% CI, 1.23 to 1.52) for LDL cholesterol, and 1.33 (95% CI, 1.21 to 1.47) for lipoprotein(a). Findings for coronary heart disease and stroke appeared to be consistent with those for the primary end point. Each biomarker showed independent contributions to overall risk. The greatest spread for risk was obtained in models that incorporated all three biomarkers. From the Divisions of Preventive Medicine (P.M.R., M.V.M., N.R.C., I.-M.L., J.E.B.) and Cardiovascular Diseases (P.M.R.), Brigham and Women’s Hospital, the Department of Epidemiology, Harvard T.H. Chan School of Public Health (P.M.R., N.R.C., I.-M.L., J.E.B.), and the Department of Laboratory Medicine, Boston Children’s Hospital (N.R.) — all in Boston; and the Faculty of Medicine, University of Porto, Porto, Portugal (N.R.). Dr. Ridker can be contacted at ­pridker@b­ wh.­harvard.­edu or at the Center for Cardiovascular Disease Prevention, Brigham and Women’s Hospital, 900 Commonwealth Ave., Boston, MA 02215. This article was published on August 31, 2024, at NEJM.org. DOI: 10.1056/NEJMoa2405182 Copyright © 2024 Massachusetts Medical Society.\nCONCLUSIONS A single combined measure of high-sensitivity CRP, LDL cholesterol, and lipoprotein(a) levels among initially healthy U.S. women was predictive of incident cardiovascular events during a 30-year period. These data support efforts to extend strategies for the primary prevention of atherosclerotic events beyond traditional 10-year estimates of risk. (Funded by the National Institutes of Health; Women’s Health Study ClinicalTrials.gov number, NCT00000479.)","container-title":"New England Journal of Medicine","DOI":"10.1056/NEJMoa2405182","ISSN":"0028-4793, 1533-4406","journalAbbreviation":"N Engl J Med","language":"en","license":"http://www.nejmgroup.org/legal/terms-of-use.htm","page":"NEJMoa2405182","source":"DOI.org (Crossref)","title":"Inflammation, Cholesterol, Lipoprotein(a), and 30-Year Cardiovascular Outcomes in Women","author":[{"family":"Ridker","given":"Paul M"},{"family":"Moorthy","given":"M. Vinayaga"},{"family":"Cook","given":"Nancy R."},{"family":"Rifai","given":"Nader"},{"family":"Lee","given":"I-Min"},{"family":"Buring","given":"Julie E."}],"issued":{"date-parts":[["2024",8,31]]}}},{"id":10458,"uris":["http://zotero.org/users/10014724/items/VMDCP5CT"],"itemData":{"id":10458,"type":"article-journal","abstract":"Iron deficiency (ID) is common in patients with cardiovascular disease. Up to 60% of patients with coronary artery disease, and an even higher proportion of those with heart failure (HF) or pulmonary hypertension have ID; the evidence for cerebrovascular disease, aortic stenosis and atrial fibrillation is less robust. The prevalence of ID increases with the severity of cardiac and renal dysfunction and is probably more common amongst women. Insufficient dietary iron, reduced iron absorption due to increases in hepcidin secondary to the low-grade inflammation associated with atherosclerosis and congestion or reduced gastric acidity, and increased blood loss due to anti-thrombotic therapy or gastro-intestinal or renal disease may all cause ID. For older people in the general population and patients with HF with reduced ejection fraction (HFrEF), both anaemia and ID are associated with a poor prognosis; each may confer independent risk. There is growing evidence that ID is an important therapeutic target for patients with HFrEF, even if they do not have anaemia. Whether this is also true for other HF phenotypes or patients with cardiovascular disease in general is currently unknown. Randomized trials showed that intravenous ferric carboxymaltose improved symptoms, health-related quality of life and exercise capacity and reduced hospitalizations for worsening HF in patients with HFrEF and mildly reduced ejection fraction (&amp;lt;50%). Since ID is easy to treat and is effective for patients with HFrEF, such patients should be investigated for possible ID. This recommendation may extend to other populations in the light of evidence from future trials.","container-title":"European Heart Journal","DOI":"10.1093/eurheartj/ehac569","ISSN":"0195-668X","issue":"1","journalAbbreviation":"European Heart Journal","page":"14-27","source":"Silverchair","title":"Iron deficiency and cardiovascular disease","volume":"44","author":[{"family":"Savarese","given":"Gianluigi"},{"family":"Haehling","given":"Stephan","non-dropping-particle":"von"},{"family":"Butler","given":"Javed"},{"family":"Cleland","given":"John G F"},{"family":"Ponikowski","given":"Piotr"},{"family":"Anker","given":"Stefan D"}],"issued":{"date-parts":[["2023",1,1]]}}}],"schema":"https://github.com/citation-style-language/schema/raw/master/csl-citation.json"} </w:instrText>
      </w:r>
      <w:r w:rsidR="002446F7" w:rsidRPr="00082CB1">
        <w:rPr>
          <w:rFonts w:cs="Arial"/>
          <w:color w:val="000000" w:themeColor="text1"/>
          <w:szCs w:val="22"/>
        </w:rPr>
        <w:fldChar w:fldCharType="separate"/>
      </w:r>
      <w:r w:rsidR="003869A2" w:rsidRPr="003869A2">
        <w:rPr>
          <w:rFonts w:ascii="Aptos"/>
          <w:color w:val="000000"/>
          <w:vertAlign w:val="superscript"/>
          <w:lang w:val="en-GB"/>
        </w:rPr>
        <w:t>7,8</w:t>
      </w:r>
      <w:r w:rsidR="002446F7" w:rsidRPr="00082CB1">
        <w:rPr>
          <w:rFonts w:cs="Arial"/>
          <w:color w:val="000000" w:themeColor="text1"/>
          <w:szCs w:val="22"/>
        </w:rPr>
        <w:fldChar w:fldCharType="end"/>
      </w:r>
    </w:p>
    <w:p w14:paraId="4307A95A" w14:textId="53B82043" w:rsidR="0045117C" w:rsidRDefault="007F6989" w:rsidP="00082CB1">
      <w:pPr>
        <w:rPr>
          <w:color w:val="000000" w:themeColor="text1"/>
          <w:szCs w:val="22"/>
        </w:rPr>
      </w:pPr>
      <w:r w:rsidRPr="00FC08DE">
        <w:rPr>
          <w:szCs w:val="22"/>
        </w:rPr>
        <w:lastRenderedPageBreak/>
        <w:t>Demographic variables</w:t>
      </w:r>
      <w:r w:rsidR="003F71FE" w:rsidRPr="00FC08DE">
        <w:rPr>
          <w:szCs w:val="22"/>
        </w:rPr>
        <w:t xml:space="preserve"> </w:t>
      </w:r>
      <w:r w:rsidR="003F71FE" w:rsidRPr="00082CB1">
        <w:rPr>
          <w:szCs w:val="22"/>
        </w:rPr>
        <w:t>will</w:t>
      </w:r>
      <w:r w:rsidRPr="00082CB1">
        <w:rPr>
          <w:szCs w:val="22"/>
        </w:rPr>
        <w:t xml:space="preserve"> include the participant's age (continuous), sex (male or female), </w:t>
      </w:r>
      <w:r w:rsidR="0057578D">
        <w:rPr>
          <w:color w:val="000000" w:themeColor="text1"/>
          <w:szCs w:val="22"/>
        </w:rPr>
        <w:t xml:space="preserve">and </w:t>
      </w:r>
      <w:r w:rsidR="0057578D" w:rsidRPr="00082CB1">
        <w:rPr>
          <w:rFonts w:eastAsia="MS Mincho" w:cs="Arial"/>
          <w:szCs w:val="22"/>
          <w:lang w:val="en-GB"/>
        </w:rPr>
        <w:t>socioeconomic status</w:t>
      </w:r>
      <w:r w:rsidR="0057578D">
        <w:rPr>
          <w:rFonts w:eastAsia="MS Mincho" w:cs="Arial"/>
          <w:szCs w:val="22"/>
          <w:lang w:val="en-GB"/>
        </w:rPr>
        <w:t xml:space="preserve">. </w:t>
      </w:r>
      <w:r w:rsidR="0057578D">
        <w:rPr>
          <w:color w:val="000000" w:themeColor="text1"/>
          <w:szCs w:val="22"/>
        </w:rPr>
        <w:t>S</w:t>
      </w:r>
      <w:r w:rsidR="0057578D" w:rsidRPr="00082CB1">
        <w:rPr>
          <w:rFonts w:eastAsia="MS Mincho" w:cs="Arial"/>
          <w:szCs w:val="22"/>
          <w:lang w:val="en-GB"/>
        </w:rPr>
        <w:t>ocioeconomic status</w:t>
      </w:r>
      <w:r w:rsidR="0057578D">
        <w:rPr>
          <w:color w:val="000000" w:themeColor="text1"/>
          <w:szCs w:val="22"/>
        </w:rPr>
        <w:t xml:space="preserve"> will be described using the </w:t>
      </w:r>
      <w:r w:rsidR="0057578D" w:rsidRPr="00082CB1">
        <w:rPr>
          <w:szCs w:val="22"/>
        </w:rPr>
        <w:t>Townsend deprivation index</w:t>
      </w:r>
      <w:r w:rsidR="0039616A">
        <w:rPr>
          <w:szCs w:val="22"/>
        </w:rPr>
        <w:t>.</w:t>
      </w:r>
    </w:p>
    <w:p w14:paraId="4C7A7F2D" w14:textId="675243B5" w:rsidR="0039616A" w:rsidRDefault="0057578D" w:rsidP="0039616A">
      <w:pPr>
        <w:rPr>
          <w:color w:val="000000" w:themeColor="text1"/>
          <w:szCs w:val="22"/>
          <w:shd w:val="clear" w:color="auto" w:fill="FFFFFF"/>
        </w:rPr>
      </w:pPr>
      <w:r>
        <w:rPr>
          <w:color w:val="000000" w:themeColor="text1"/>
          <w:szCs w:val="22"/>
        </w:rPr>
        <w:t xml:space="preserve">Clinical and lifestyle variables will include </w:t>
      </w:r>
      <w:r w:rsidR="00FC08DE" w:rsidRPr="00082CB1">
        <w:rPr>
          <w:szCs w:val="22"/>
        </w:rPr>
        <w:t xml:space="preserve">systolic </w:t>
      </w:r>
      <w:r w:rsidR="00FC08DE">
        <w:rPr>
          <w:szCs w:val="22"/>
        </w:rPr>
        <w:t xml:space="preserve">blood pressure, </w:t>
      </w:r>
      <w:r w:rsidR="00FC08DE">
        <w:rPr>
          <w:color w:val="000000" w:themeColor="text1"/>
          <w:szCs w:val="22"/>
        </w:rPr>
        <w:t>b</w:t>
      </w:r>
      <w:r w:rsidR="00FC08DE" w:rsidRPr="007675CC">
        <w:rPr>
          <w:color w:val="000000" w:themeColor="text1"/>
          <w:szCs w:val="22"/>
        </w:rPr>
        <w:t xml:space="preserve">ody </w:t>
      </w:r>
      <w:r w:rsidR="00FC08DE" w:rsidRPr="00082CB1">
        <w:rPr>
          <w:szCs w:val="22"/>
        </w:rPr>
        <w:t>mass index (BMI)</w:t>
      </w:r>
      <w:r w:rsidR="00FC08DE">
        <w:rPr>
          <w:szCs w:val="22"/>
        </w:rPr>
        <w:t>, type 2 diabetes</w:t>
      </w:r>
      <w:r w:rsidR="00FD7191">
        <w:rPr>
          <w:szCs w:val="22"/>
        </w:rPr>
        <w:t xml:space="preserve">, </w:t>
      </w:r>
      <w:r w:rsidR="00FC08DE">
        <w:rPr>
          <w:szCs w:val="22"/>
        </w:rPr>
        <w:t xml:space="preserve">and </w:t>
      </w:r>
      <w:r>
        <w:rPr>
          <w:szCs w:val="22"/>
        </w:rPr>
        <w:t>smoking status</w:t>
      </w:r>
      <w:r w:rsidR="0039616A">
        <w:rPr>
          <w:szCs w:val="22"/>
        </w:rPr>
        <w:t>, and will be extracted by combining self-reported questionnaires, clinical measurements, and elctronic health record linkage.</w:t>
      </w:r>
      <w:r w:rsidR="0039616A" w:rsidRPr="0039616A">
        <w:rPr>
          <w:color w:val="000000" w:themeColor="text1"/>
          <w:szCs w:val="22"/>
          <w:shd w:val="clear" w:color="auto" w:fill="FFFFFF"/>
        </w:rPr>
        <w:t xml:space="preserve"> </w:t>
      </w:r>
      <w:r w:rsidR="0039616A">
        <w:rPr>
          <w:color w:val="000000" w:themeColor="text1"/>
          <w:szCs w:val="22"/>
          <w:shd w:val="clear" w:color="auto" w:fill="FFFFFF"/>
        </w:rPr>
        <w:t>B</w:t>
      </w:r>
      <w:r w:rsidR="0039616A" w:rsidRPr="00082CB1">
        <w:rPr>
          <w:color w:val="000000" w:themeColor="text1"/>
          <w:szCs w:val="22"/>
          <w:shd w:val="clear" w:color="auto" w:fill="FFFFFF"/>
        </w:rPr>
        <w:t xml:space="preserve">iomarkers will </w:t>
      </w:r>
      <w:r w:rsidR="0039616A">
        <w:rPr>
          <w:color w:val="000000" w:themeColor="text1"/>
          <w:szCs w:val="22"/>
          <w:shd w:val="clear" w:color="auto" w:fill="FFFFFF"/>
        </w:rPr>
        <w:t>consider</w:t>
      </w:r>
      <w:r w:rsidR="0039616A" w:rsidRPr="00082CB1">
        <w:rPr>
          <w:color w:val="000000" w:themeColor="text1"/>
          <w:szCs w:val="22"/>
          <w:shd w:val="clear" w:color="auto" w:fill="FFFFFF"/>
        </w:rPr>
        <w:t xml:space="preserve"> non</w:t>
      </w:r>
      <w:r w:rsidR="0039616A">
        <w:rPr>
          <w:color w:val="000000" w:themeColor="text1"/>
          <w:szCs w:val="22"/>
          <w:shd w:val="clear" w:color="auto" w:fill="FFFFFF"/>
        </w:rPr>
        <w:t xml:space="preserve"> </w:t>
      </w:r>
      <w:r w:rsidR="0039616A" w:rsidRPr="00082CB1">
        <w:rPr>
          <w:color w:val="000000" w:themeColor="text1"/>
          <w:szCs w:val="22"/>
          <w:shd w:val="clear" w:color="auto" w:fill="FFFFFF"/>
        </w:rPr>
        <w:t>high-density lipoprotein (HDL</w:t>
      </w:r>
      <w:r w:rsidR="0039616A">
        <w:rPr>
          <w:color w:val="000000" w:themeColor="text1"/>
          <w:szCs w:val="22"/>
          <w:shd w:val="clear" w:color="auto" w:fill="FFFFFF"/>
        </w:rPr>
        <w:t>)</w:t>
      </w:r>
      <w:r w:rsidR="0039616A" w:rsidRPr="00082CB1">
        <w:rPr>
          <w:color w:val="000000" w:themeColor="text1"/>
          <w:szCs w:val="22"/>
          <w:shd w:val="clear" w:color="auto" w:fill="FFFFFF"/>
        </w:rPr>
        <w:t xml:space="preserve"> cholesterol, C-reactive protein (CRP), Lipoprotein A (Lp(a)), </w:t>
      </w:r>
      <w:r w:rsidR="0039616A" w:rsidRPr="00FD7191">
        <w:rPr>
          <w:color w:val="000000" w:themeColor="text1"/>
          <w:szCs w:val="22"/>
          <w:shd w:val="clear" w:color="auto" w:fill="FFFFFF"/>
        </w:rPr>
        <w:t>urine albumin-creatinine ratio</w:t>
      </w:r>
      <w:r w:rsidR="0039616A">
        <w:rPr>
          <w:color w:val="000000" w:themeColor="text1"/>
          <w:szCs w:val="22"/>
          <w:shd w:val="clear" w:color="auto" w:fill="FFFFFF"/>
        </w:rPr>
        <w:t xml:space="preserve"> (UACR), </w:t>
      </w:r>
      <w:r w:rsidR="0039616A" w:rsidRPr="00082CB1">
        <w:rPr>
          <w:color w:val="000000" w:themeColor="text1"/>
          <w:szCs w:val="22"/>
          <w:shd w:val="clear" w:color="auto" w:fill="FFFFFF"/>
        </w:rPr>
        <w:t>and eGFR. eGFR will be calculated using the Chronic Kidney Disease Epidemiology Collaboration 2021 creatinine–cystatin C equation.</w:t>
      </w:r>
      <w:r w:rsidR="0039616A" w:rsidRPr="00082CB1">
        <w:rPr>
          <w:color w:val="000000" w:themeColor="text1"/>
          <w:szCs w:val="22"/>
          <w:shd w:val="clear" w:color="auto" w:fill="FFFFFF"/>
        </w:rPr>
        <w:fldChar w:fldCharType="begin"/>
      </w:r>
      <w:r w:rsidR="003869A2">
        <w:rPr>
          <w:color w:val="000000" w:themeColor="text1"/>
          <w:szCs w:val="22"/>
          <w:shd w:val="clear" w:color="auto" w:fill="FFFFFF"/>
        </w:rPr>
        <w:instrText xml:space="preserve"> ADDIN ZOTERO_ITEM CSL_CITATION {"citationID":"Ll2qNknJ","properties":{"formattedCitation":"\\super 9,10\\nosupersub{}","plainCitation":"9,10","noteIndex":0},"citationItems":[{"id":10448,"uris":["http://zotero.org/users/10014724/items/IFUMJ88J"],"itemData":{"id":10448,"type":"article-journal","abstract":"Equations for estimating GFR with serum creatinine overestimate measured GFR in Blacks. The authors report new equations, without race as an inflation factor, using cystatin C and creatinine that reduced errors in estimation between Black participants and non-Black participants.","container-title":"New England Journal of Medicine","DOI":"10.1056/NEJMoa2102953","ISSN":"0028-4793","issue":"19","note":"publisher: Massachusetts Medical Society\n_eprint: https://www.nejm.org/doi/pdf/10.1056/NEJMoa2102953","page":"1737-1749","source":"Taylor and Francis+NEJM","title":"New Creatinine- and Cystatin C–Based Equations to Estimate GFR without Race","volume":"385","author":[{"family":"Inker","given":"Lesley A."},{"family":"Eneanya","given":"Nwamaka D."},{"family":"Coresh","given":"Josef"},{"family":"Tighiouart","given":"Hocine"},{"family":"Wang","given":"Dan"},{"family":"Sang","given":"Yingying"},{"family":"Crews","given":"Deidra C."},{"family":"Doria","given":"Alessandro"},{"family":"Estrella","given":"Michelle M."},{"family":"Froissart","given":"Marc"},{"family":"Grams","given":"Morgan E."},{"family":"Greene","given":"Tom"},{"family":"Grubb","given":"Anders"},{"family":"Gudnason","given":"Vilmundur"},{"family":"Gutiérrez","given":"Orlando M."},{"family":"Kalil","given":"Roberto"},{"family":"Karger","given":"Amy B."},{"family":"Mauer","given":"Michael"},{"family":"Navis","given":"Gerjan"},{"family":"Nelson","given":"Robert G."},{"family":"Poggio","given":"Emilio D."},{"family":"Rodby","given":"Roger"},{"family":"Rossing","given":"Peter"},{"family":"Rule","given":"Andrew D."},{"family":"Selvin","given":"Elizabeth"},{"family":"Seegmiller","given":"Jesse C."},{"family":"Shlipak","given":"Michael G."},{"family":"Torres","given":"Vicente E."},{"family":"Yang","given":"Wei"},{"family":"Ballew","given":"Shoshana H."},{"family":"Couture","given":"Sara J."},{"family":"Powe","given":"Neil R."},{"family":"Levey","given":"Andrew S."}],"issued":{"date-parts":[["2021",11,3]]}}},{"id":10450,"uris":["http://zotero.org/users/10014724/items/JF9R3J4V"],"itemData":{"id":10450,"type":"article-journal","container-title":"American Journal of Kidney Diseases","DOI":"10.1053/j.ajkd.2021.08.003","ISSN":"0272-6386, 1523-6838","issue":"2","journalAbbreviation":"American Journal of Kidney Diseases","language":"English","note":"publisher: Elsevier\nPMID: 34563581","page":"268-288.e1","source":"www.ajkd.org","title":"A Unifying Approach for GFR Estimation: Recommendations of the NKF-ASN Task Force on Reassessing the Inclusion of Race in Diagnosing Kidney Disease","title-short":"A Unifying Approach for GFR Estimation","volume":"79","author":[{"family":"Delgado","given":"Cynthia"},{"family":"Baweja","given":"Mukta"},{"family":"Crews","given":"Deidra C."},{"family":"Eneanya","given":"Nwamaka D."},{"family":"Gadegbeku","given":"Crystal A."},{"family":"Inker","given":"Lesley A."},{"family":"Mendu","given":"Mallika L."},{"family":"Miller","given":"W. Greg"},{"family":"Moxey-Mims","given":"Marva M."},{"family":"Roberts","given":"Glenda V."},{"family":"Peter","given":"Wendy L. St"},{"family":"Warfield","given":"Curtis"},{"family":"Powe","given":"Neil R."}],"issued":{"date-parts":[["2022",2,1]]}}}],"schema":"https://github.com/citation-style-language/schema/raw/master/csl-citation.json"} </w:instrText>
      </w:r>
      <w:r w:rsidR="0039616A" w:rsidRPr="00082CB1">
        <w:rPr>
          <w:color w:val="000000" w:themeColor="text1"/>
          <w:szCs w:val="22"/>
          <w:shd w:val="clear" w:color="auto" w:fill="FFFFFF"/>
        </w:rPr>
        <w:fldChar w:fldCharType="separate"/>
      </w:r>
      <w:r w:rsidR="003869A2" w:rsidRPr="003869A2">
        <w:rPr>
          <w:rFonts w:ascii="Aptos"/>
          <w:color w:val="000000"/>
          <w:vertAlign w:val="superscript"/>
          <w:lang w:val="en-GB"/>
        </w:rPr>
        <w:t>9,10</w:t>
      </w:r>
      <w:r w:rsidR="0039616A" w:rsidRPr="00082CB1">
        <w:rPr>
          <w:color w:val="000000" w:themeColor="text1"/>
          <w:szCs w:val="22"/>
          <w:shd w:val="clear" w:color="auto" w:fill="FFFFFF"/>
        </w:rPr>
        <w:fldChar w:fldCharType="end"/>
      </w:r>
      <w:r w:rsidR="0039616A" w:rsidRPr="00082CB1">
        <w:rPr>
          <w:color w:val="000000" w:themeColor="text1"/>
          <w:szCs w:val="22"/>
          <w:shd w:val="clear" w:color="auto" w:fill="FFFFFF"/>
        </w:rPr>
        <w:t xml:space="preserve"> </w:t>
      </w:r>
    </w:p>
    <w:p w14:paraId="4C9206B4" w14:textId="7306F7E8" w:rsidR="00175A4D" w:rsidRPr="000A4FBB" w:rsidRDefault="00175A4D" w:rsidP="00175A4D">
      <w:pPr>
        <w:rPr>
          <w:color w:val="000000" w:themeColor="text1"/>
          <w:szCs w:val="22"/>
          <w:shd w:val="clear" w:color="auto" w:fill="FFFFFF"/>
        </w:rPr>
      </w:pPr>
      <w:r w:rsidRPr="003533EF">
        <w:rPr>
          <w:color w:val="000000" w:themeColor="text1"/>
          <w:szCs w:val="22"/>
          <w:shd w:val="clear" w:color="auto" w:fill="FFFFFF"/>
        </w:rPr>
        <w:t>To facilitate clinical interpretation and comparisons with previous</w:t>
      </w:r>
      <w:r w:rsidRPr="000A4FBB">
        <w:rPr>
          <w:color w:val="000000" w:themeColor="text1"/>
          <w:szCs w:val="22"/>
          <w:shd w:val="clear" w:color="auto" w:fill="FFFFFF"/>
        </w:rPr>
        <w:t xml:space="preserve"> literature, </w:t>
      </w:r>
      <w:r>
        <w:rPr>
          <w:color w:val="000000" w:themeColor="text1"/>
          <w:szCs w:val="22"/>
          <w:shd w:val="clear" w:color="auto" w:fill="FFFFFF"/>
        </w:rPr>
        <w:t xml:space="preserve">risk factor variables will be categorised into relevant groups (eg. BMI will be categorised into </w:t>
      </w:r>
      <w:r w:rsidRPr="00C37343">
        <w:rPr>
          <w:rFonts w:ascii="Calibri" w:eastAsia="MS Mincho" w:hAnsi="Calibri" w:cs="Arial"/>
          <w:lang w:val="en-GB" w:eastAsia="en-US"/>
        </w:rPr>
        <w:t>"underweight" (&lt;18.5 kg/m</w:t>
      </w:r>
      <w:r w:rsidRPr="00C37A33">
        <w:rPr>
          <w:rFonts w:ascii="Calibri" w:eastAsia="MS Mincho" w:hAnsi="Calibri" w:cs="Arial"/>
          <w:vertAlign w:val="superscript"/>
          <w:lang w:val="en-GB" w:eastAsia="en-US"/>
        </w:rPr>
        <w:t>2</w:t>
      </w:r>
      <w:r w:rsidRPr="00C37343">
        <w:rPr>
          <w:rFonts w:ascii="Calibri" w:eastAsia="MS Mincho" w:hAnsi="Calibri" w:cs="Arial"/>
          <w:lang w:val="en-GB" w:eastAsia="en-US"/>
        </w:rPr>
        <w:t>), "normal" (18.5-24.9 kg/m</w:t>
      </w:r>
      <w:r w:rsidRPr="00C37A33">
        <w:rPr>
          <w:rFonts w:ascii="Calibri" w:eastAsia="MS Mincho" w:hAnsi="Calibri" w:cs="Arial"/>
          <w:vertAlign w:val="superscript"/>
          <w:lang w:val="en-GB" w:eastAsia="en-US"/>
        </w:rPr>
        <w:t>2</w:t>
      </w:r>
      <w:r w:rsidRPr="00C37343">
        <w:rPr>
          <w:rFonts w:ascii="Calibri" w:eastAsia="MS Mincho" w:hAnsi="Calibri" w:cs="Arial"/>
          <w:lang w:val="en-GB" w:eastAsia="en-US"/>
        </w:rPr>
        <w:t>), "overweight" (25-29.9 kg/m</w:t>
      </w:r>
      <w:r w:rsidRPr="00C37A33">
        <w:rPr>
          <w:rFonts w:ascii="Calibri" w:eastAsia="MS Mincho" w:hAnsi="Calibri" w:cs="Arial"/>
          <w:vertAlign w:val="superscript"/>
          <w:lang w:val="en-GB" w:eastAsia="en-US"/>
        </w:rPr>
        <w:t>2</w:t>
      </w:r>
      <w:r w:rsidRPr="00C37343">
        <w:rPr>
          <w:rFonts w:ascii="Calibri" w:eastAsia="MS Mincho" w:hAnsi="Calibri" w:cs="Arial"/>
          <w:lang w:val="en-GB" w:eastAsia="en-US"/>
        </w:rPr>
        <w:t>), and "obes</w:t>
      </w:r>
      <w:r>
        <w:rPr>
          <w:rFonts w:ascii="Calibri" w:eastAsia="MS Mincho" w:hAnsi="Calibri" w:cs="Arial"/>
          <w:lang w:val="en-GB" w:eastAsia="en-US"/>
        </w:rPr>
        <w:t>ity</w:t>
      </w:r>
      <w:r w:rsidRPr="00C37343">
        <w:rPr>
          <w:rFonts w:ascii="Calibri" w:eastAsia="MS Mincho" w:hAnsi="Calibri" w:cs="Arial"/>
          <w:lang w:val="en-GB" w:eastAsia="en-US"/>
        </w:rPr>
        <w:t>" (&gt;=30 kg/m</w:t>
      </w:r>
      <w:r w:rsidRPr="00C37A33">
        <w:rPr>
          <w:rFonts w:ascii="Calibri" w:eastAsia="MS Mincho" w:hAnsi="Calibri" w:cs="Arial"/>
          <w:vertAlign w:val="superscript"/>
          <w:lang w:val="en-GB" w:eastAsia="en-US"/>
        </w:rPr>
        <w:t>2</w:t>
      </w:r>
      <w:r w:rsidRPr="00C37343">
        <w:rPr>
          <w:rFonts w:ascii="Calibri" w:eastAsia="MS Mincho" w:hAnsi="Calibri" w:cs="Arial"/>
          <w:lang w:val="en-GB" w:eastAsia="en-US"/>
        </w:rPr>
        <w:t>)</w:t>
      </w:r>
      <w:r>
        <w:rPr>
          <w:rFonts w:ascii="Calibri" w:eastAsia="MS Mincho" w:hAnsi="Calibri" w:cs="Arial"/>
          <w:lang w:val="en-GB" w:eastAsia="en-US"/>
        </w:rPr>
        <w:t xml:space="preserve">, </w:t>
      </w:r>
      <w:r w:rsidRPr="00C37343">
        <w:rPr>
          <w:rFonts w:ascii="Calibri" w:eastAsia="MS Mincho" w:hAnsi="Calibri" w:cs="Arial"/>
          <w:lang w:val="en-GB" w:eastAsia="en-US"/>
        </w:rPr>
        <w:t xml:space="preserve"> </w:t>
      </w:r>
      <w:r>
        <w:rPr>
          <w:color w:val="000000" w:themeColor="text1"/>
          <w:szCs w:val="22"/>
          <w:shd w:val="clear" w:color="auto" w:fill="FFFFFF"/>
        </w:rPr>
        <w:t>and biomarkers will be categorised into sex-specific fifths).</w:t>
      </w:r>
    </w:p>
    <w:p w14:paraId="6F13D8FA" w14:textId="46068FE3" w:rsidR="007F6989" w:rsidRPr="00082CB1" w:rsidRDefault="00F05314" w:rsidP="00062655">
      <w:pPr>
        <w:rPr>
          <w:rFonts w:eastAsia="MS Mincho" w:cs="Arial"/>
          <w:color w:val="000000"/>
          <w:szCs w:val="22"/>
          <w:highlight w:val="yellow"/>
          <w:lang w:val="en-GB"/>
        </w:rPr>
      </w:pPr>
      <w:r w:rsidRPr="00082CB1">
        <w:rPr>
          <w:color w:val="000000" w:themeColor="text1"/>
          <w:szCs w:val="22"/>
        </w:rPr>
        <w:t>I</w:t>
      </w:r>
      <w:r w:rsidR="00AA0CCC" w:rsidRPr="00082CB1">
        <w:rPr>
          <w:color w:val="000000" w:themeColor="text1"/>
          <w:szCs w:val="22"/>
        </w:rPr>
        <w:t>nformation on medication use</w:t>
      </w:r>
      <w:r w:rsidR="00796B2B">
        <w:rPr>
          <w:color w:val="000000" w:themeColor="text1"/>
          <w:szCs w:val="22"/>
        </w:rPr>
        <w:t xml:space="preserve"> at baseline</w:t>
      </w:r>
      <w:r w:rsidRPr="00082CB1">
        <w:rPr>
          <w:color w:val="000000" w:themeColor="text1"/>
          <w:szCs w:val="22"/>
        </w:rPr>
        <w:t xml:space="preserve"> </w:t>
      </w:r>
      <w:r w:rsidR="003F71FE" w:rsidRPr="00082CB1">
        <w:rPr>
          <w:color w:val="000000" w:themeColor="text1"/>
          <w:szCs w:val="22"/>
        </w:rPr>
        <w:t>will be</w:t>
      </w:r>
      <w:r w:rsidRPr="00082CB1">
        <w:rPr>
          <w:color w:val="000000" w:themeColor="text1"/>
          <w:szCs w:val="22"/>
        </w:rPr>
        <w:t xml:space="preserve"> extracted from self-reported health questionnaires and</w:t>
      </w:r>
      <w:r w:rsidR="00AA0CCC" w:rsidRPr="00082CB1">
        <w:rPr>
          <w:color w:val="000000" w:themeColor="text1"/>
          <w:szCs w:val="22"/>
        </w:rPr>
        <w:t xml:space="preserve"> include</w:t>
      </w:r>
      <w:r w:rsidR="001551A2">
        <w:rPr>
          <w:color w:val="000000" w:themeColor="text1"/>
          <w:szCs w:val="22"/>
        </w:rPr>
        <w:t xml:space="preserve"> cholesterol</w:t>
      </w:r>
      <w:r w:rsidR="00062655">
        <w:rPr>
          <w:color w:val="000000" w:themeColor="text1"/>
          <w:szCs w:val="22"/>
        </w:rPr>
        <w:t xml:space="preserve"> </w:t>
      </w:r>
      <w:r w:rsidR="001551A2">
        <w:rPr>
          <w:color w:val="000000" w:themeColor="text1"/>
          <w:szCs w:val="22"/>
        </w:rPr>
        <w:t>lowering</w:t>
      </w:r>
      <w:r w:rsidR="00796B2B">
        <w:rPr>
          <w:color w:val="000000" w:themeColor="text1"/>
          <w:szCs w:val="22"/>
        </w:rPr>
        <w:t xml:space="preserve"> as well as</w:t>
      </w:r>
      <w:r w:rsidR="001551A2">
        <w:rPr>
          <w:color w:val="000000" w:themeColor="text1"/>
          <w:szCs w:val="22"/>
        </w:rPr>
        <w:t xml:space="preserve"> </w:t>
      </w:r>
      <w:r w:rsidR="001551A2" w:rsidRPr="00062655">
        <w:rPr>
          <w:szCs w:val="22"/>
        </w:rPr>
        <w:t>blood pressure lowering</w:t>
      </w:r>
      <w:r w:rsidR="00062655" w:rsidRPr="00062655">
        <w:rPr>
          <w:szCs w:val="22"/>
        </w:rPr>
        <w:t xml:space="preserve"> medications. </w:t>
      </w:r>
      <w:r w:rsidR="0057578D" w:rsidRPr="00062655">
        <w:rPr>
          <w:szCs w:val="22"/>
        </w:rPr>
        <w:t>Among</w:t>
      </w:r>
      <w:r w:rsidR="00C32859" w:rsidRPr="00062655">
        <w:rPr>
          <w:szCs w:val="22"/>
        </w:rPr>
        <w:t xml:space="preserve"> the subset of participants with linkage to primary </w:t>
      </w:r>
      <w:r w:rsidR="00C32859" w:rsidRPr="00082CB1">
        <w:rPr>
          <w:color w:val="000000" w:themeColor="text1"/>
          <w:szCs w:val="22"/>
        </w:rPr>
        <w:t xml:space="preserve">care records, </w:t>
      </w:r>
      <w:r w:rsidR="00B675B5">
        <w:rPr>
          <w:color w:val="000000" w:themeColor="text1"/>
          <w:szCs w:val="22"/>
        </w:rPr>
        <w:t>we will further</w:t>
      </w:r>
      <w:r w:rsidR="00C32859" w:rsidRPr="00082CB1">
        <w:rPr>
          <w:color w:val="000000" w:themeColor="text1"/>
          <w:szCs w:val="22"/>
        </w:rPr>
        <w:t xml:space="preserve"> </w:t>
      </w:r>
      <w:r w:rsidR="007F6989" w:rsidRPr="00082CB1">
        <w:rPr>
          <w:rFonts w:eastAsia="MS Mincho" w:cs="Arial"/>
          <w:color w:val="000000"/>
          <w:szCs w:val="22"/>
          <w:lang w:val="en-GB"/>
        </w:rPr>
        <w:t>extract</w:t>
      </w:r>
      <w:r w:rsidR="00C32859" w:rsidRPr="00082CB1">
        <w:rPr>
          <w:rFonts w:eastAsia="MS Mincho" w:cs="Arial"/>
          <w:color w:val="000000"/>
          <w:szCs w:val="22"/>
          <w:lang w:val="en-GB"/>
        </w:rPr>
        <w:t xml:space="preserve"> drug prescriptions </w:t>
      </w:r>
      <w:r w:rsidR="00796B2B">
        <w:rPr>
          <w:rFonts w:eastAsia="MS Mincho" w:cs="Arial"/>
          <w:color w:val="000000"/>
          <w:szCs w:val="22"/>
          <w:lang w:val="en-GB"/>
        </w:rPr>
        <w:t>during follow-up</w:t>
      </w:r>
      <w:r w:rsidR="009B0A1B">
        <w:rPr>
          <w:rFonts w:eastAsia="MS Mincho" w:cs="Arial"/>
          <w:color w:val="000000"/>
          <w:szCs w:val="22"/>
          <w:lang w:val="en-GB"/>
        </w:rPr>
        <w:t xml:space="preserve">, to allow </w:t>
      </w:r>
      <w:r w:rsidR="00796B2B">
        <w:rPr>
          <w:rFonts w:eastAsia="MS Mincho" w:cs="Arial"/>
          <w:color w:val="000000"/>
          <w:szCs w:val="22"/>
          <w:lang w:val="en-GB"/>
        </w:rPr>
        <w:t xml:space="preserve">for sensitivity analyses </w:t>
      </w:r>
      <w:r w:rsidR="009B0A1B">
        <w:rPr>
          <w:rFonts w:eastAsia="MS Mincho" w:cs="Arial"/>
          <w:color w:val="000000"/>
          <w:szCs w:val="22"/>
          <w:lang w:val="en-GB"/>
        </w:rPr>
        <w:t>stratified by ‘ever-use’ of medication</w:t>
      </w:r>
      <w:r w:rsidR="0039616A">
        <w:rPr>
          <w:rFonts w:eastAsia="MS Mincho" w:cs="Arial"/>
          <w:color w:val="000000"/>
          <w:szCs w:val="22"/>
          <w:lang w:val="en-GB"/>
        </w:rPr>
        <w:t>, and analyses</w:t>
      </w:r>
      <w:r w:rsidR="009B0A1B">
        <w:rPr>
          <w:rFonts w:eastAsia="MS Mincho" w:cs="Arial"/>
          <w:color w:val="000000"/>
          <w:szCs w:val="22"/>
          <w:lang w:val="en-GB"/>
        </w:rPr>
        <w:t xml:space="preserve"> </w:t>
      </w:r>
      <w:r w:rsidR="00796B2B">
        <w:rPr>
          <w:rFonts w:eastAsia="MS Mincho" w:cs="Arial"/>
          <w:color w:val="000000"/>
          <w:szCs w:val="22"/>
          <w:lang w:val="en-GB"/>
        </w:rPr>
        <w:t>censoring follow-up time at the date of first prescription</w:t>
      </w:r>
      <w:r w:rsidR="0039616A">
        <w:rPr>
          <w:rFonts w:eastAsia="MS Mincho" w:cs="Arial"/>
          <w:color w:val="000000"/>
          <w:szCs w:val="22"/>
          <w:lang w:val="en-GB"/>
        </w:rPr>
        <w:t>.</w:t>
      </w:r>
    </w:p>
    <w:p w14:paraId="6777D58C" w14:textId="77777777" w:rsidR="007F6989" w:rsidRPr="00082CB1" w:rsidRDefault="007F6989" w:rsidP="00082CB1">
      <w:pPr>
        <w:rPr>
          <w:b/>
          <w:bCs/>
          <w:szCs w:val="22"/>
        </w:rPr>
      </w:pPr>
      <w:r w:rsidRPr="00082CB1">
        <w:rPr>
          <w:b/>
          <w:bCs/>
          <w:szCs w:val="22"/>
        </w:rPr>
        <w:t>Statistical analyses</w:t>
      </w:r>
    </w:p>
    <w:p w14:paraId="645B670B" w14:textId="2CDF7217" w:rsidR="00855119" w:rsidRPr="00082CB1" w:rsidRDefault="007F6989" w:rsidP="00082CB1">
      <w:pPr>
        <w:rPr>
          <w:color w:val="000000" w:themeColor="text1"/>
          <w:szCs w:val="22"/>
          <w:lang w:val="en-GB"/>
        </w:rPr>
      </w:pPr>
      <w:r w:rsidRPr="00082CB1">
        <w:rPr>
          <w:color w:val="000000" w:themeColor="text1"/>
          <w:szCs w:val="22"/>
          <w:lang w:val="en-GB"/>
        </w:rPr>
        <w:t xml:space="preserve">We </w:t>
      </w:r>
      <w:r w:rsidR="003F71FE" w:rsidRPr="00082CB1">
        <w:rPr>
          <w:color w:val="000000" w:themeColor="text1"/>
          <w:szCs w:val="22"/>
          <w:lang w:val="en-GB"/>
        </w:rPr>
        <w:t xml:space="preserve">will </w:t>
      </w:r>
      <w:r w:rsidRPr="00082CB1">
        <w:rPr>
          <w:color w:val="000000" w:themeColor="text1"/>
          <w:szCs w:val="22"/>
          <w:lang w:val="en-GB"/>
        </w:rPr>
        <w:t xml:space="preserve">present patient characteristics as frequencies (%) for categorical data, means and standard deviation (SD) for symmetrically distributed continuous data, or medians and interquartile </w:t>
      </w:r>
      <w:r w:rsidR="0099132D">
        <w:rPr>
          <w:color w:val="000000" w:themeColor="text1"/>
          <w:szCs w:val="22"/>
          <w:lang w:val="en-GB"/>
        </w:rPr>
        <w:t>interval</w:t>
      </w:r>
      <w:r w:rsidRPr="00082CB1">
        <w:rPr>
          <w:color w:val="000000" w:themeColor="text1"/>
          <w:szCs w:val="22"/>
          <w:lang w:val="en-GB"/>
        </w:rPr>
        <w:t xml:space="preserve"> for non-symmetrically distributed continuous data, over the whole cardiovascular disease cohort and stratified by sex. </w:t>
      </w:r>
    </w:p>
    <w:p w14:paraId="1C6EE3A2" w14:textId="3FE816B0" w:rsidR="007F6989" w:rsidRPr="00082CB1" w:rsidRDefault="00855119" w:rsidP="00082CB1">
      <w:pPr>
        <w:rPr>
          <w:color w:val="000000" w:themeColor="text1"/>
          <w:szCs w:val="22"/>
          <w:lang w:val="en-GB"/>
        </w:rPr>
      </w:pPr>
      <w:r w:rsidRPr="00082CB1">
        <w:rPr>
          <w:color w:val="000000" w:themeColor="text1"/>
          <w:szCs w:val="22"/>
          <w:lang w:val="en-GB"/>
        </w:rPr>
        <w:t xml:space="preserve">For exposure variables with missing data, we </w:t>
      </w:r>
      <w:r w:rsidR="003F71FE" w:rsidRPr="00082CB1">
        <w:rPr>
          <w:color w:val="000000" w:themeColor="text1"/>
          <w:szCs w:val="22"/>
          <w:lang w:val="en-GB"/>
        </w:rPr>
        <w:t xml:space="preserve">will </w:t>
      </w:r>
      <w:r w:rsidRPr="00082CB1">
        <w:rPr>
          <w:color w:val="000000" w:themeColor="text1"/>
          <w:szCs w:val="22"/>
          <w:lang w:val="en-GB"/>
        </w:rPr>
        <w:t>impute data using</w:t>
      </w:r>
      <w:r w:rsidR="007F6989" w:rsidRPr="00082CB1">
        <w:rPr>
          <w:color w:val="000000" w:themeColor="text1"/>
          <w:szCs w:val="22"/>
          <w:lang w:val="en-GB"/>
        </w:rPr>
        <w:t xml:space="preserve"> multiple imputation by chained equations, with </w:t>
      </w:r>
      <w:r w:rsidR="0099132D">
        <w:rPr>
          <w:color w:val="000000" w:themeColor="text1"/>
          <w:szCs w:val="22"/>
          <w:lang w:val="en-GB"/>
        </w:rPr>
        <w:t>10</w:t>
      </w:r>
      <w:r w:rsidR="007F6989" w:rsidRPr="00082CB1">
        <w:rPr>
          <w:color w:val="000000" w:themeColor="text1"/>
          <w:szCs w:val="22"/>
          <w:lang w:val="en-GB"/>
        </w:rPr>
        <w:t xml:space="preserve"> imputed datasets</w:t>
      </w:r>
      <w:r w:rsidRPr="00082CB1">
        <w:rPr>
          <w:color w:val="000000" w:themeColor="text1"/>
          <w:szCs w:val="22"/>
          <w:lang w:val="en-GB"/>
        </w:rPr>
        <w:t xml:space="preserve">, </w:t>
      </w:r>
      <w:r w:rsidR="0099132D">
        <w:rPr>
          <w:color w:val="000000" w:themeColor="text1"/>
          <w:szCs w:val="22"/>
          <w:lang w:val="en-GB"/>
        </w:rPr>
        <w:t>50</w:t>
      </w:r>
      <w:r w:rsidR="007F6989" w:rsidRPr="00082CB1">
        <w:rPr>
          <w:color w:val="000000" w:themeColor="text1"/>
          <w:szCs w:val="22"/>
          <w:lang w:val="en-GB"/>
        </w:rPr>
        <w:t xml:space="preserve"> iterations</w:t>
      </w:r>
      <w:r w:rsidRPr="00082CB1">
        <w:rPr>
          <w:color w:val="000000" w:themeColor="text1"/>
          <w:szCs w:val="22"/>
          <w:lang w:val="en-GB"/>
        </w:rPr>
        <w:t>, and p</w:t>
      </w:r>
      <w:r w:rsidRPr="00082CB1">
        <w:rPr>
          <w:color w:val="000000" w:themeColor="text1"/>
          <w:szCs w:val="22"/>
        </w:rPr>
        <w:t>redictive mean matching for continuous variables or proportional odds model for ordered categorical variables (smoking status).</w:t>
      </w:r>
      <w:r w:rsidR="00A37A65" w:rsidRPr="00082CB1">
        <w:rPr>
          <w:color w:val="000000" w:themeColor="text1"/>
          <w:szCs w:val="22"/>
        </w:rPr>
        <w:fldChar w:fldCharType="begin"/>
      </w:r>
      <w:r w:rsidR="003869A2">
        <w:rPr>
          <w:color w:val="000000" w:themeColor="text1"/>
          <w:szCs w:val="22"/>
        </w:rPr>
        <w:instrText xml:space="preserve"> ADDIN ZOTERO_ITEM CSL_CITATION {"citationID":"u8jvHv5A","properties":{"formattedCitation":"\\super 11\\nosupersub{}","plainCitation":"11","noteIndex":0},"citationItems":[{"id":215,"uris":["http://zotero.org/users/10014724/items/CS6ZN323"],"itemData":{"id":215,"type":"article-journal","abstract":"Multiple imputation by chained equations is a flexible and practical approach to handling missing data. We describe the principles of the method and show how to impute categorical and quantitative variables, including skewed variables. We give guidance on how to specify the imputation model and how many imputations are needed. We describe the practical analysis of multiply imputed data, including model building and model checking. We stress the limitations of the method and discuss the possible pitfalls. We illustrate the ideas using a data set in mental health, giving Stata code fragments.","container-title":"Statistics in Medicine","DOI":"10.1002/sim.4067","ISSN":"02776715","note":"PMID: 21225900\nISBN: 1097-0258 (Electronic)\\n0277-6715 (Linking)","page":"377-399","title":"Multiple imputation using chained equations: Issues and guidance for practice","volume":"30","author":[{"family":"White","given":"Ian R."},{"family":"Royston","given":"Patrick"},{"family":"Wood","given":"Angela M."}],"issued":{"date-parts":[["2011"]]}}}],"schema":"https://github.com/citation-style-language/schema/raw/master/csl-citation.json"} </w:instrText>
      </w:r>
      <w:r w:rsidR="00A37A65" w:rsidRPr="00082CB1">
        <w:rPr>
          <w:color w:val="000000" w:themeColor="text1"/>
          <w:szCs w:val="22"/>
        </w:rPr>
        <w:fldChar w:fldCharType="separate"/>
      </w:r>
      <w:r w:rsidR="003869A2" w:rsidRPr="003869A2">
        <w:rPr>
          <w:rFonts w:ascii="Aptos"/>
          <w:color w:val="000000"/>
          <w:vertAlign w:val="superscript"/>
          <w:lang w:val="en-GB"/>
        </w:rPr>
        <w:t>11</w:t>
      </w:r>
      <w:r w:rsidR="00A37A65" w:rsidRPr="00082CB1">
        <w:rPr>
          <w:color w:val="000000" w:themeColor="text1"/>
          <w:szCs w:val="22"/>
        </w:rPr>
        <w:fldChar w:fldCharType="end"/>
      </w:r>
      <w:r w:rsidRPr="00082CB1">
        <w:rPr>
          <w:color w:val="000000" w:themeColor="text1"/>
          <w:szCs w:val="22"/>
        </w:rPr>
        <w:t xml:space="preserve"> </w:t>
      </w:r>
      <w:r w:rsidRPr="00082CB1">
        <w:rPr>
          <w:color w:val="000000" w:themeColor="text1"/>
          <w:szCs w:val="22"/>
          <w:lang w:val="en-GB"/>
        </w:rPr>
        <w:t>For variables</w:t>
      </w:r>
      <w:r w:rsidR="00AF6D3F" w:rsidRPr="00082CB1">
        <w:rPr>
          <w:color w:val="000000" w:themeColor="text1"/>
          <w:szCs w:val="22"/>
          <w:lang w:val="en-GB"/>
        </w:rPr>
        <w:t xml:space="preserve"> categorised for the purpose of the study (</w:t>
      </w:r>
      <w:r w:rsidR="00F216F8">
        <w:rPr>
          <w:color w:val="000000" w:themeColor="text1"/>
          <w:szCs w:val="22"/>
          <w:lang w:val="en-GB"/>
        </w:rPr>
        <w:t xml:space="preserve">biomarker measures, </w:t>
      </w:r>
      <w:r w:rsidRPr="00082CB1">
        <w:rPr>
          <w:color w:val="000000" w:themeColor="text1"/>
          <w:szCs w:val="22"/>
          <w:lang w:val="en-GB"/>
        </w:rPr>
        <w:t>BMI or socioeconomic status</w:t>
      </w:r>
      <w:r w:rsidR="00AF6D3F" w:rsidRPr="00082CB1">
        <w:rPr>
          <w:color w:val="000000" w:themeColor="text1"/>
          <w:szCs w:val="22"/>
          <w:lang w:val="en-GB"/>
        </w:rPr>
        <w:t>)</w:t>
      </w:r>
      <w:r w:rsidRPr="00082CB1">
        <w:rPr>
          <w:color w:val="000000" w:themeColor="text1"/>
          <w:szCs w:val="22"/>
          <w:lang w:val="en-GB"/>
        </w:rPr>
        <w:t>,</w:t>
      </w:r>
      <w:r w:rsidR="00AF6D3F" w:rsidRPr="00082CB1">
        <w:rPr>
          <w:color w:val="000000" w:themeColor="text1"/>
          <w:szCs w:val="22"/>
          <w:lang w:val="en-GB"/>
        </w:rPr>
        <w:t xml:space="preserve"> we </w:t>
      </w:r>
      <w:r w:rsidR="003F71FE" w:rsidRPr="00082CB1">
        <w:rPr>
          <w:color w:val="000000" w:themeColor="text1"/>
          <w:szCs w:val="22"/>
          <w:lang w:val="en-GB"/>
        </w:rPr>
        <w:t xml:space="preserve">will </w:t>
      </w:r>
      <w:r w:rsidR="00AF6D3F" w:rsidRPr="00082CB1">
        <w:rPr>
          <w:color w:val="000000" w:themeColor="text1"/>
          <w:szCs w:val="22"/>
          <w:lang w:val="en-GB"/>
        </w:rPr>
        <w:t>perform</w:t>
      </w:r>
      <w:r w:rsidRPr="00082CB1">
        <w:rPr>
          <w:color w:val="000000" w:themeColor="text1"/>
          <w:szCs w:val="22"/>
          <w:lang w:val="en-GB"/>
        </w:rPr>
        <w:t xml:space="preserve"> imputation on continuous measures before categorisation. </w:t>
      </w:r>
      <w:r w:rsidR="00AF6D3F" w:rsidRPr="00082CB1">
        <w:rPr>
          <w:color w:val="000000" w:themeColor="text1"/>
          <w:szCs w:val="22"/>
          <w:lang w:val="en-GB"/>
        </w:rPr>
        <w:t>Imputation models</w:t>
      </w:r>
      <w:r w:rsidRPr="00082CB1">
        <w:rPr>
          <w:color w:val="000000" w:themeColor="text1"/>
          <w:szCs w:val="22"/>
          <w:lang w:val="en-GB"/>
        </w:rPr>
        <w:t xml:space="preserve"> </w:t>
      </w:r>
      <w:r w:rsidR="003F71FE" w:rsidRPr="00082CB1">
        <w:rPr>
          <w:color w:val="000000" w:themeColor="text1"/>
          <w:szCs w:val="22"/>
          <w:lang w:val="en-GB"/>
        </w:rPr>
        <w:t xml:space="preserve">will </w:t>
      </w:r>
      <w:r w:rsidRPr="00082CB1">
        <w:rPr>
          <w:color w:val="000000" w:themeColor="text1"/>
          <w:szCs w:val="22"/>
          <w:lang w:val="en-GB"/>
        </w:rPr>
        <w:t xml:space="preserve">include all risk factor exposure and </w:t>
      </w:r>
      <w:r w:rsidR="003533EF" w:rsidRPr="00082CB1">
        <w:rPr>
          <w:szCs w:val="22"/>
        </w:rPr>
        <w:t>CVD</w:t>
      </w:r>
      <w:r w:rsidR="00FD7191">
        <w:rPr>
          <w:szCs w:val="22"/>
        </w:rPr>
        <w:t xml:space="preserve"> </w:t>
      </w:r>
      <w:proofErr w:type="gramStart"/>
      <w:r w:rsidR="00FD7191">
        <w:rPr>
          <w:szCs w:val="22"/>
        </w:rPr>
        <w:t>outcome</w:t>
      </w:r>
      <w:r w:rsidR="003533EF" w:rsidRPr="00082CB1">
        <w:rPr>
          <w:szCs w:val="22"/>
        </w:rPr>
        <w:t xml:space="preserve"> </w:t>
      </w:r>
      <w:r w:rsidR="003533EF">
        <w:rPr>
          <w:szCs w:val="22"/>
        </w:rPr>
        <w:t xml:space="preserve"> </w:t>
      </w:r>
      <w:r w:rsidRPr="00082CB1">
        <w:rPr>
          <w:color w:val="000000" w:themeColor="text1"/>
          <w:szCs w:val="22"/>
          <w:lang w:val="en-GB"/>
        </w:rPr>
        <w:t>variables</w:t>
      </w:r>
      <w:proofErr w:type="gramEnd"/>
      <w:r w:rsidR="00AF6D3F" w:rsidRPr="00082CB1">
        <w:rPr>
          <w:color w:val="000000" w:themeColor="text1"/>
          <w:szCs w:val="22"/>
          <w:lang w:val="en-GB"/>
        </w:rPr>
        <w:t xml:space="preserve"> as predictors. </w:t>
      </w:r>
      <w:r w:rsidR="00A37A65" w:rsidRPr="00082CB1">
        <w:rPr>
          <w:color w:val="000000" w:themeColor="text1"/>
          <w:szCs w:val="22"/>
          <w:lang w:val="en-GB"/>
        </w:rPr>
        <w:t xml:space="preserve">Estimates and standard errors </w:t>
      </w:r>
      <w:r w:rsidR="003F71FE" w:rsidRPr="00082CB1">
        <w:rPr>
          <w:color w:val="000000" w:themeColor="text1"/>
          <w:szCs w:val="22"/>
          <w:lang w:val="en-GB"/>
        </w:rPr>
        <w:t>will be</w:t>
      </w:r>
      <w:r w:rsidR="00A37A65" w:rsidRPr="00082CB1">
        <w:rPr>
          <w:color w:val="000000" w:themeColor="text1"/>
          <w:szCs w:val="22"/>
          <w:lang w:val="en-GB"/>
        </w:rPr>
        <w:t xml:space="preserve"> obtained with use of Rubin’s rules to combine the results of the separate analyses of individual imputed datasets. </w:t>
      </w:r>
    </w:p>
    <w:p w14:paraId="2C5D1EB1" w14:textId="49BBE5B3" w:rsidR="003A6110" w:rsidRDefault="007F6989" w:rsidP="003A6110">
      <w:pPr>
        <w:rPr>
          <w:szCs w:val="22"/>
          <w:shd w:val="clear" w:color="auto" w:fill="FFFFFF"/>
        </w:rPr>
      </w:pPr>
      <w:r w:rsidRPr="00082CB1">
        <w:rPr>
          <w:color w:val="000000" w:themeColor="text1"/>
          <w:szCs w:val="22"/>
          <w:lang w:val="en-GB"/>
        </w:rPr>
        <w:t>For each condition investigated,</w:t>
      </w:r>
      <w:r w:rsidR="00B905B0">
        <w:rPr>
          <w:color w:val="000000" w:themeColor="text1"/>
          <w:szCs w:val="22"/>
          <w:lang w:val="en-GB"/>
        </w:rPr>
        <w:t xml:space="preserve"> we</w:t>
      </w:r>
      <w:r w:rsidRPr="00082CB1">
        <w:rPr>
          <w:color w:val="000000" w:themeColor="text1"/>
          <w:szCs w:val="22"/>
          <w:lang w:val="en-GB"/>
        </w:rPr>
        <w:t xml:space="preserve"> </w:t>
      </w:r>
      <w:r w:rsidR="003F71FE" w:rsidRPr="00082CB1">
        <w:rPr>
          <w:color w:val="000000" w:themeColor="text1"/>
          <w:szCs w:val="22"/>
          <w:lang w:val="en-GB"/>
        </w:rPr>
        <w:t xml:space="preserve">will </w:t>
      </w:r>
      <w:r w:rsidRPr="00082CB1">
        <w:rPr>
          <w:color w:val="000000" w:themeColor="text1"/>
          <w:szCs w:val="22"/>
          <w:lang w:val="en-GB"/>
        </w:rPr>
        <w:t xml:space="preserve">define time at risk to start at </w:t>
      </w:r>
      <w:r w:rsidR="00420858">
        <w:rPr>
          <w:color w:val="000000" w:themeColor="text1"/>
          <w:szCs w:val="22"/>
          <w:lang w:val="en-GB"/>
        </w:rPr>
        <w:t>participants’</w:t>
      </w:r>
      <w:r w:rsidRPr="00082CB1">
        <w:rPr>
          <w:color w:val="000000" w:themeColor="text1"/>
          <w:szCs w:val="22"/>
          <w:lang w:val="en-GB"/>
        </w:rPr>
        <w:t xml:space="preserve"> </w:t>
      </w:r>
      <w:r w:rsidR="001D36FC" w:rsidRPr="00082CB1">
        <w:rPr>
          <w:color w:val="000000" w:themeColor="text1"/>
          <w:szCs w:val="22"/>
          <w:lang w:val="en-GB"/>
        </w:rPr>
        <w:t>baseline</w:t>
      </w:r>
      <w:r w:rsidRPr="00082CB1">
        <w:rPr>
          <w:color w:val="000000" w:themeColor="text1"/>
          <w:szCs w:val="22"/>
          <w:lang w:val="en-GB"/>
        </w:rPr>
        <w:t xml:space="preserve"> date</w:t>
      </w:r>
      <w:r w:rsidR="00420858">
        <w:rPr>
          <w:color w:val="000000" w:themeColor="text1"/>
          <w:szCs w:val="22"/>
          <w:lang w:val="en-GB"/>
        </w:rPr>
        <w:t>,</w:t>
      </w:r>
      <w:r w:rsidRPr="00082CB1">
        <w:rPr>
          <w:color w:val="000000" w:themeColor="text1"/>
          <w:szCs w:val="22"/>
          <w:lang w:val="en-GB"/>
        </w:rPr>
        <w:t xml:space="preserve"> and to stop at the earliest of death, incidence of the disease of interest, or </w:t>
      </w:r>
      <w:r w:rsidR="001D36FC" w:rsidRPr="00082CB1">
        <w:rPr>
          <w:color w:val="000000" w:themeColor="text1"/>
          <w:szCs w:val="22"/>
          <w:lang w:val="en-GB"/>
        </w:rPr>
        <w:t>follow-up</w:t>
      </w:r>
      <w:r w:rsidRPr="00082CB1">
        <w:rPr>
          <w:color w:val="000000" w:themeColor="text1"/>
          <w:szCs w:val="22"/>
          <w:lang w:val="en-GB"/>
        </w:rPr>
        <w:t xml:space="preserve"> end date (30/0</w:t>
      </w:r>
      <w:r w:rsidR="001D36FC" w:rsidRPr="00082CB1">
        <w:rPr>
          <w:color w:val="000000" w:themeColor="text1"/>
          <w:szCs w:val="22"/>
          <w:lang w:val="en-GB"/>
        </w:rPr>
        <w:t>5</w:t>
      </w:r>
      <w:r w:rsidRPr="00082CB1">
        <w:rPr>
          <w:color w:val="000000" w:themeColor="text1"/>
          <w:szCs w:val="22"/>
          <w:lang w:val="en-GB"/>
        </w:rPr>
        <w:t>/20</w:t>
      </w:r>
      <w:r w:rsidR="001D36FC" w:rsidRPr="00082CB1">
        <w:rPr>
          <w:color w:val="000000" w:themeColor="text1"/>
          <w:szCs w:val="22"/>
          <w:lang w:val="en-GB"/>
        </w:rPr>
        <w:t>22</w:t>
      </w:r>
      <w:r w:rsidRPr="00082CB1">
        <w:rPr>
          <w:color w:val="000000" w:themeColor="text1"/>
          <w:szCs w:val="22"/>
          <w:lang w:val="en-GB"/>
        </w:rPr>
        <w:t xml:space="preserve">). </w:t>
      </w:r>
    </w:p>
    <w:p w14:paraId="4F9E32A4" w14:textId="77777777" w:rsidR="00175A4D" w:rsidRDefault="007F6989" w:rsidP="00796B2B">
      <w:pPr>
        <w:rPr>
          <w:color w:val="000000" w:themeColor="text1"/>
          <w:szCs w:val="22"/>
          <w:shd w:val="clear" w:color="auto" w:fill="FFFFFF"/>
        </w:rPr>
      </w:pPr>
      <w:r w:rsidRPr="00082CB1">
        <w:rPr>
          <w:szCs w:val="22"/>
          <w:lang w:val="en-GB"/>
        </w:rPr>
        <w:t xml:space="preserve">To calculate overall and category-specific hazard ratios (HR) and corresponding 95% confidence intervals (CI) </w:t>
      </w:r>
      <w:r w:rsidRPr="00082CB1">
        <w:rPr>
          <w:szCs w:val="22"/>
        </w:rPr>
        <w:t>for new-onset cardiovascular disease</w:t>
      </w:r>
      <w:r w:rsidRPr="00082CB1">
        <w:rPr>
          <w:szCs w:val="22"/>
          <w:lang w:val="en-GB"/>
        </w:rPr>
        <w:t xml:space="preserve">, we </w:t>
      </w:r>
      <w:r w:rsidR="003F71FE" w:rsidRPr="003533EF">
        <w:rPr>
          <w:szCs w:val="22"/>
          <w:lang w:val="en-GB"/>
        </w:rPr>
        <w:t>will use</w:t>
      </w:r>
      <w:r w:rsidRPr="003533EF">
        <w:rPr>
          <w:szCs w:val="22"/>
          <w:lang w:val="en-GB"/>
        </w:rPr>
        <w:t xml:space="preserve"> </w:t>
      </w:r>
      <w:r w:rsidR="005924F3" w:rsidRPr="003533EF">
        <w:rPr>
          <w:szCs w:val="22"/>
          <w:lang w:val="en-GB"/>
        </w:rPr>
        <w:t>Cox proportional hazard models</w:t>
      </w:r>
      <w:r w:rsidR="005924F3" w:rsidRPr="003533EF">
        <w:rPr>
          <w:szCs w:val="22"/>
        </w:rPr>
        <w:t>.</w:t>
      </w:r>
      <w:r w:rsidR="005161C7" w:rsidRPr="003533EF">
        <w:rPr>
          <w:szCs w:val="22"/>
        </w:rPr>
        <w:t xml:space="preserve"> </w:t>
      </w:r>
      <w:r w:rsidR="009E5037" w:rsidRPr="003533EF">
        <w:rPr>
          <w:szCs w:val="22"/>
        </w:rPr>
        <w:t>We will examine the proportionality of the hazard ratio visually.</w:t>
      </w:r>
      <w:r w:rsidR="00796B2B" w:rsidRPr="003533EF">
        <w:rPr>
          <w:color w:val="000000" w:themeColor="text1"/>
          <w:szCs w:val="22"/>
          <w:shd w:val="clear" w:color="auto" w:fill="FFFFFF"/>
        </w:rPr>
        <w:t xml:space="preserve"> </w:t>
      </w:r>
    </w:p>
    <w:p w14:paraId="5D907222" w14:textId="342054F9" w:rsidR="00796B2B" w:rsidRPr="000A4FBB" w:rsidRDefault="00796B2B" w:rsidP="00796B2B">
      <w:pPr>
        <w:rPr>
          <w:color w:val="000000" w:themeColor="text1"/>
          <w:szCs w:val="22"/>
          <w:shd w:val="clear" w:color="auto" w:fill="FFFFFF"/>
        </w:rPr>
      </w:pPr>
      <w:r w:rsidRPr="003533EF">
        <w:rPr>
          <w:color w:val="000000" w:themeColor="text1"/>
          <w:szCs w:val="22"/>
          <w:shd w:val="clear" w:color="auto" w:fill="FFFFFF"/>
        </w:rPr>
        <w:t>To facilitate clinical interpretation and comparisons with previous</w:t>
      </w:r>
      <w:r w:rsidRPr="000A4FBB">
        <w:rPr>
          <w:color w:val="000000" w:themeColor="text1"/>
          <w:szCs w:val="22"/>
          <w:shd w:val="clear" w:color="auto" w:fill="FFFFFF"/>
        </w:rPr>
        <w:t xml:space="preserve"> literature, we </w:t>
      </w:r>
      <w:r>
        <w:rPr>
          <w:color w:val="000000" w:themeColor="text1"/>
          <w:szCs w:val="22"/>
          <w:shd w:val="clear" w:color="auto" w:fill="FFFFFF"/>
        </w:rPr>
        <w:t xml:space="preserve">will </w:t>
      </w:r>
      <w:r w:rsidRPr="000A4FBB">
        <w:rPr>
          <w:color w:val="000000" w:themeColor="text1"/>
          <w:szCs w:val="22"/>
          <w:shd w:val="clear" w:color="auto" w:fill="FFFFFF"/>
        </w:rPr>
        <w:t xml:space="preserve">report hazard ratios </w:t>
      </w:r>
      <w:r w:rsidR="00175A4D">
        <w:rPr>
          <w:color w:val="000000" w:themeColor="text1"/>
          <w:szCs w:val="22"/>
          <w:shd w:val="clear" w:color="auto" w:fill="FFFFFF"/>
        </w:rPr>
        <w:t>for models</w:t>
      </w:r>
      <w:r w:rsidRPr="000A4FBB">
        <w:rPr>
          <w:color w:val="000000" w:themeColor="text1"/>
          <w:szCs w:val="22"/>
          <w:shd w:val="clear" w:color="auto" w:fill="FFFFFF"/>
        </w:rPr>
        <w:t xml:space="preserve"> </w:t>
      </w:r>
      <w:r w:rsidR="00175A4D">
        <w:rPr>
          <w:color w:val="000000" w:themeColor="text1"/>
          <w:szCs w:val="22"/>
          <w:shd w:val="clear" w:color="auto" w:fill="FFFFFF"/>
        </w:rPr>
        <w:t>considering</w:t>
      </w:r>
      <w:r w:rsidRPr="000A4FBB">
        <w:rPr>
          <w:color w:val="000000" w:themeColor="text1"/>
          <w:szCs w:val="22"/>
          <w:shd w:val="clear" w:color="auto" w:fill="FFFFFF"/>
        </w:rPr>
        <w:t xml:space="preserve"> continuous </w:t>
      </w:r>
      <w:r w:rsidR="00175A4D">
        <w:rPr>
          <w:color w:val="000000" w:themeColor="text1"/>
          <w:szCs w:val="22"/>
          <w:shd w:val="clear" w:color="auto" w:fill="FFFFFF"/>
        </w:rPr>
        <w:t>variables as continuous, as well as</w:t>
      </w:r>
      <w:r w:rsidRPr="000A4FBB">
        <w:rPr>
          <w:color w:val="000000" w:themeColor="text1"/>
          <w:szCs w:val="22"/>
          <w:shd w:val="clear" w:color="auto" w:fill="FFFFFF"/>
        </w:rPr>
        <w:t xml:space="preserve"> categorised values. </w:t>
      </w:r>
      <w:r w:rsidR="00175A4D" w:rsidRPr="00082CB1">
        <w:rPr>
          <w:szCs w:val="22"/>
        </w:rPr>
        <w:t>We will present results from models adjusted for age and sex</w:t>
      </w:r>
      <w:r w:rsidR="00175A4D">
        <w:rPr>
          <w:szCs w:val="22"/>
        </w:rPr>
        <w:t>;</w:t>
      </w:r>
      <w:r w:rsidR="00175A4D" w:rsidRPr="00082CB1">
        <w:rPr>
          <w:szCs w:val="22"/>
        </w:rPr>
        <w:t xml:space="preserve"> </w:t>
      </w:r>
      <w:r w:rsidR="00175A4D">
        <w:rPr>
          <w:szCs w:val="22"/>
        </w:rPr>
        <w:t xml:space="preserve">as well as fully adjusted </w:t>
      </w:r>
      <w:r w:rsidR="00175A4D" w:rsidRPr="00507700">
        <w:rPr>
          <w:szCs w:val="22"/>
          <w:lang w:val="en-GB"/>
        </w:rPr>
        <w:t xml:space="preserve">models </w:t>
      </w:r>
      <w:r w:rsidR="00175A4D">
        <w:rPr>
          <w:szCs w:val="22"/>
          <w:lang w:val="en-GB"/>
        </w:rPr>
        <w:t>considering</w:t>
      </w:r>
      <w:r w:rsidR="00175A4D" w:rsidRPr="00507700">
        <w:rPr>
          <w:szCs w:val="22"/>
          <w:lang w:val="en-GB"/>
        </w:rPr>
        <w:t xml:space="preserve"> </w:t>
      </w:r>
      <w:r w:rsidR="00175A4D">
        <w:rPr>
          <w:szCs w:val="22"/>
          <w:lang w:val="en-GB"/>
        </w:rPr>
        <w:t>all risk factors and biomarkers examined in this study.</w:t>
      </w:r>
    </w:p>
    <w:p w14:paraId="02900FDD" w14:textId="4B867C01" w:rsidR="009001E4" w:rsidRDefault="009001E4" w:rsidP="00507700">
      <w:pPr>
        <w:rPr>
          <w:szCs w:val="22"/>
          <w:lang w:val="en-GB"/>
        </w:rPr>
      </w:pPr>
      <w:r>
        <w:rPr>
          <w:szCs w:val="22"/>
          <w:lang w:val="en-GB"/>
        </w:rPr>
        <w:t xml:space="preserve">As series of substudies will investigate shapes of association for each individual risk factor and individual CVD using restricted cubic splines and both </w:t>
      </w:r>
      <w:r w:rsidR="00EA418F">
        <w:rPr>
          <w:szCs w:val="22"/>
          <w:lang w:val="en-GB"/>
        </w:rPr>
        <w:t>age-sex-</w:t>
      </w:r>
      <w:r>
        <w:rPr>
          <w:szCs w:val="22"/>
          <w:lang w:val="en-GB"/>
        </w:rPr>
        <w:t xml:space="preserve"> and </w:t>
      </w:r>
      <w:r w:rsidR="00EA418F">
        <w:rPr>
          <w:szCs w:val="22"/>
          <w:lang w:val="en-GB"/>
        </w:rPr>
        <w:t xml:space="preserve">fully </w:t>
      </w:r>
      <w:r>
        <w:rPr>
          <w:szCs w:val="22"/>
          <w:lang w:val="en-GB"/>
        </w:rPr>
        <w:t>adjusted models.</w:t>
      </w:r>
    </w:p>
    <w:p w14:paraId="697A445A" w14:textId="29E20D93" w:rsidR="00A349F6" w:rsidRDefault="009001E4" w:rsidP="00082CB1">
      <w:pPr>
        <w:rPr>
          <w:szCs w:val="22"/>
        </w:rPr>
      </w:pPr>
      <w:r>
        <w:rPr>
          <w:szCs w:val="22"/>
          <w:lang w:val="en-GB"/>
        </w:rPr>
        <w:t xml:space="preserve">We will further </w:t>
      </w:r>
      <w:r w:rsidR="00EA418F">
        <w:rPr>
          <w:szCs w:val="22"/>
          <w:lang w:val="en-GB"/>
        </w:rPr>
        <w:t xml:space="preserve">perform </w:t>
      </w:r>
      <w:r>
        <w:rPr>
          <w:szCs w:val="22"/>
          <w:lang w:val="en-GB"/>
        </w:rPr>
        <w:t>stratified analyses by subgroups (including by age, sex, risk factor exposure</w:t>
      </w:r>
      <w:r w:rsidR="00A349F6">
        <w:rPr>
          <w:szCs w:val="22"/>
          <w:lang w:val="en-GB"/>
        </w:rPr>
        <w:t>, comorbidity,</w:t>
      </w:r>
      <w:r>
        <w:rPr>
          <w:szCs w:val="22"/>
          <w:lang w:val="en-GB"/>
        </w:rPr>
        <w:t xml:space="preserve"> and medication exposure). </w:t>
      </w:r>
      <w:r>
        <w:rPr>
          <w:szCs w:val="22"/>
        </w:rPr>
        <w:t xml:space="preserve">To examine sex-differences in </w:t>
      </w:r>
      <w:r w:rsidR="00271F5F" w:rsidRPr="00082CB1">
        <w:rPr>
          <w:szCs w:val="22"/>
        </w:rPr>
        <w:t xml:space="preserve">cardiovascular </w:t>
      </w:r>
      <w:r>
        <w:rPr>
          <w:szCs w:val="22"/>
        </w:rPr>
        <w:t xml:space="preserve">risk factor </w:t>
      </w:r>
      <w:r w:rsidRPr="00A349F6">
        <w:rPr>
          <w:szCs w:val="22"/>
        </w:rPr>
        <w:t>associations, we will</w:t>
      </w:r>
      <w:r w:rsidR="007F6989" w:rsidRPr="00A349F6">
        <w:rPr>
          <w:szCs w:val="22"/>
        </w:rPr>
        <w:t xml:space="preserve"> calculat</w:t>
      </w:r>
      <w:r w:rsidR="003F71FE" w:rsidRPr="00A349F6">
        <w:rPr>
          <w:szCs w:val="22"/>
        </w:rPr>
        <w:t>e</w:t>
      </w:r>
      <w:r w:rsidR="007F6989" w:rsidRPr="00A349F6">
        <w:rPr>
          <w:szCs w:val="22"/>
        </w:rPr>
        <w:t xml:space="preserve"> the ratios </w:t>
      </w:r>
      <w:r w:rsidR="00EA418F" w:rsidRPr="00A349F6">
        <w:rPr>
          <w:szCs w:val="22"/>
        </w:rPr>
        <w:t>of hazard ratios and corresponding 95% C</w:t>
      </w:r>
      <w:r w:rsidR="00A349F6" w:rsidRPr="00A349F6">
        <w:rPr>
          <w:szCs w:val="22"/>
        </w:rPr>
        <w:t>I</w:t>
      </w:r>
      <w:r w:rsidR="00EA418F" w:rsidRPr="00A349F6">
        <w:rPr>
          <w:szCs w:val="22"/>
        </w:rPr>
        <w:t>s by</w:t>
      </w:r>
      <w:r w:rsidR="00A349F6" w:rsidRPr="00A349F6">
        <w:rPr>
          <w:szCs w:val="22"/>
        </w:rPr>
        <w:t xml:space="preserve"> fitting an interaction term for sex in fully adjusted cox proportional hazard models</w:t>
      </w:r>
      <w:r w:rsidR="00A349F6">
        <w:rPr>
          <w:szCs w:val="22"/>
        </w:rPr>
        <w:t xml:space="preserve"> with women as the reference group.</w:t>
      </w:r>
    </w:p>
    <w:p w14:paraId="7572D164" w14:textId="4E5A2977" w:rsidR="00405DA3" w:rsidRPr="00A60ECF" w:rsidRDefault="003A6110" w:rsidP="00405DA3">
      <w:pPr>
        <w:rPr>
          <w:rFonts w:ascii="Calibri" w:hAnsi="Calibri" w:cs="Calibri"/>
          <w:szCs w:val="22"/>
        </w:rPr>
      </w:pPr>
      <w:r w:rsidRPr="00082CB1">
        <w:rPr>
          <w:szCs w:val="22"/>
          <w:shd w:val="clear" w:color="auto" w:fill="FFFFFF"/>
        </w:rPr>
        <w:t xml:space="preserve">To examine the absolute risk of developing CVD, </w:t>
      </w:r>
      <w:r w:rsidR="00B905B0" w:rsidRPr="00082CB1">
        <w:rPr>
          <w:color w:val="000000" w:themeColor="text1"/>
          <w:szCs w:val="22"/>
          <w:lang w:val="en-GB"/>
        </w:rPr>
        <w:t>we will calculate incidence rates by dividing the number of incident cases by the number of patient years in the cohort</w:t>
      </w:r>
      <w:r w:rsidR="00B905B0">
        <w:rPr>
          <w:color w:val="000000" w:themeColor="text1"/>
          <w:szCs w:val="22"/>
          <w:lang w:val="en-GB"/>
        </w:rPr>
        <w:t xml:space="preserve">, and </w:t>
      </w:r>
      <w:r w:rsidRPr="00082CB1">
        <w:rPr>
          <w:szCs w:val="22"/>
          <w:shd w:val="clear" w:color="auto" w:fill="FFFFFF"/>
        </w:rPr>
        <w:t>stratif</w:t>
      </w:r>
      <w:r w:rsidR="00B905B0">
        <w:rPr>
          <w:szCs w:val="22"/>
          <w:shd w:val="clear" w:color="auto" w:fill="FFFFFF"/>
        </w:rPr>
        <w:t>y analyses</w:t>
      </w:r>
      <w:r w:rsidRPr="00082CB1">
        <w:rPr>
          <w:szCs w:val="22"/>
          <w:shd w:val="clear" w:color="auto" w:fill="FFFFFF"/>
        </w:rPr>
        <w:t xml:space="preserve"> by </w:t>
      </w:r>
      <w:r w:rsidRPr="00082CB1">
        <w:rPr>
          <w:szCs w:val="22"/>
          <w:shd w:val="clear" w:color="auto" w:fill="FFFFFF"/>
        </w:rPr>
        <w:lastRenderedPageBreak/>
        <w:t>age</w:t>
      </w:r>
      <w:r w:rsidR="00B905B0">
        <w:rPr>
          <w:szCs w:val="22"/>
          <w:shd w:val="clear" w:color="auto" w:fill="FFFFFF"/>
        </w:rPr>
        <w:t>, sex</w:t>
      </w:r>
      <w:r w:rsidRPr="00082CB1">
        <w:rPr>
          <w:szCs w:val="22"/>
          <w:shd w:val="clear" w:color="auto" w:fill="FFFFFF"/>
        </w:rPr>
        <w:t xml:space="preserve"> and absence/presence of risk factor</w:t>
      </w:r>
      <w:r w:rsidR="00B905B0">
        <w:rPr>
          <w:szCs w:val="22"/>
          <w:shd w:val="clear" w:color="auto" w:fill="FFFFFF"/>
        </w:rPr>
        <w:t>s</w:t>
      </w:r>
      <w:r w:rsidRPr="00082CB1">
        <w:rPr>
          <w:szCs w:val="22"/>
          <w:shd w:val="clear" w:color="auto" w:fill="FFFFFF"/>
        </w:rPr>
        <w:t xml:space="preserve">. </w:t>
      </w:r>
      <w:r w:rsidR="00313A75" w:rsidRPr="00082CB1">
        <w:rPr>
          <w:szCs w:val="22"/>
        </w:rPr>
        <w:t>To estimate the impact of individual risk factors on CVD</w:t>
      </w:r>
      <w:r w:rsidR="00FB7F2C" w:rsidRPr="00082CB1">
        <w:rPr>
          <w:szCs w:val="22"/>
        </w:rPr>
        <w:t xml:space="preserve">s </w:t>
      </w:r>
      <w:r w:rsidR="00D83911" w:rsidRPr="00082CB1">
        <w:rPr>
          <w:szCs w:val="22"/>
        </w:rPr>
        <w:t xml:space="preserve">(and estimate the reduction in CVD that would occur if risk factor exposure was </w:t>
      </w:r>
      <w:r w:rsidR="00D83911" w:rsidRPr="00B64EE1">
        <w:rPr>
          <w:szCs w:val="22"/>
        </w:rPr>
        <w:t xml:space="preserve">eliminated), we </w:t>
      </w:r>
      <w:r w:rsidR="003F71FE" w:rsidRPr="00B64EE1">
        <w:rPr>
          <w:szCs w:val="22"/>
        </w:rPr>
        <w:t xml:space="preserve">will </w:t>
      </w:r>
      <w:r w:rsidR="00313A75" w:rsidRPr="00B64EE1">
        <w:rPr>
          <w:szCs w:val="22"/>
        </w:rPr>
        <w:t>calculate the</w:t>
      </w:r>
      <w:r w:rsidR="007F6989" w:rsidRPr="00B64EE1">
        <w:rPr>
          <w:szCs w:val="22"/>
        </w:rPr>
        <w:t xml:space="preserve"> population- attributable fraction (PAF) </w:t>
      </w:r>
      <w:r w:rsidR="00405DA3" w:rsidRPr="00B64EE1">
        <w:rPr>
          <w:rFonts w:ascii="Calibri" w:hAnsi="Calibri" w:cs="Calibri"/>
          <w:szCs w:val="22"/>
        </w:rPr>
        <w:t>for the 10-year incidence of cardiovascular disease and</w:t>
      </w:r>
      <w:r w:rsidR="007F6989" w:rsidRPr="00B64EE1">
        <w:rPr>
          <w:szCs w:val="22"/>
        </w:rPr>
        <w:t xml:space="preserve"> each risk factor using the </w:t>
      </w:r>
      <w:r w:rsidR="00405DA3" w:rsidRPr="00B64EE1">
        <w:rPr>
          <w:szCs w:val="22"/>
        </w:rPr>
        <w:t>methods</w:t>
      </w:r>
      <w:r w:rsidR="00405DA3" w:rsidRPr="00B64EE1">
        <w:rPr>
          <w:rFonts w:ascii="Calibri" w:hAnsi="Calibri" w:cs="Calibri"/>
          <w:szCs w:val="22"/>
        </w:rPr>
        <w:t xml:space="preserve"> from Laaksonen and colleagues.</w:t>
      </w:r>
      <w:r w:rsidR="0050608F">
        <w:rPr>
          <w:rFonts w:ascii="Calibri" w:hAnsi="Calibri" w:cs="Calibri"/>
          <w:szCs w:val="22"/>
        </w:rPr>
        <w:fldChar w:fldCharType="begin"/>
      </w:r>
      <w:r w:rsidR="0050608F">
        <w:rPr>
          <w:rFonts w:ascii="Calibri" w:hAnsi="Calibri" w:cs="Calibri"/>
          <w:szCs w:val="22"/>
        </w:rPr>
        <w:instrText xml:space="preserve"> ADDIN ZOTERO_ITEM CSL_CITATION {"citationID":"WumCj3i3","properties":{"formattedCitation":"\\super 12\\nosupersub{}","plainCitation":"12","noteIndex":0},"citationItems":[{"id":10476,"uris":["http://zotero.org/users/10014724/items/AEVSTW2M"],"itemData":{"id":10476,"type":"article-journal","container-title":"Journal of Statistical Software","DOI":"10.18637/jss.v043.i07","ISSN":"1548-7660","issue":"7","journalAbbreviation":"J. Stat. Soft.","language":"en","source":"DOI.org (Crossref)","title":"&lt;i&gt;SAS&lt;/i&gt; Macros for Calculation of Population Attributable Fraction in a Cohort Study Design","URL":"http://www.jstatsoft.org/v43/i07/","volume":"43","author":[{"family":"Laaksonen","given":"Maarit A."},{"family":"Virtala","given":"Esa"},{"family":"Knekt","given":"Paul"},{"family":"Oja","given":"Hannu"},{"family":"Härkänen","given":"Tommi"}],"accessed":{"date-parts":[["2025",6,16]]},"issued":{"date-parts":[["2011"]]}}}],"schema":"https://github.com/citation-style-language/schema/raw/master/csl-citation.json"} </w:instrText>
      </w:r>
      <w:r w:rsidR="0050608F">
        <w:rPr>
          <w:rFonts w:ascii="Calibri" w:hAnsi="Calibri" w:cs="Calibri"/>
          <w:szCs w:val="22"/>
        </w:rPr>
        <w:fldChar w:fldCharType="separate"/>
      </w:r>
      <w:r w:rsidR="0050608F" w:rsidRPr="0050608F">
        <w:rPr>
          <w:rFonts w:ascii="Calibri" w:hAnsi="Calibri" w:cs="Calibri"/>
          <w:vertAlign w:val="superscript"/>
          <w:lang w:val="en-GB"/>
        </w:rPr>
        <w:t>12</w:t>
      </w:r>
      <w:r w:rsidR="0050608F">
        <w:rPr>
          <w:rFonts w:ascii="Calibri" w:hAnsi="Calibri" w:cs="Calibri"/>
          <w:szCs w:val="22"/>
        </w:rPr>
        <w:fldChar w:fldCharType="end"/>
      </w:r>
    </w:p>
    <w:p w14:paraId="58D86089" w14:textId="77777777" w:rsidR="003A6110" w:rsidRDefault="007F6989" w:rsidP="00082CB1">
      <w:pPr>
        <w:rPr>
          <w:szCs w:val="22"/>
        </w:rPr>
      </w:pPr>
      <w:r w:rsidRPr="00082CB1">
        <w:rPr>
          <w:szCs w:val="22"/>
        </w:rPr>
        <w:t>To examine the robustness of our results, we</w:t>
      </w:r>
      <w:r w:rsidR="003F71FE" w:rsidRPr="00082CB1">
        <w:rPr>
          <w:szCs w:val="22"/>
        </w:rPr>
        <w:t xml:space="preserve"> will</w:t>
      </w:r>
      <w:r w:rsidRPr="00082CB1">
        <w:rPr>
          <w:szCs w:val="22"/>
        </w:rPr>
        <w:t xml:space="preserve"> conduct</w:t>
      </w:r>
      <w:r w:rsidR="003F71FE" w:rsidRPr="00082CB1">
        <w:rPr>
          <w:szCs w:val="22"/>
        </w:rPr>
        <w:t xml:space="preserve"> </w:t>
      </w:r>
      <w:r w:rsidRPr="00082CB1">
        <w:rPr>
          <w:szCs w:val="22"/>
        </w:rPr>
        <w:t>several sensitivity analyses</w:t>
      </w:r>
      <w:r w:rsidR="003A6110">
        <w:rPr>
          <w:szCs w:val="22"/>
        </w:rPr>
        <w:t>:</w:t>
      </w:r>
    </w:p>
    <w:p w14:paraId="1AB3F63D" w14:textId="0327EA07" w:rsidR="008B3671" w:rsidRDefault="008B3671" w:rsidP="00E45D0C">
      <w:pPr>
        <w:pStyle w:val="ListParagraph"/>
        <w:numPr>
          <w:ilvl w:val="0"/>
          <w:numId w:val="11"/>
        </w:numPr>
        <w:rPr>
          <w:szCs w:val="22"/>
        </w:rPr>
      </w:pPr>
      <w:r>
        <w:rPr>
          <w:szCs w:val="22"/>
        </w:rPr>
        <w:t>Stratifying analyses by baseline</w:t>
      </w:r>
      <w:r w:rsidR="00F833B2">
        <w:rPr>
          <w:szCs w:val="22"/>
        </w:rPr>
        <w:t>-</w:t>
      </w:r>
      <w:r>
        <w:rPr>
          <w:szCs w:val="22"/>
        </w:rPr>
        <w:t xml:space="preserve"> </w:t>
      </w:r>
      <w:r w:rsidR="00F833B2">
        <w:rPr>
          <w:szCs w:val="22"/>
        </w:rPr>
        <w:t>and ever-</w:t>
      </w:r>
      <w:r>
        <w:rPr>
          <w:szCs w:val="22"/>
        </w:rPr>
        <w:t>use of c</w:t>
      </w:r>
      <w:r w:rsidRPr="008B3671">
        <w:rPr>
          <w:szCs w:val="22"/>
        </w:rPr>
        <w:t xml:space="preserve">holesterol and/or blood pressure lowering </w:t>
      </w:r>
      <w:r>
        <w:rPr>
          <w:szCs w:val="22"/>
        </w:rPr>
        <w:t>medications;</w:t>
      </w:r>
    </w:p>
    <w:p w14:paraId="1B85D7CD" w14:textId="46753D0D" w:rsidR="003A6110" w:rsidRPr="008B3671" w:rsidRDefault="003A6110" w:rsidP="00E45D0C">
      <w:pPr>
        <w:pStyle w:val="ListParagraph"/>
        <w:numPr>
          <w:ilvl w:val="0"/>
          <w:numId w:val="11"/>
        </w:numPr>
        <w:rPr>
          <w:szCs w:val="22"/>
        </w:rPr>
      </w:pPr>
      <w:r w:rsidRPr="008B3671">
        <w:rPr>
          <w:szCs w:val="22"/>
        </w:rPr>
        <w:t xml:space="preserve">Censoring time at risk to the date of the first-reported </w:t>
      </w:r>
      <w:r w:rsidR="008B3671" w:rsidRPr="008B3671">
        <w:rPr>
          <w:szCs w:val="22"/>
        </w:rPr>
        <w:t>cholesterol</w:t>
      </w:r>
      <w:r w:rsidRPr="008B3671">
        <w:rPr>
          <w:szCs w:val="22"/>
        </w:rPr>
        <w:t xml:space="preserve"> and/or bloo</w:t>
      </w:r>
      <w:r w:rsidR="008B3671" w:rsidRPr="008B3671">
        <w:rPr>
          <w:szCs w:val="22"/>
        </w:rPr>
        <w:t xml:space="preserve">d pressure lowering drug </w:t>
      </w:r>
      <w:r w:rsidRPr="008B3671">
        <w:rPr>
          <w:szCs w:val="22"/>
        </w:rPr>
        <w:t>prescription</w:t>
      </w:r>
      <w:r w:rsidR="008B3671" w:rsidRPr="008B3671">
        <w:rPr>
          <w:szCs w:val="22"/>
        </w:rPr>
        <w:t xml:space="preserve"> </w:t>
      </w:r>
      <w:r w:rsidRPr="008B3671">
        <w:rPr>
          <w:szCs w:val="22"/>
        </w:rPr>
        <w:t>(subgroup analysis restricted to the cohort to individuals with functional linkage to primary care records);</w:t>
      </w:r>
    </w:p>
    <w:p w14:paraId="13CC2936" w14:textId="50BBAD8D" w:rsidR="003A6110" w:rsidRPr="003A6110" w:rsidRDefault="008B3671" w:rsidP="00264B25">
      <w:pPr>
        <w:pStyle w:val="ListParagraph"/>
        <w:numPr>
          <w:ilvl w:val="0"/>
          <w:numId w:val="11"/>
        </w:numPr>
        <w:rPr>
          <w:szCs w:val="22"/>
        </w:rPr>
      </w:pPr>
      <w:r>
        <w:rPr>
          <w:szCs w:val="22"/>
        </w:rPr>
        <w:t>Rec</w:t>
      </w:r>
      <w:r w:rsidR="003A6110" w:rsidRPr="003A6110">
        <w:rPr>
          <w:szCs w:val="22"/>
        </w:rPr>
        <w:t xml:space="preserve">alculating </w:t>
      </w:r>
      <w:r w:rsidR="003A6110" w:rsidRPr="003A6110">
        <w:rPr>
          <w:szCs w:val="22"/>
          <w:lang w:val="en-GB"/>
        </w:rPr>
        <w:t xml:space="preserve">category-specific hazard ratios and confidence intervals </w:t>
      </w:r>
      <w:r w:rsidR="003A6110" w:rsidRPr="003A6110">
        <w:rPr>
          <w:szCs w:val="22"/>
        </w:rPr>
        <w:t>for new-onset cardiovascular disease</w:t>
      </w:r>
      <w:r>
        <w:rPr>
          <w:szCs w:val="22"/>
          <w:lang w:val="en-GB"/>
        </w:rPr>
        <w:t xml:space="preserve"> </w:t>
      </w:r>
      <w:r w:rsidR="003A6110" w:rsidRPr="003A6110">
        <w:rPr>
          <w:szCs w:val="22"/>
          <w:lang w:val="en-GB"/>
        </w:rPr>
        <w:t xml:space="preserve">using </w:t>
      </w:r>
      <w:r w:rsidR="003A6110" w:rsidRPr="003A6110">
        <w:rPr>
          <w:szCs w:val="22"/>
        </w:rPr>
        <w:t xml:space="preserve">Fine-Gray </w:t>
      </w:r>
      <w:r w:rsidR="003A6110" w:rsidRPr="003A6110">
        <w:rPr>
          <w:color w:val="2A2A2A"/>
          <w:szCs w:val="22"/>
          <w:shd w:val="clear" w:color="auto" w:fill="FFFFFF"/>
        </w:rPr>
        <w:t xml:space="preserve">sub-distribution hazard models </w:t>
      </w:r>
      <w:r w:rsidR="003A6110" w:rsidRPr="003A6110">
        <w:rPr>
          <w:szCs w:val="22"/>
          <w:lang w:val="en-GB"/>
        </w:rPr>
        <w:t>accounting for the competing risk of death from any cause;</w:t>
      </w:r>
    </w:p>
    <w:p w14:paraId="075AF330" w14:textId="3FD32E46" w:rsidR="00813612" w:rsidRDefault="007F6989" w:rsidP="00082CB1">
      <w:pPr>
        <w:rPr>
          <w:rFonts w:eastAsia="MS Mincho"/>
          <w:color w:val="000000" w:themeColor="text1"/>
          <w:szCs w:val="22"/>
          <w:lang w:val="en-GB"/>
        </w:rPr>
      </w:pPr>
      <w:r w:rsidRPr="00082CB1">
        <w:rPr>
          <w:rFonts w:eastAsia="MS Mincho"/>
          <w:szCs w:val="22"/>
          <w:lang w:val="en-GB"/>
        </w:rPr>
        <w:t xml:space="preserve">We </w:t>
      </w:r>
      <w:r w:rsidR="00F833B2">
        <w:rPr>
          <w:rFonts w:eastAsia="MS Mincho"/>
          <w:szCs w:val="22"/>
          <w:lang w:val="en-GB"/>
        </w:rPr>
        <w:t xml:space="preserve">will </w:t>
      </w:r>
      <w:r w:rsidRPr="00082CB1">
        <w:rPr>
          <w:rFonts w:eastAsia="MS Mincho"/>
          <w:szCs w:val="22"/>
          <w:lang w:val="en-GB"/>
        </w:rPr>
        <w:t xml:space="preserve">report study findings according to the Reporting of studies </w:t>
      </w:r>
      <w:r w:rsidRPr="00082CB1">
        <w:rPr>
          <w:rFonts w:eastAsia="MS Mincho"/>
          <w:color w:val="000000" w:themeColor="text1"/>
          <w:szCs w:val="22"/>
          <w:lang w:val="en-GB"/>
        </w:rPr>
        <w:t>Conducted using Observational Routinely-collected health Data (RECORD) recommendations.</w:t>
      </w:r>
      <w:r w:rsidRPr="00082CB1">
        <w:rPr>
          <w:rFonts w:eastAsia="MS Mincho"/>
          <w:color w:val="000000" w:themeColor="text1"/>
          <w:szCs w:val="22"/>
          <w:lang w:val="en-GB"/>
        </w:rPr>
        <w:fldChar w:fldCharType="begin" w:fldLock="1"/>
      </w:r>
      <w:r w:rsidR="0050608F">
        <w:rPr>
          <w:rFonts w:eastAsia="MS Mincho"/>
          <w:color w:val="000000" w:themeColor="text1"/>
          <w:szCs w:val="22"/>
          <w:lang w:val="en-GB"/>
        </w:rPr>
        <w:instrText xml:space="preserve"> ADDIN ZOTERO_ITEM CSL_CITATION {"citationID":"LDjCCLRD","properties":{"formattedCitation":"\\super 13\\nosupersub{}","plainCitation":"13","noteIndex":0},"citationItems":[{"id":2684,"uris":["http://www.mendeley.com/documents/?uuid=8c2eda2c-ec4e-3a41-a77c-54554f77c764","http://www.mendeley.com/documents/?uuid=c1cab585-4e36-41b0-8ec1-d9567117d661","http://zotero.org/users/10014724/items/XJXA8RQ6"],"itemData":{"id":2684,"type":"article-journal","container-title":"PLOS Medicine","DOI":"10.1371/journal.pmed.1001885","ISSN":"1549-1676","issue":"10","page":"e1001885","title":"The REporting of studies Conducted using Observational Routinely-collected health Data (RECORD) Statement","volume":"12","author":[{"family":"Benchimol","given":"Eric I."},{"family":"Smeeth","given":"Liam"},{"family":"Guttmann","given":"Astrid"},{"family":"Harron","given":"Katie"},{"family":"Moher","given":"David"},{"family":"Petersen","given":"Irene"},{"family":"Sørensen","given":"Henrik T."},{"family":"Elm","given":"Erik","non-dropping-particle":"von"},{"family":"Langan","given":"Sinéad M."},{"family":"Committee","given":"RECORD Working"}],"issued":{"date-parts":[["2015"]]}}}],"schema":"https://github.com/citation-style-language/schema/raw/master/csl-citation.json"} </w:instrText>
      </w:r>
      <w:r w:rsidRPr="00082CB1">
        <w:rPr>
          <w:rFonts w:eastAsia="MS Mincho"/>
          <w:color w:val="000000" w:themeColor="text1"/>
          <w:szCs w:val="22"/>
          <w:lang w:val="en-GB"/>
        </w:rPr>
        <w:fldChar w:fldCharType="separate"/>
      </w:r>
      <w:r w:rsidR="0050608F" w:rsidRPr="0050608F">
        <w:rPr>
          <w:rFonts w:ascii="Aptos"/>
          <w:color w:val="000000"/>
          <w:vertAlign w:val="superscript"/>
          <w:lang w:val="en-GB"/>
        </w:rPr>
        <w:t>13</w:t>
      </w:r>
      <w:r w:rsidRPr="00082CB1">
        <w:rPr>
          <w:rFonts w:eastAsia="MS Mincho"/>
          <w:color w:val="000000" w:themeColor="text1"/>
          <w:szCs w:val="22"/>
          <w:lang w:val="en-GB"/>
        </w:rPr>
        <w:fldChar w:fldCharType="end"/>
      </w:r>
      <w:r w:rsidRPr="00082CB1">
        <w:rPr>
          <w:rFonts w:eastAsia="MS Mincho"/>
          <w:color w:val="000000" w:themeColor="text1"/>
          <w:szCs w:val="22"/>
          <w:lang w:val="en-GB"/>
        </w:rPr>
        <w:t xml:space="preserve"> </w:t>
      </w:r>
    </w:p>
    <w:p w14:paraId="1B9F9C3F" w14:textId="3494DD17" w:rsidR="003C683E" w:rsidRDefault="003C683E" w:rsidP="00082CB1">
      <w:pPr>
        <w:rPr>
          <w:rFonts w:eastAsia="MS Mincho"/>
          <w:color w:val="000000" w:themeColor="text1"/>
          <w:szCs w:val="22"/>
          <w:lang w:val="en-GB"/>
        </w:rPr>
      </w:pPr>
      <w:r>
        <w:rPr>
          <w:rFonts w:eastAsia="MS Mincho"/>
          <w:color w:val="000000" w:themeColor="text1"/>
          <w:szCs w:val="22"/>
          <w:lang w:val="en-GB"/>
        </w:rPr>
        <w:t>Preliminary</w:t>
      </w:r>
      <w:r w:rsidR="001A567C">
        <w:rPr>
          <w:rFonts w:eastAsia="MS Mincho"/>
          <w:color w:val="000000" w:themeColor="text1"/>
          <w:szCs w:val="22"/>
          <w:lang w:val="en-GB"/>
        </w:rPr>
        <w:t xml:space="preserve"> access to the data from UK Biobank was available </w:t>
      </w:r>
      <w:r>
        <w:rPr>
          <w:rFonts w:eastAsia="MS Mincho"/>
          <w:color w:val="000000" w:themeColor="text1"/>
          <w:szCs w:val="22"/>
          <w:lang w:val="en-GB"/>
        </w:rPr>
        <w:t xml:space="preserve">to the authors </w:t>
      </w:r>
      <w:r w:rsidR="001A567C">
        <w:rPr>
          <w:rFonts w:eastAsia="MS Mincho"/>
          <w:color w:val="000000" w:themeColor="text1"/>
          <w:szCs w:val="22"/>
          <w:lang w:val="en-GB"/>
        </w:rPr>
        <w:t xml:space="preserve">at the time this </w:t>
      </w:r>
      <w:r>
        <w:rPr>
          <w:rFonts w:eastAsia="MS Mincho"/>
          <w:color w:val="000000" w:themeColor="text1"/>
          <w:szCs w:val="22"/>
          <w:lang w:val="en-GB"/>
        </w:rPr>
        <w:t>study protocol was established.</w:t>
      </w:r>
    </w:p>
    <w:p w14:paraId="6C9D847E" w14:textId="77777777" w:rsidR="003C683E" w:rsidRPr="003C683E" w:rsidRDefault="003C683E" w:rsidP="00082CB1">
      <w:pPr>
        <w:rPr>
          <w:rFonts w:eastAsia="MS Mincho"/>
          <w:color w:val="000000" w:themeColor="text1"/>
          <w:szCs w:val="22"/>
          <w:lang w:val="en-GB"/>
        </w:rPr>
      </w:pPr>
    </w:p>
    <w:p w14:paraId="376ACDB3" w14:textId="04032DB2" w:rsidR="00175A4D" w:rsidRPr="00175A4D" w:rsidRDefault="00175A4D" w:rsidP="00082CB1">
      <w:pPr>
        <w:rPr>
          <w:b/>
          <w:bCs/>
          <w:szCs w:val="22"/>
          <w:lang w:val="en-GB"/>
        </w:rPr>
      </w:pPr>
      <w:r w:rsidRPr="00175A4D">
        <w:rPr>
          <w:b/>
          <w:bCs/>
          <w:szCs w:val="22"/>
          <w:lang w:val="en-GB"/>
        </w:rPr>
        <w:t>Bibliography</w:t>
      </w:r>
    </w:p>
    <w:p w14:paraId="26B3C845" w14:textId="77777777" w:rsidR="00B905B0" w:rsidRPr="00B905B0" w:rsidRDefault="003869A2" w:rsidP="00B905B0">
      <w:pPr>
        <w:pStyle w:val="Bibliography"/>
        <w:spacing w:after="40" w:line="216" w:lineRule="auto"/>
        <w:rPr>
          <w:rFonts w:ascii="Aptos"/>
          <w:sz w:val="20"/>
          <w:lang w:val="en-GB"/>
        </w:rPr>
      </w:pPr>
      <w:r w:rsidRPr="009965E5">
        <w:rPr>
          <w:sz w:val="20"/>
          <w:szCs w:val="20"/>
          <w:lang w:val="en-GB"/>
        </w:rPr>
        <w:fldChar w:fldCharType="begin"/>
      </w:r>
      <w:r w:rsidRPr="009965E5">
        <w:rPr>
          <w:sz w:val="20"/>
          <w:szCs w:val="20"/>
          <w:lang w:val="en-GB"/>
        </w:rPr>
        <w:instrText xml:space="preserve"> ADDIN ZOTERO_BIBL {"uncited":[],"omitted":[],"custom":[]} CSL_BIBLIOGRAPHY </w:instrText>
      </w:r>
      <w:r w:rsidRPr="009965E5">
        <w:rPr>
          <w:sz w:val="20"/>
          <w:szCs w:val="20"/>
          <w:lang w:val="en-GB"/>
        </w:rPr>
        <w:fldChar w:fldCharType="separate"/>
      </w:r>
      <w:r w:rsidR="00B905B0" w:rsidRPr="00B905B0">
        <w:rPr>
          <w:rFonts w:ascii="Aptos"/>
          <w:sz w:val="20"/>
          <w:lang w:val="en-GB"/>
        </w:rPr>
        <w:t>1</w:t>
      </w:r>
      <w:r w:rsidR="00B905B0" w:rsidRPr="00B905B0">
        <w:rPr>
          <w:rFonts w:ascii="Aptos"/>
          <w:sz w:val="20"/>
          <w:lang w:val="en-GB"/>
        </w:rPr>
        <w:tab/>
        <w:t xml:space="preserve">Conrad N, Judge A, Tran J, </w:t>
      </w:r>
      <w:r w:rsidR="00B905B0" w:rsidRPr="00B905B0">
        <w:rPr>
          <w:rFonts w:ascii="Aptos"/>
          <w:i/>
          <w:iCs/>
          <w:sz w:val="20"/>
          <w:lang w:val="en-GB"/>
        </w:rPr>
        <w:t>et al.</w:t>
      </w:r>
      <w:r w:rsidR="00B905B0" w:rsidRPr="00B905B0">
        <w:rPr>
          <w:rFonts w:ascii="Aptos"/>
          <w:sz w:val="20"/>
          <w:lang w:val="en-GB"/>
        </w:rPr>
        <w:t xml:space="preserve"> Temporal trends and patterns in heart failure incidence: a population-based study of 4 million individuals. </w:t>
      </w:r>
      <w:r w:rsidR="00B905B0" w:rsidRPr="00B905B0">
        <w:rPr>
          <w:rFonts w:ascii="Aptos"/>
          <w:i/>
          <w:iCs/>
          <w:sz w:val="20"/>
          <w:lang w:val="en-GB"/>
        </w:rPr>
        <w:t>The Lancet</w:t>
      </w:r>
      <w:r w:rsidR="00B905B0" w:rsidRPr="00B905B0">
        <w:rPr>
          <w:rFonts w:ascii="Aptos"/>
          <w:sz w:val="20"/>
          <w:lang w:val="en-GB"/>
        </w:rPr>
        <w:t xml:space="preserve"> 2017; </w:t>
      </w:r>
      <w:r w:rsidR="00B905B0" w:rsidRPr="00B905B0">
        <w:rPr>
          <w:rFonts w:ascii="Aptos"/>
          <w:b/>
          <w:bCs/>
          <w:sz w:val="20"/>
          <w:lang w:val="en-GB"/>
        </w:rPr>
        <w:t>391</w:t>
      </w:r>
      <w:r w:rsidR="00B905B0" w:rsidRPr="00B905B0">
        <w:rPr>
          <w:rFonts w:ascii="Aptos"/>
          <w:sz w:val="20"/>
          <w:lang w:val="en-GB"/>
        </w:rPr>
        <w:t>: 572–80.</w:t>
      </w:r>
    </w:p>
    <w:p w14:paraId="5A16B6BD" w14:textId="77777777" w:rsidR="00B905B0" w:rsidRPr="0099132D" w:rsidRDefault="00B905B0" w:rsidP="00B905B0">
      <w:pPr>
        <w:pStyle w:val="Bibliography"/>
        <w:spacing w:after="40" w:line="216" w:lineRule="auto"/>
        <w:rPr>
          <w:rFonts w:ascii="Aptos"/>
          <w:sz w:val="20"/>
          <w:lang w:val="en-US"/>
        </w:rPr>
      </w:pPr>
      <w:r w:rsidRPr="00B905B0">
        <w:rPr>
          <w:rFonts w:ascii="Aptos"/>
          <w:sz w:val="20"/>
          <w:lang w:val="en-GB"/>
        </w:rPr>
        <w:t>2</w:t>
      </w:r>
      <w:r w:rsidRPr="00B905B0">
        <w:rPr>
          <w:rFonts w:ascii="Aptos"/>
          <w:sz w:val="20"/>
          <w:lang w:val="en-GB"/>
        </w:rPr>
        <w:tab/>
        <w:t xml:space="preserve">Conrad N, Verbeke G, Molenberghs G, </w:t>
      </w:r>
      <w:r w:rsidRPr="00B905B0">
        <w:rPr>
          <w:rFonts w:ascii="Aptos"/>
          <w:i/>
          <w:iCs/>
          <w:sz w:val="20"/>
          <w:lang w:val="en-GB"/>
        </w:rPr>
        <w:t>et al.</w:t>
      </w:r>
      <w:r w:rsidRPr="00B905B0">
        <w:rPr>
          <w:rFonts w:ascii="Aptos"/>
          <w:sz w:val="20"/>
          <w:lang w:val="en-GB"/>
        </w:rPr>
        <w:t xml:space="preserve"> Autoimmune diseases and cardiovascular risk: a population-based study on 19 autoimmune diseases and 12 cardiovascular diseases in 22 million individuals in the UK. </w:t>
      </w:r>
      <w:r w:rsidRPr="00B905B0">
        <w:rPr>
          <w:rFonts w:ascii="Aptos"/>
          <w:i/>
          <w:iCs/>
          <w:sz w:val="20"/>
          <w:lang w:val="en-GB"/>
        </w:rPr>
        <w:t>Lancet (London, England)</w:t>
      </w:r>
      <w:r w:rsidRPr="00B905B0">
        <w:rPr>
          <w:rFonts w:ascii="Aptos"/>
          <w:sz w:val="20"/>
          <w:lang w:val="en-GB"/>
        </w:rPr>
        <w:t xml:space="preserve"> 2022; </w:t>
      </w:r>
      <w:r w:rsidRPr="00B905B0">
        <w:rPr>
          <w:rFonts w:ascii="Aptos"/>
          <w:b/>
          <w:bCs/>
          <w:sz w:val="20"/>
          <w:lang w:val="en-GB"/>
        </w:rPr>
        <w:t>0</w:t>
      </w:r>
      <w:r w:rsidRPr="00B905B0">
        <w:rPr>
          <w:rFonts w:ascii="Aptos"/>
          <w:sz w:val="20"/>
          <w:lang w:val="en-GB"/>
        </w:rPr>
        <w:t xml:space="preserve">. </w:t>
      </w:r>
      <w:r w:rsidRPr="0099132D">
        <w:rPr>
          <w:rFonts w:ascii="Aptos"/>
          <w:sz w:val="20"/>
          <w:lang w:val="en-US"/>
        </w:rPr>
        <w:t>DOI:10.1016/S0140-6736(22)01349-6.</w:t>
      </w:r>
    </w:p>
    <w:p w14:paraId="346D48ED" w14:textId="77777777" w:rsidR="00B905B0" w:rsidRPr="00B905B0" w:rsidRDefault="00B905B0" w:rsidP="00B905B0">
      <w:pPr>
        <w:pStyle w:val="Bibliography"/>
        <w:spacing w:after="40" w:line="216" w:lineRule="auto"/>
        <w:rPr>
          <w:rFonts w:ascii="Aptos"/>
          <w:sz w:val="20"/>
          <w:lang w:val="en-GB"/>
        </w:rPr>
      </w:pPr>
      <w:r w:rsidRPr="0099132D">
        <w:rPr>
          <w:rFonts w:ascii="Aptos"/>
          <w:sz w:val="20"/>
          <w:lang w:val="en-US"/>
        </w:rPr>
        <w:t>3</w:t>
      </w:r>
      <w:r w:rsidRPr="0099132D">
        <w:rPr>
          <w:rFonts w:ascii="Aptos"/>
          <w:sz w:val="20"/>
          <w:lang w:val="en-US"/>
        </w:rPr>
        <w:tab/>
        <w:t xml:space="preserve">Conrad N, </w:t>
      </w:r>
      <w:proofErr w:type="spellStart"/>
      <w:r w:rsidRPr="0099132D">
        <w:rPr>
          <w:rFonts w:ascii="Aptos"/>
          <w:sz w:val="20"/>
          <w:lang w:val="en-US"/>
        </w:rPr>
        <w:t>Molenberghs</w:t>
      </w:r>
      <w:proofErr w:type="spellEnd"/>
      <w:r w:rsidRPr="0099132D">
        <w:rPr>
          <w:rFonts w:ascii="Aptos"/>
          <w:sz w:val="20"/>
          <w:lang w:val="en-US"/>
        </w:rPr>
        <w:t xml:space="preserve"> G, Verbeke G, </w:t>
      </w:r>
      <w:r w:rsidRPr="0099132D">
        <w:rPr>
          <w:rFonts w:ascii="Aptos"/>
          <w:i/>
          <w:iCs/>
          <w:sz w:val="20"/>
          <w:lang w:val="en-US"/>
        </w:rPr>
        <w:t>et al.</w:t>
      </w:r>
      <w:r w:rsidRPr="0099132D">
        <w:rPr>
          <w:rFonts w:ascii="Aptos"/>
          <w:sz w:val="20"/>
          <w:lang w:val="en-US"/>
        </w:rPr>
        <w:t xml:space="preserve"> </w:t>
      </w:r>
      <w:r w:rsidRPr="00B905B0">
        <w:rPr>
          <w:rFonts w:ascii="Aptos"/>
          <w:sz w:val="20"/>
          <w:lang w:val="en-GB"/>
        </w:rPr>
        <w:t xml:space="preserve">Trends in cardiovascular disease incidence among 22 million people in the UK over 20 years: </w:t>
      </w:r>
      <w:proofErr w:type="gramStart"/>
      <w:r w:rsidRPr="00B905B0">
        <w:rPr>
          <w:rFonts w:ascii="Aptos"/>
          <w:sz w:val="20"/>
          <w:lang w:val="en-GB"/>
        </w:rPr>
        <w:t>population based</w:t>
      </w:r>
      <w:proofErr w:type="gramEnd"/>
      <w:r w:rsidRPr="00B905B0">
        <w:rPr>
          <w:rFonts w:ascii="Aptos"/>
          <w:sz w:val="20"/>
          <w:lang w:val="en-GB"/>
        </w:rPr>
        <w:t xml:space="preserve"> study. </w:t>
      </w:r>
      <w:r w:rsidRPr="00B905B0">
        <w:rPr>
          <w:rFonts w:ascii="Aptos"/>
          <w:i/>
          <w:iCs/>
          <w:sz w:val="20"/>
          <w:lang w:val="en-GB"/>
        </w:rPr>
        <w:t>BMJ</w:t>
      </w:r>
      <w:r w:rsidRPr="00B905B0">
        <w:rPr>
          <w:rFonts w:ascii="Aptos"/>
          <w:sz w:val="20"/>
          <w:lang w:val="en-GB"/>
        </w:rPr>
        <w:t xml:space="preserve"> 2024; </w:t>
      </w:r>
      <w:r w:rsidRPr="00B905B0">
        <w:rPr>
          <w:rFonts w:ascii="Aptos"/>
          <w:b/>
          <w:bCs/>
          <w:sz w:val="20"/>
          <w:lang w:val="en-GB"/>
        </w:rPr>
        <w:t>385</w:t>
      </w:r>
      <w:r w:rsidRPr="00B905B0">
        <w:rPr>
          <w:rFonts w:ascii="Aptos"/>
          <w:sz w:val="20"/>
          <w:lang w:val="en-GB"/>
        </w:rPr>
        <w:t>: e078523.</w:t>
      </w:r>
    </w:p>
    <w:p w14:paraId="5F9384E3" w14:textId="77777777" w:rsidR="00B905B0" w:rsidRPr="00B905B0" w:rsidRDefault="00B905B0" w:rsidP="00B905B0">
      <w:pPr>
        <w:pStyle w:val="Bibliography"/>
        <w:spacing w:after="40" w:line="216" w:lineRule="auto"/>
        <w:rPr>
          <w:rFonts w:ascii="Aptos"/>
          <w:sz w:val="20"/>
          <w:lang w:val="en-GB"/>
        </w:rPr>
      </w:pPr>
      <w:r w:rsidRPr="00B905B0">
        <w:rPr>
          <w:rFonts w:ascii="Aptos"/>
          <w:sz w:val="20"/>
          <w:lang w:val="en-GB"/>
        </w:rPr>
        <w:t>4</w:t>
      </w:r>
      <w:r w:rsidRPr="00B905B0">
        <w:rPr>
          <w:rFonts w:ascii="Aptos"/>
          <w:sz w:val="20"/>
          <w:lang w:val="en-GB"/>
        </w:rPr>
        <w:tab/>
        <w:t xml:space="preserve">Visseren FLJ, Mach F, Smulders YM, </w:t>
      </w:r>
      <w:r w:rsidRPr="00B905B0">
        <w:rPr>
          <w:rFonts w:ascii="Aptos"/>
          <w:i/>
          <w:iCs/>
          <w:sz w:val="20"/>
          <w:lang w:val="en-GB"/>
        </w:rPr>
        <w:t>et al.</w:t>
      </w:r>
      <w:r w:rsidRPr="00B905B0">
        <w:rPr>
          <w:rFonts w:ascii="Aptos"/>
          <w:sz w:val="20"/>
          <w:lang w:val="en-GB"/>
        </w:rPr>
        <w:t xml:space="preserve"> 2021 ESC Guidelines on cardiovascular disease prevention in clinical practice. </w:t>
      </w:r>
      <w:r w:rsidRPr="00B905B0">
        <w:rPr>
          <w:rFonts w:ascii="Aptos"/>
          <w:i/>
          <w:iCs/>
          <w:sz w:val="20"/>
          <w:lang w:val="en-GB"/>
        </w:rPr>
        <w:t>European Heart Journal</w:t>
      </w:r>
      <w:r w:rsidRPr="00B905B0">
        <w:rPr>
          <w:rFonts w:ascii="Aptos"/>
          <w:sz w:val="20"/>
          <w:lang w:val="en-GB"/>
        </w:rPr>
        <w:t xml:space="preserve"> 2021; </w:t>
      </w:r>
      <w:r w:rsidRPr="00B905B0">
        <w:rPr>
          <w:rFonts w:ascii="Aptos"/>
          <w:b/>
          <w:bCs/>
          <w:sz w:val="20"/>
          <w:lang w:val="en-GB"/>
        </w:rPr>
        <w:t>42</w:t>
      </w:r>
      <w:r w:rsidRPr="00B905B0">
        <w:rPr>
          <w:rFonts w:ascii="Aptos"/>
          <w:sz w:val="20"/>
          <w:lang w:val="en-GB"/>
        </w:rPr>
        <w:t>: 3227–337.</w:t>
      </w:r>
    </w:p>
    <w:p w14:paraId="395DDBAC" w14:textId="77777777" w:rsidR="00B905B0" w:rsidRPr="00B905B0" w:rsidRDefault="00B905B0" w:rsidP="00B905B0">
      <w:pPr>
        <w:pStyle w:val="Bibliography"/>
        <w:spacing w:after="40" w:line="216" w:lineRule="auto"/>
        <w:rPr>
          <w:rFonts w:ascii="Aptos"/>
          <w:sz w:val="20"/>
          <w:lang w:val="en-GB"/>
        </w:rPr>
      </w:pPr>
      <w:r w:rsidRPr="00B905B0">
        <w:rPr>
          <w:rFonts w:ascii="Aptos"/>
          <w:sz w:val="20"/>
          <w:lang w:val="en-GB"/>
        </w:rPr>
        <w:t>5</w:t>
      </w:r>
      <w:r w:rsidRPr="00B905B0">
        <w:rPr>
          <w:rFonts w:ascii="Aptos"/>
          <w:sz w:val="20"/>
          <w:lang w:val="en-GB"/>
        </w:rPr>
        <w:tab/>
        <w:t xml:space="preserve">Khan SS, Matsushita K, Sang Y, </w:t>
      </w:r>
      <w:r w:rsidRPr="00B905B0">
        <w:rPr>
          <w:rFonts w:ascii="Aptos"/>
          <w:i/>
          <w:iCs/>
          <w:sz w:val="20"/>
          <w:lang w:val="en-GB"/>
        </w:rPr>
        <w:t>et al.</w:t>
      </w:r>
      <w:r w:rsidRPr="00B905B0">
        <w:rPr>
          <w:rFonts w:ascii="Aptos"/>
          <w:sz w:val="20"/>
          <w:lang w:val="en-GB"/>
        </w:rPr>
        <w:t xml:space="preserve"> Development and Validation of the American Heart Association’s PREVENT Equations. </w:t>
      </w:r>
      <w:r w:rsidRPr="00B905B0">
        <w:rPr>
          <w:rFonts w:ascii="Aptos"/>
          <w:i/>
          <w:iCs/>
          <w:sz w:val="20"/>
          <w:lang w:val="en-GB"/>
        </w:rPr>
        <w:t>Circulation</w:t>
      </w:r>
      <w:r w:rsidRPr="00B905B0">
        <w:rPr>
          <w:rFonts w:ascii="Aptos"/>
          <w:sz w:val="20"/>
          <w:lang w:val="en-GB"/>
        </w:rPr>
        <w:t xml:space="preserve"> 2024; </w:t>
      </w:r>
      <w:r w:rsidRPr="00B905B0">
        <w:rPr>
          <w:rFonts w:ascii="Aptos"/>
          <w:b/>
          <w:bCs/>
          <w:sz w:val="20"/>
          <w:lang w:val="en-GB"/>
        </w:rPr>
        <w:t>149</w:t>
      </w:r>
      <w:r w:rsidRPr="00B905B0">
        <w:rPr>
          <w:rFonts w:ascii="Aptos"/>
          <w:sz w:val="20"/>
          <w:lang w:val="en-GB"/>
        </w:rPr>
        <w:t>: 430–49.</w:t>
      </w:r>
    </w:p>
    <w:p w14:paraId="60C11BD7" w14:textId="77777777" w:rsidR="00B905B0" w:rsidRPr="00B905B0" w:rsidRDefault="00B905B0" w:rsidP="00B905B0">
      <w:pPr>
        <w:pStyle w:val="Bibliography"/>
        <w:spacing w:after="40" w:line="216" w:lineRule="auto"/>
        <w:rPr>
          <w:rFonts w:ascii="Aptos"/>
          <w:sz w:val="20"/>
          <w:lang w:val="en-GB"/>
        </w:rPr>
      </w:pPr>
      <w:r w:rsidRPr="00B905B0">
        <w:rPr>
          <w:rFonts w:ascii="Aptos"/>
          <w:sz w:val="20"/>
          <w:lang w:val="en-GB"/>
        </w:rPr>
        <w:t>6</w:t>
      </w:r>
      <w:r w:rsidRPr="00B905B0">
        <w:rPr>
          <w:rFonts w:ascii="Aptos"/>
          <w:sz w:val="20"/>
          <w:lang w:val="en-GB"/>
        </w:rPr>
        <w:tab/>
        <w:t xml:space="preserve">SCORE2 working group and ESC Cardiovascular risk collaboration. SCORE2 risk prediction algorithms: new models to estimate 10-year risk of cardiovascular disease in Europe. </w:t>
      </w:r>
      <w:r w:rsidRPr="00B905B0">
        <w:rPr>
          <w:rFonts w:ascii="Aptos"/>
          <w:i/>
          <w:iCs/>
          <w:sz w:val="20"/>
          <w:lang w:val="en-GB"/>
        </w:rPr>
        <w:t>European Heart Journal</w:t>
      </w:r>
      <w:r w:rsidRPr="00B905B0">
        <w:rPr>
          <w:rFonts w:ascii="Aptos"/>
          <w:sz w:val="20"/>
          <w:lang w:val="en-GB"/>
        </w:rPr>
        <w:t xml:space="preserve"> 2021; </w:t>
      </w:r>
      <w:r w:rsidRPr="00B905B0">
        <w:rPr>
          <w:rFonts w:ascii="Aptos"/>
          <w:b/>
          <w:bCs/>
          <w:sz w:val="20"/>
          <w:lang w:val="en-GB"/>
        </w:rPr>
        <w:t>42</w:t>
      </w:r>
      <w:r w:rsidRPr="00B905B0">
        <w:rPr>
          <w:rFonts w:ascii="Aptos"/>
          <w:sz w:val="20"/>
          <w:lang w:val="en-GB"/>
        </w:rPr>
        <w:t>: 2439–54.</w:t>
      </w:r>
    </w:p>
    <w:p w14:paraId="6B55F672" w14:textId="77777777" w:rsidR="00B905B0" w:rsidRPr="00B905B0" w:rsidRDefault="00B905B0" w:rsidP="00B905B0">
      <w:pPr>
        <w:pStyle w:val="Bibliography"/>
        <w:spacing w:after="40" w:line="216" w:lineRule="auto"/>
        <w:rPr>
          <w:rFonts w:ascii="Aptos"/>
          <w:sz w:val="20"/>
          <w:lang w:val="en-GB"/>
        </w:rPr>
      </w:pPr>
      <w:r w:rsidRPr="00B905B0">
        <w:rPr>
          <w:rFonts w:ascii="Aptos"/>
          <w:sz w:val="20"/>
          <w:lang w:val="en-GB"/>
        </w:rPr>
        <w:t>7</w:t>
      </w:r>
      <w:r w:rsidRPr="00B905B0">
        <w:rPr>
          <w:rFonts w:ascii="Aptos"/>
          <w:sz w:val="20"/>
          <w:lang w:val="en-GB"/>
        </w:rPr>
        <w:tab/>
        <w:t xml:space="preserve">Ridker PM, Moorthy MV, Cook NR, Rifai N, Lee I-M, Buring JE. Inflammation, Cholesterol, Lipoprotein(a), and 30-Year Cardiovascular Outcomes in Women. </w:t>
      </w:r>
      <w:r w:rsidRPr="00B905B0">
        <w:rPr>
          <w:rFonts w:ascii="Aptos"/>
          <w:i/>
          <w:iCs/>
          <w:sz w:val="20"/>
          <w:lang w:val="en-GB"/>
        </w:rPr>
        <w:t>N Engl J Med</w:t>
      </w:r>
      <w:r w:rsidRPr="00B905B0">
        <w:rPr>
          <w:rFonts w:ascii="Aptos"/>
          <w:sz w:val="20"/>
          <w:lang w:val="en-GB"/>
        </w:rPr>
        <w:t xml:space="preserve"> 2024; : NEJMoa2405182.</w:t>
      </w:r>
    </w:p>
    <w:p w14:paraId="5BDC7078" w14:textId="77777777" w:rsidR="00B905B0" w:rsidRPr="00B905B0" w:rsidRDefault="00B905B0" w:rsidP="00B905B0">
      <w:pPr>
        <w:pStyle w:val="Bibliography"/>
        <w:spacing w:after="40" w:line="216" w:lineRule="auto"/>
        <w:rPr>
          <w:rFonts w:ascii="Aptos"/>
          <w:sz w:val="20"/>
          <w:lang w:val="en-GB"/>
        </w:rPr>
      </w:pPr>
      <w:r w:rsidRPr="00B905B0">
        <w:rPr>
          <w:rFonts w:ascii="Aptos"/>
          <w:sz w:val="20"/>
          <w:lang w:val="en-GB"/>
        </w:rPr>
        <w:t>8</w:t>
      </w:r>
      <w:r w:rsidRPr="00B905B0">
        <w:rPr>
          <w:rFonts w:ascii="Aptos"/>
          <w:sz w:val="20"/>
          <w:lang w:val="en-GB"/>
        </w:rPr>
        <w:tab/>
        <w:t xml:space="preserve">Savarese G, von Haehling S, Butler J, Cleland JGF, Ponikowski P, Anker SD. Iron deficiency and cardiovascular disease. </w:t>
      </w:r>
      <w:r w:rsidRPr="00B905B0">
        <w:rPr>
          <w:rFonts w:ascii="Aptos"/>
          <w:i/>
          <w:iCs/>
          <w:sz w:val="20"/>
          <w:lang w:val="en-GB"/>
        </w:rPr>
        <w:t>European Heart Journal</w:t>
      </w:r>
      <w:r w:rsidRPr="00B905B0">
        <w:rPr>
          <w:rFonts w:ascii="Aptos"/>
          <w:sz w:val="20"/>
          <w:lang w:val="en-GB"/>
        </w:rPr>
        <w:t xml:space="preserve"> 2023; </w:t>
      </w:r>
      <w:r w:rsidRPr="00B905B0">
        <w:rPr>
          <w:rFonts w:ascii="Aptos"/>
          <w:b/>
          <w:bCs/>
          <w:sz w:val="20"/>
          <w:lang w:val="en-GB"/>
        </w:rPr>
        <w:t>44</w:t>
      </w:r>
      <w:r w:rsidRPr="00B905B0">
        <w:rPr>
          <w:rFonts w:ascii="Aptos"/>
          <w:sz w:val="20"/>
          <w:lang w:val="en-GB"/>
        </w:rPr>
        <w:t>: 14–27.</w:t>
      </w:r>
    </w:p>
    <w:p w14:paraId="32D38B94" w14:textId="77777777" w:rsidR="00B905B0" w:rsidRPr="00B905B0" w:rsidRDefault="00B905B0" w:rsidP="00B905B0">
      <w:pPr>
        <w:pStyle w:val="Bibliography"/>
        <w:spacing w:after="40" w:line="216" w:lineRule="auto"/>
        <w:rPr>
          <w:rFonts w:ascii="Aptos"/>
          <w:sz w:val="20"/>
          <w:lang w:val="en-GB"/>
        </w:rPr>
      </w:pPr>
      <w:r w:rsidRPr="00B905B0">
        <w:rPr>
          <w:rFonts w:ascii="Aptos"/>
          <w:sz w:val="20"/>
          <w:lang w:val="en-GB"/>
        </w:rPr>
        <w:t>9</w:t>
      </w:r>
      <w:r w:rsidRPr="00B905B0">
        <w:rPr>
          <w:rFonts w:ascii="Aptos"/>
          <w:sz w:val="20"/>
          <w:lang w:val="en-GB"/>
        </w:rPr>
        <w:tab/>
        <w:t xml:space="preserve">Inker LA, Eneanya ND, Coresh J, </w:t>
      </w:r>
      <w:r w:rsidRPr="00B905B0">
        <w:rPr>
          <w:rFonts w:ascii="Aptos"/>
          <w:i/>
          <w:iCs/>
          <w:sz w:val="20"/>
          <w:lang w:val="en-GB"/>
        </w:rPr>
        <w:t>et al.</w:t>
      </w:r>
      <w:r w:rsidRPr="00B905B0">
        <w:rPr>
          <w:rFonts w:ascii="Aptos"/>
          <w:sz w:val="20"/>
          <w:lang w:val="en-GB"/>
        </w:rPr>
        <w:t xml:space="preserve"> New Creatinine- and Cystatin C–Based Equations to Estimate GFR without Race. </w:t>
      </w:r>
      <w:r w:rsidRPr="00B905B0">
        <w:rPr>
          <w:rFonts w:ascii="Aptos"/>
          <w:i/>
          <w:iCs/>
          <w:sz w:val="20"/>
          <w:lang w:val="en-GB"/>
        </w:rPr>
        <w:t>New England Journal of Medicine</w:t>
      </w:r>
      <w:r w:rsidRPr="00B905B0">
        <w:rPr>
          <w:rFonts w:ascii="Aptos"/>
          <w:sz w:val="20"/>
          <w:lang w:val="en-GB"/>
        </w:rPr>
        <w:t xml:space="preserve"> 2021; </w:t>
      </w:r>
      <w:r w:rsidRPr="00B905B0">
        <w:rPr>
          <w:rFonts w:ascii="Aptos"/>
          <w:b/>
          <w:bCs/>
          <w:sz w:val="20"/>
          <w:lang w:val="en-GB"/>
        </w:rPr>
        <w:t>385</w:t>
      </w:r>
      <w:r w:rsidRPr="00B905B0">
        <w:rPr>
          <w:rFonts w:ascii="Aptos"/>
          <w:sz w:val="20"/>
          <w:lang w:val="en-GB"/>
        </w:rPr>
        <w:t>: 1737–49.</w:t>
      </w:r>
    </w:p>
    <w:p w14:paraId="789E7A63" w14:textId="77777777" w:rsidR="00B905B0" w:rsidRPr="00B905B0" w:rsidRDefault="00B905B0" w:rsidP="00B905B0">
      <w:pPr>
        <w:pStyle w:val="Bibliography"/>
        <w:spacing w:after="40" w:line="216" w:lineRule="auto"/>
        <w:rPr>
          <w:rFonts w:ascii="Aptos"/>
          <w:sz w:val="20"/>
          <w:lang w:val="en-GB"/>
        </w:rPr>
      </w:pPr>
      <w:r w:rsidRPr="00B905B0">
        <w:rPr>
          <w:rFonts w:ascii="Aptos"/>
          <w:sz w:val="20"/>
          <w:lang w:val="en-GB"/>
        </w:rPr>
        <w:t>10</w:t>
      </w:r>
      <w:r w:rsidRPr="00B905B0">
        <w:rPr>
          <w:rFonts w:ascii="Aptos"/>
          <w:sz w:val="20"/>
          <w:lang w:val="en-GB"/>
        </w:rPr>
        <w:tab/>
        <w:t xml:space="preserve">Delgado C, Baweja M, Crews DC, </w:t>
      </w:r>
      <w:r w:rsidRPr="00B905B0">
        <w:rPr>
          <w:rFonts w:ascii="Aptos"/>
          <w:i/>
          <w:iCs/>
          <w:sz w:val="20"/>
          <w:lang w:val="en-GB"/>
        </w:rPr>
        <w:t>et al.</w:t>
      </w:r>
      <w:r w:rsidRPr="00B905B0">
        <w:rPr>
          <w:rFonts w:ascii="Aptos"/>
          <w:sz w:val="20"/>
          <w:lang w:val="en-GB"/>
        </w:rPr>
        <w:t xml:space="preserve"> A Unifying Approach for GFR Estimation: Recommendations of the NKF-ASN Task Force on Reassessing the Inclusion of Race in Diagnosing Kidney Disease. </w:t>
      </w:r>
      <w:r w:rsidRPr="00B905B0">
        <w:rPr>
          <w:rFonts w:ascii="Aptos"/>
          <w:i/>
          <w:iCs/>
          <w:sz w:val="20"/>
          <w:lang w:val="en-GB"/>
        </w:rPr>
        <w:t>American Journal of Kidney Diseases</w:t>
      </w:r>
      <w:r w:rsidRPr="00B905B0">
        <w:rPr>
          <w:rFonts w:ascii="Aptos"/>
          <w:sz w:val="20"/>
          <w:lang w:val="en-GB"/>
        </w:rPr>
        <w:t xml:space="preserve"> 2022; </w:t>
      </w:r>
      <w:r w:rsidRPr="00B905B0">
        <w:rPr>
          <w:rFonts w:ascii="Aptos"/>
          <w:b/>
          <w:bCs/>
          <w:sz w:val="20"/>
          <w:lang w:val="en-GB"/>
        </w:rPr>
        <w:t>79</w:t>
      </w:r>
      <w:r w:rsidRPr="00B905B0">
        <w:rPr>
          <w:rFonts w:ascii="Aptos"/>
          <w:sz w:val="20"/>
          <w:lang w:val="en-GB"/>
        </w:rPr>
        <w:t>: 268-288.e1.</w:t>
      </w:r>
    </w:p>
    <w:p w14:paraId="72CA2F0F" w14:textId="77777777" w:rsidR="00B905B0" w:rsidRPr="00B905B0" w:rsidRDefault="00B905B0" w:rsidP="00B905B0">
      <w:pPr>
        <w:pStyle w:val="Bibliography"/>
        <w:spacing w:after="40" w:line="216" w:lineRule="auto"/>
        <w:rPr>
          <w:rFonts w:ascii="Aptos"/>
          <w:sz w:val="20"/>
          <w:lang w:val="en-GB"/>
        </w:rPr>
      </w:pPr>
      <w:r w:rsidRPr="00B905B0">
        <w:rPr>
          <w:rFonts w:ascii="Aptos"/>
          <w:sz w:val="20"/>
          <w:lang w:val="en-GB"/>
        </w:rPr>
        <w:t>11</w:t>
      </w:r>
      <w:r w:rsidRPr="00B905B0">
        <w:rPr>
          <w:rFonts w:ascii="Aptos"/>
          <w:sz w:val="20"/>
          <w:lang w:val="en-GB"/>
        </w:rPr>
        <w:tab/>
        <w:t xml:space="preserve">White IR, Royston P, Wood AM. Multiple imputation using chained equations: Issues and guidance for practice. </w:t>
      </w:r>
      <w:r w:rsidRPr="00B905B0">
        <w:rPr>
          <w:rFonts w:ascii="Aptos"/>
          <w:i/>
          <w:iCs/>
          <w:sz w:val="20"/>
          <w:lang w:val="en-GB"/>
        </w:rPr>
        <w:t>Statistics in Medicine</w:t>
      </w:r>
      <w:r w:rsidRPr="00B905B0">
        <w:rPr>
          <w:rFonts w:ascii="Aptos"/>
          <w:sz w:val="20"/>
          <w:lang w:val="en-GB"/>
        </w:rPr>
        <w:t xml:space="preserve"> 2011; </w:t>
      </w:r>
      <w:r w:rsidRPr="00B905B0">
        <w:rPr>
          <w:rFonts w:ascii="Aptos"/>
          <w:b/>
          <w:bCs/>
          <w:sz w:val="20"/>
          <w:lang w:val="en-GB"/>
        </w:rPr>
        <w:t>30</w:t>
      </w:r>
      <w:r w:rsidRPr="00B905B0">
        <w:rPr>
          <w:rFonts w:ascii="Aptos"/>
          <w:sz w:val="20"/>
          <w:lang w:val="en-GB"/>
        </w:rPr>
        <w:t>: 377–99.</w:t>
      </w:r>
    </w:p>
    <w:p w14:paraId="517C3F78" w14:textId="77777777" w:rsidR="00B905B0" w:rsidRPr="00B905B0" w:rsidRDefault="00B905B0" w:rsidP="00B905B0">
      <w:pPr>
        <w:pStyle w:val="Bibliography"/>
        <w:spacing w:after="40" w:line="216" w:lineRule="auto"/>
        <w:rPr>
          <w:rFonts w:ascii="Aptos"/>
          <w:sz w:val="20"/>
          <w:lang w:val="en-GB"/>
        </w:rPr>
      </w:pPr>
      <w:r w:rsidRPr="00B905B0">
        <w:rPr>
          <w:rFonts w:ascii="Aptos"/>
          <w:sz w:val="20"/>
          <w:lang w:val="en-GB"/>
        </w:rPr>
        <w:t>12</w:t>
      </w:r>
      <w:r w:rsidRPr="00B905B0">
        <w:rPr>
          <w:rFonts w:ascii="Aptos"/>
          <w:sz w:val="20"/>
          <w:lang w:val="en-GB"/>
        </w:rPr>
        <w:tab/>
        <w:t xml:space="preserve">Laaksonen MA, Virtala E, Knekt P, Oja H, Härkänen T. </w:t>
      </w:r>
      <w:r w:rsidRPr="00B905B0">
        <w:rPr>
          <w:rFonts w:ascii="Aptos"/>
          <w:i/>
          <w:iCs/>
          <w:sz w:val="20"/>
          <w:lang w:val="en-GB"/>
        </w:rPr>
        <w:t>SAS</w:t>
      </w:r>
      <w:r w:rsidRPr="00B905B0">
        <w:rPr>
          <w:rFonts w:ascii="Aptos"/>
          <w:sz w:val="20"/>
          <w:lang w:val="en-GB"/>
        </w:rPr>
        <w:t xml:space="preserve"> Macros for Calculation of Population Attributable Fraction in a Cohort Study Design. </w:t>
      </w:r>
      <w:r w:rsidRPr="00B905B0">
        <w:rPr>
          <w:rFonts w:ascii="Aptos"/>
          <w:i/>
          <w:iCs/>
          <w:sz w:val="20"/>
          <w:lang w:val="en-GB"/>
        </w:rPr>
        <w:t>J Stat Soft</w:t>
      </w:r>
      <w:r w:rsidRPr="00B905B0">
        <w:rPr>
          <w:rFonts w:ascii="Aptos"/>
          <w:sz w:val="20"/>
          <w:lang w:val="en-GB"/>
        </w:rPr>
        <w:t xml:space="preserve"> 2011; </w:t>
      </w:r>
      <w:r w:rsidRPr="00B905B0">
        <w:rPr>
          <w:rFonts w:ascii="Aptos"/>
          <w:b/>
          <w:bCs/>
          <w:sz w:val="20"/>
          <w:lang w:val="en-GB"/>
        </w:rPr>
        <w:t>43</w:t>
      </w:r>
      <w:r w:rsidRPr="00B905B0">
        <w:rPr>
          <w:rFonts w:ascii="Aptos"/>
          <w:sz w:val="20"/>
          <w:lang w:val="en-GB"/>
        </w:rPr>
        <w:t>. DOI:10.18637/jss.v043.i07.</w:t>
      </w:r>
    </w:p>
    <w:p w14:paraId="269BC386" w14:textId="77777777" w:rsidR="00B905B0" w:rsidRPr="00B905B0" w:rsidRDefault="00B905B0" w:rsidP="00B905B0">
      <w:pPr>
        <w:pStyle w:val="Bibliography"/>
        <w:spacing w:after="40" w:line="216" w:lineRule="auto"/>
        <w:rPr>
          <w:rFonts w:ascii="Aptos"/>
          <w:sz w:val="20"/>
          <w:lang w:val="en-GB"/>
        </w:rPr>
      </w:pPr>
      <w:r w:rsidRPr="00B905B0">
        <w:rPr>
          <w:rFonts w:ascii="Aptos"/>
          <w:sz w:val="20"/>
          <w:lang w:val="en-GB"/>
        </w:rPr>
        <w:t>13</w:t>
      </w:r>
      <w:r w:rsidRPr="00B905B0">
        <w:rPr>
          <w:rFonts w:ascii="Aptos"/>
          <w:sz w:val="20"/>
          <w:lang w:val="en-GB"/>
        </w:rPr>
        <w:tab/>
        <w:t xml:space="preserve">Benchimol EI, Smeeth L, Guttmann A, </w:t>
      </w:r>
      <w:r w:rsidRPr="00B905B0">
        <w:rPr>
          <w:rFonts w:ascii="Aptos"/>
          <w:i/>
          <w:iCs/>
          <w:sz w:val="20"/>
          <w:lang w:val="en-GB"/>
        </w:rPr>
        <w:t>et al.</w:t>
      </w:r>
      <w:r w:rsidRPr="00B905B0">
        <w:rPr>
          <w:rFonts w:ascii="Aptos"/>
          <w:sz w:val="20"/>
          <w:lang w:val="en-GB"/>
        </w:rPr>
        <w:t xml:space="preserve"> The REporting of studies Conducted using Observational Routinely-collected health Data (RECORD) Statement. </w:t>
      </w:r>
      <w:r w:rsidRPr="00B905B0">
        <w:rPr>
          <w:rFonts w:ascii="Aptos"/>
          <w:i/>
          <w:iCs/>
          <w:sz w:val="20"/>
          <w:lang w:val="en-GB"/>
        </w:rPr>
        <w:t>PLOS Medicine</w:t>
      </w:r>
      <w:r w:rsidRPr="00B905B0">
        <w:rPr>
          <w:rFonts w:ascii="Aptos"/>
          <w:sz w:val="20"/>
          <w:lang w:val="en-GB"/>
        </w:rPr>
        <w:t xml:space="preserve"> 2015; </w:t>
      </w:r>
      <w:r w:rsidRPr="00B905B0">
        <w:rPr>
          <w:rFonts w:ascii="Aptos"/>
          <w:b/>
          <w:bCs/>
          <w:sz w:val="20"/>
          <w:lang w:val="en-GB"/>
        </w:rPr>
        <w:t>12</w:t>
      </w:r>
      <w:r w:rsidRPr="00B905B0">
        <w:rPr>
          <w:rFonts w:ascii="Aptos"/>
          <w:sz w:val="20"/>
          <w:lang w:val="en-GB"/>
        </w:rPr>
        <w:t>: e1001885.</w:t>
      </w:r>
    </w:p>
    <w:p w14:paraId="645154FD" w14:textId="3EE34450" w:rsidR="00175A4D" w:rsidRPr="009965E5" w:rsidRDefault="003869A2" w:rsidP="00B905B0">
      <w:pPr>
        <w:spacing w:after="40" w:line="216" w:lineRule="auto"/>
        <w:rPr>
          <w:sz w:val="20"/>
          <w:szCs w:val="20"/>
          <w:lang w:val="en-GB"/>
        </w:rPr>
      </w:pPr>
      <w:r w:rsidRPr="009965E5">
        <w:rPr>
          <w:sz w:val="20"/>
          <w:szCs w:val="20"/>
          <w:lang w:val="en-GB"/>
        </w:rPr>
        <w:fldChar w:fldCharType="end"/>
      </w:r>
    </w:p>
    <w:sectPr w:rsidR="00175A4D" w:rsidRPr="009965E5" w:rsidSect="003C683E">
      <w:footerReference w:type="even" r:id="rId8"/>
      <w:footerReference w:type="default" r:id="rId9"/>
      <w:pgSz w:w="11906" w:h="16838"/>
      <w:pgMar w:top="1304" w:right="1361" w:bottom="1247"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A5771B" w14:textId="77777777" w:rsidR="00E25CC6" w:rsidRDefault="00E25CC6" w:rsidP="00884AE6">
      <w:pPr>
        <w:spacing w:after="0" w:line="240" w:lineRule="auto"/>
      </w:pPr>
      <w:r>
        <w:separator/>
      </w:r>
    </w:p>
  </w:endnote>
  <w:endnote w:type="continuationSeparator" w:id="0">
    <w:p w14:paraId="479B5D8C" w14:textId="77777777" w:rsidR="00E25CC6" w:rsidRDefault="00E25CC6" w:rsidP="00884A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88905101"/>
      <w:docPartObj>
        <w:docPartGallery w:val="Page Numbers (Bottom of Page)"/>
        <w:docPartUnique/>
      </w:docPartObj>
    </w:sdtPr>
    <w:sdtContent>
      <w:p w14:paraId="1752FAE4" w14:textId="191996A8" w:rsidR="00884AE6" w:rsidRDefault="00884AE6" w:rsidP="00E742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6116F2">
          <w:rPr>
            <w:rStyle w:val="PageNumber"/>
            <w:noProof/>
          </w:rPr>
          <w:t>6</w:t>
        </w:r>
        <w:r>
          <w:rPr>
            <w:rStyle w:val="PageNumber"/>
          </w:rPr>
          <w:fldChar w:fldCharType="end"/>
        </w:r>
      </w:p>
    </w:sdtContent>
  </w:sdt>
  <w:p w14:paraId="6921465C" w14:textId="77777777" w:rsidR="00884AE6" w:rsidRDefault="00884AE6" w:rsidP="00884A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sz w:val="20"/>
        <w:szCs w:val="21"/>
      </w:rPr>
      <w:id w:val="-17007415"/>
      <w:docPartObj>
        <w:docPartGallery w:val="Page Numbers (Bottom of Page)"/>
        <w:docPartUnique/>
      </w:docPartObj>
    </w:sdtPr>
    <w:sdtContent>
      <w:p w14:paraId="24F410AD" w14:textId="40665FCE" w:rsidR="00884AE6" w:rsidRPr="00884AE6" w:rsidRDefault="00884AE6" w:rsidP="00E74297">
        <w:pPr>
          <w:pStyle w:val="Footer"/>
          <w:framePr w:wrap="none" w:vAnchor="text" w:hAnchor="margin" w:xAlign="right" w:y="1"/>
          <w:rPr>
            <w:rStyle w:val="PageNumber"/>
            <w:sz w:val="20"/>
            <w:szCs w:val="21"/>
          </w:rPr>
        </w:pPr>
        <w:r w:rsidRPr="00884AE6">
          <w:rPr>
            <w:rStyle w:val="PageNumber"/>
            <w:sz w:val="20"/>
            <w:szCs w:val="21"/>
          </w:rPr>
          <w:fldChar w:fldCharType="begin"/>
        </w:r>
        <w:r w:rsidRPr="00884AE6">
          <w:rPr>
            <w:rStyle w:val="PageNumber"/>
            <w:sz w:val="20"/>
            <w:szCs w:val="21"/>
          </w:rPr>
          <w:instrText xml:space="preserve"> PAGE </w:instrText>
        </w:r>
        <w:r w:rsidRPr="00884AE6">
          <w:rPr>
            <w:rStyle w:val="PageNumber"/>
            <w:sz w:val="20"/>
            <w:szCs w:val="21"/>
          </w:rPr>
          <w:fldChar w:fldCharType="separate"/>
        </w:r>
        <w:r w:rsidRPr="00884AE6">
          <w:rPr>
            <w:rStyle w:val="PageNumber"/>
            <w:noProof/>
            <w:sz w:val="20"/>
            <w:szCs w:val="21"/>
          </w:rPr>
          <w:t>1</w:t>
        </w:r>
        <w:r w:rsidRPr="00884AE6">
          <w:rPr>
            <w:rStyle w:val="PageNumber"/>
            <w:sz w:val="20"/>
            <w:szCs w:val="21"/>
          </w:rPr>
          <w:fldChar w:fldCharType="end"/>
        </w:r>
      </w:p>
    </w:sdtContent>
  </w:sdt>
  <w:p w14:paraId="423375EE" w14:textId="77777777" w:rsidR="00884AE6" w:rsidRDefault="00884AE6" w:rsidP="00884AE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34F81F" w14:textId="77777777" w:rsidR="00E25CC6" w:rsidRDefault="00E25CC6" w:rsidP="00884AE6">
      <w:pPr>
        <w:spacing w:after="0" w:line="240" w:lineRule="auto"/>
      </w:pPr>
      <w:r>
        <w:separator/>
      </w:r>
    </w:p>
  </w:footnote>
  <w:footnote w:type="continuationSeparator" w:id="0">
    <w:p w14:paraId="3AD419FE" w14:textId="77777777" w:rsidR="00E25CC6" w:rsidRDefault="00E25CC6" w:rsidP="00884A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0A5013"/>
    <w:multiLevelType w:val="hybridMultilevel"/>
    <w:tmpl w:val="41D4C7BC"/>
    <w:lvl w:ilvl="0" w:tplc="DCE8308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4B07DB"/>
    <w:multiLevelType w:val="hybridMultilevel"/>
    <w:tmpl w:val="FEA6E100"/>
    <w:lvl w:ilvl="0" w:tplc="08090013">
      <w:start w:val="1"/>
      <w:numFmt w:val="upperRoman"/>
      <w:lvlText w:val="%1."/>
      <w:lvlJc w:val="right"/>
      <w:pPr>
        <w:ind w:left="762" w:hanging="360"/>
      </w:pPr>
    </w:lvl>
    <w:lvl w:ilvl="1" w:tplc="08090019" w:tentative="1">
      <w:start w:val="1"/>
      <w:numFmt w:val="lowerLetter"/>
      <w:lvlText w:val="%2."/>
      <w:lvlJc w:val="left"/>
      <w:pPr>
        <w:ind w:left="1482" w:hanging="360"/>
      </w:pPr>
    </w:lvl>
    <w:lvl w:ilvl="2" w:tplc="0809001B" w:tentative="1">
      <w:start w:val="1"/>
      <w:numFmt w:val="lowerRoman"/>
      <w:lvlText w:val="%3."/>
      <w:lvlJc w:val="right"/>
      <w:pPr>
        <w:ind w:left="2202" w:hanging="180"/>
      </w:pPr>
    </w:lvl>
    <w:lvl w:ilvl="3" w:tplc="0809000F" w:tentative="1">
      <w:start w:val="1"/>
      <w:numFmt w:val="decimal"/>
      <w:lvlText w:val="%4."/>
      <w:lvlJc w:val="left"/>
      <w:pPr>
        <w:ind w:left="2922" w:hanging="360"/>
      </w:pPr>
    </w:lvl>
    <w:lvl w:ilvl="4" w:tplc="08090019" w:tentative="1">
      <w:start w:val="1"/>
      <w:numFmt w:val="lowerLetter"/>
      <w:lvlText w:val="%5."/>
      <w:lvlJc w:val="left"/>
      <w:pPr>
        <w:ind w:left="3642" w:hanging="360"/>
      </w:pPr>
    </w:lvl>
    <w:lvl w:ilvl="5" w:tplc="0809001B" w:tentative="1">
      <w:start w:val="1"/>
      <w:numFmt w:val="lowerRoman"/>
      <w:lvlText w:val="%6."/>
      <w:lvlJc w:val="right"/>
      <w:pPr>
        <w:ind w:left="4362" w:hanging="180"/>
      </w:pPr>
    </w:lvl>
    <w:lvl w:ilvl="6" w:tplc="0809000F" w:tentative="1">
      <w:start w:val="1"/>
      <w:numFmt w:val="decimal"/>
      <w:lvlText w:val="%7."/>
      <w:lvlJc w:val="left"/>
      <w:pPr>
        <w:ind w:left="5082" w:hanging="360"/>
      </w:pPr>
    </w:lvl>
    <w:lvl w:ilvl="7" w:tplc="08090019" w:tentative="1">
      <w:start w:val="1"/>
      <w:numFmt w:val="lowerLetter"/>
      <w:lvlText w:val="%8."/>
      <w:lvlJc w:val="left"/>
      <w:pPr>
        <w:ind w:left="5802" w:hanging="360"/>
      </w:pPr>
    </w:lvl>
    <w:lvl w:ilvl="8" w:tplc="0809001B" w:tentative="1">
      <w:start w:val="1"/>
      <w:numFmt w:val="lowerRoman"/>
      <w:lvlText w:val="%9."/>
      <w:lvlJc w:val="right"/>
      <w:pPr>
        <w:ind w:left="6522" w:hanging="180"/>
      </w:pPr>
    </w:lvl>
  </w:abstractNum>
  <w:abstractNum w:abstractNumId="2" w15:restartNumberingAfterBreak="0">
    <w:nsid w:val="34C5192C"/>
    <w:multiLevelType w:val="hybridMultilevel"/>
    <w:tmpl w:val="4DDC5340"/>
    <w:lvl w:ilvl="0" w:tplc="45CE510A">
      <w:start w:val="2"/>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CD48A4"/>
    <w:multiLevelType w:val="hybridMultilevel"/>
    <w:tmpl w:val="A17A543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0066200"/>
    <w:multiLevelType w:val="hybridMultilevel"/>
    <w:tmpl w:val="B5B6A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A5636C"/>
    <w:multiLevelType w:val="hybridMultilevel"/>
    <w:tmpl w:val="5FE2B6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CD93008"/>
    <w:multiLevelType w:val="hybridMultilevel"/>
    <w:tmpl w:val="A17A54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8D92C7E"/>
    <w:multiLevelType w:val="hybridMultilevel"/>
    <w:tmpl w:val="A1F239A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BBD0BF0"/>
    <w:multiLevelType w:val="hybridMultilevel"/>
    <w:tmpl w:val="758C01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E73578A"/>
    <w:multiLevelType w:val="hybridMultilevel"/>
    <w:tmpl w:val="274CFF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F37441E"/>
    <w:multiLevelType w:val="hybridMultilevel"/>
    <w:tmpl w:val="D79AA8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FED0CAA"/>
    <w:multiLevelType w:val="hybridMultilevel"/>
    <w:tmpl w:val="00C6F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2406455">
    <w:abstractNumId w:val="10"/>
  </w:num>
  <w:num w:numId="2" w16cid:durableId="872620586">
    <w:abstractNumId w:val="6"/>
  </w:num>
  <w:num w:numId="3" w16cid:durableId="1298951408">
    <w:abstractNumId w:val="9"/>
  </w:num>
  <w:num w:numId="4" w16cid:durableId="932277316">
    <w:abstractNumId w:val="5"/>
  </w:num>
  <w:num w:numId="5" w16cid:durableId="709764360">
    <w:abstractNumId w:val="8"/>
  </w:num>
  <w:num w:numId="6" w16cid:durableId="856506266">
    <w:abstractNumId w:val="4"/>
  </w:num>
  <w:num w:numId="7" w16cid:durableId="249395733">
    <w:abstractNumId w:val="7"/>
  </w:num>
  <w:num w:numId="8" w16cid:durableId="1854105656">
    <w:abstractNumId w:val="11"/>
  </w:num>
  <w:num w:numId="9" w16cid:durableId="1897280763">
    <w:abstractNumId w:val="3"/>
  </w:num>
  <w:num w:numId="10" w16cid:durableId="1202792364">
    <w:abstractNumId w:val="1"/>
  </w:num>
  <w:num w:numId="11" w16cid:durableId="435560552">
    <w:abstractNumId w:val="0"/>
  </w:num>
  <w:num w:numId="12" w16cid:durableId="9337048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9B8"/>
    <w:rsid w:val="0000790D"/>
    <w:rsid w:val="000220BC"/>
    <w:rsid w:val="00026A18"/>
    <w:rsid w:val="00034EA5"/>
    <w:rsid w:val="00047959"/>
    <w:rsid w:val="0005720F"/>
    <w:rsid w:val="00062655"/>
    <w:rsid w:val="00074963"/>
    <w:rsid w:val="000765B3"/>
    <w:rsid w:val="00082CB1"/>
    <w:rsid w:val="000A5AD4"/>
    <w:rsid w:val="000B5A92"/>
    <w:rsid w:val="000B7407"/>
    <w:rsid w:val="000B7637"/>
    <w:rsid w:val="000C3AFC"/>
    <w:rsid w:val="000D29B8"/>
    <w:rsid w:val="000D2D2C"/>
    <w:rsid w:val="000D51A5"/>
    <w:rsid w:val="000D77E4"/>
    <w:rsid w:val="000E0AC3"/>
    <w:rsid w:val="00121455"/>
    <w:rsid w:val="00122633"/>
    <w:rsid w:val="00135BC5"/>
    <w:rsid w:val="00137799"/>
    <w:rsid w:val="00141148"/>
    <w:rsid w:val="001551A2"/>
    <w:rsid w:val="00161945"/>
    <w:rsid w:val="001642F7"/>
    <w:rsid w:val="00175A4D"/>
    <w:rsid w:val="001777C7"/>
    <w:rsid w:val="001A0171"/>
    <w:rsid w:val="001A1760"/>
    <w:rsid w:val="001A567C"/>
    <w:rsid w:val="001A7E1E"/>
    <w:rsid w:val="001B08D3"/>
    <w:rsid w:val="001B0BF3"/>
    <w:rsid w:val="001B670B"/>
    <w:rsid w:val="001D36FC"/>
    <w:rsid w:val="001D4F73"/>
    <w:rsid w:val="001E3CC6"/>
    <w:rsid w:val="001E57D9"/>
    <w:rsid w:val="001F0AF8"/>
    <w:rsid w:val="001F301A"/>
    <w:rsid w:val="0020420A"/>
    <w:rsid w:val="002042B8"/>
    <w:rsid w:val="0020665F"/>
    <w:rsid w:val="002111F5"/>
    <w:rsid w:val="00213850"/>
    <w:rsid w:val="00225031"/>
    <w:rsid w:val="00236F7E"/>
    <w:rsid w:val="002446F7"/>
    <w:rsid w:val="00247C37"/>
    <w:rsid w:val="002526B7"/>
    <w:rsid w:val="00254096"/>
    <w:rsid w:val="00270DA6"/>
    <w:rsid w:val="00271F5F"/>
    <w:rsid w:val="00277F62"/>
    <w:rsid w:val="002815F9"/>
    <w:rsid w:val="002879D5"/>
    <w:rsid w:val="00293B7E"/>
    <w:rsid w:val="002A735B"/>
    <w:rsid w:val="002B477D"/>
    <w:rsid w:val="002B5A22"/>
    <w:rsid w:val="002C408A"/>
    <w:rsid w:val="002E66B0"/>
    <w:rsid w:val="0031388E"/>
    <w:rsid w:val="00313A75"/>
    <w:rsid w:val="00321C6A"/>
    <w:rsid w:val="0033213B"/>
    <w:rsid w:val="003334E5"/>
    <w:rsid w:val="00340035"/>
    <w:rsid w:val="003533EF"/>
    <w:rsid w:val="003540A5"/>
    <w:rsid w:val="00355526"/>
    <w:rsid w:val="003869A2"/>
    <w:rsid w:val="00394B9A"/>
    <w:rsid w:val="0039616A"/>
    <w:rsid w:val="003A10CB"/>
    <w:rsid w:val="003A5B9A"/>
    <w:rsid w:val="003A6110"/>
    <w:rsid w:val="003A65F4"/>
    <w:rsid w:val="003B535B"/>
    <w:rsid w:val="003B7697"/>
    <w:rsid w:val="003C10D0"/>
    <w:rsid w:val="003C10E5"/>
    <w:rsid w:val="003C683E"/>
    <w:rsid w:val="003D08F1"/>
    <w:rsid w:val="003E448D"/>
    <w:rsid w:val="003E7E52"/>
    <w:rsid w:val="003F71FE"/>
    <w:rsid w:val="00402BC7"/>
    <w:rsid w:val="004041AA"/>
    <w:rsid w:val="00405DA3"/>
    <w:rsid w:val="00412125"/>
    <w:rsid w:val="00420858"/>
    <w:rsid w:val="00421C4F"/>
    <w:rsid w:val="00430310"/>
    <w:rsid w:val="0045117C"/>
    <w:rsid w:val="0047780E"/>
    <w:rsid w:val="00485D25"/>
    <w:rsid w:val="00490E93"/>
    <w:rsid w:val="00492B1E"/>
    <w:rsid w:val="004978E1"/>
    <w:rsid w:val="004B053F"/>
    <w:rsid w:val="004B3B80"/>
    <w:rsid w:val="004B61F9"/>
    <w:rsid w:val="004C2BD7"/>
    <w:rsid w:val="004D7DA2"/>
    <w:rsid w:val="005034CC"/>
    <w:rsid w:val="0050608F"/>
    <w:rsid w:val="00506F6C"/>
    <w:rsid w:val="00507700"/>
    <w:rsid w:val="00512D3E"/>
    <w:rsid w:val="005161C7"/>
    <w:rsid w:val="00523F12"/>
    <w:rsid w:val="00534DF4"/>
    <w:rsid w:val="005679D4"/>
    <w:rsid w:val="0057433B"/>
    <w:rsid w:val="0057578D"/>
    <w:rsid w:val="0057769B"/>
    <w:rsid w:val="00585453"/>
    <w:rsid w:val="005923CA"/>
    <w:rsid w:val="005924F3"/>
    <w:rsid w:val="005A3516"/>
    <w:rsid w:val="005B287C"/>
    <w:rsid w:val="005B3B4A"/>
    <w:rsid w:val="005C235B"/>
    <w:rsid w:val="005E6E3F"/>
    <w:rsid w:val="006005E0"/>
    <w:rsid w:val="006116F2"/>
    <w:rsid w:val="00630243"/>
    <w:rsid w:val="00630BD3"/>
    <w:rsid w:val="00646222"/>
    <w:rsid w:val="006504AF"/>
    <w:rsid w:val="00652D71"/>
    <w:rsid w:val="0068050D"/>
    <w:rsid w:val="0068067E"/>
    <w:rsid w:val="006928D8"/>
    <w:rsid w:val="006B4FA0"/>
    <w:rsid w:val="006C4344"/>
    <w:rsid w:val="006D7406"/>
    <w:rsid w:val="006F2A20"/>
    <w:rsid w:val="007011ED"/>
    <w:rsid w:val="00735F1E"/>
    <w:rsid w:val="00754E1D"/>
    <w:rsid w:val="00766146"/>
    <w:rsid w:val="007675CC"/>
    <w:rsid w:val="00772C2D"/>
    <w:rsid w:val="00780A2D"/>
    <w:rsid w:val="00796B2B"/>
    <w:rsid w:val="007A3771"/>
    <w:rsid w:val="007D1C4A"/>
    <w:rsid w:val="007D7996"/>
    <w:rsid w:val="007F076C"/>
    <w:rsid w:val="007F6989"/>
    <w:rsid w:val="007F7617"/>
    <w:rsid w:val="00807465"/>
    <w:rsid w:val="00813612"/>
    <w:rsid w:val="00815F9C"/>
    <w:rsid w:val="008225E1"/>
    <w:rsid w:val="008325D9"/>
    <w:rsid w:val="00832849"/>
    <w:rsid w:val="00855119"/>
    <w:rsid w:val="008641C2"/>
    <w:rsid w:val="00884AE6"/>
    <w:rsid w:val="00892DBE"/>
    <w:rsid w:val="00894932"/>
    <w:rsid w:val="00895910"/>
    <w:rsid w:val="008A58CE"/>
    <w:rsid w:val="008B3671"/>
    <w:rsid w:val="008E1699"/>
    <w:rsid w:val="009001E4"/>
    <w:rsid w:val="00901280"/>
    <w:rsid w:val="00902BBF"/>
    <w:rsid w:val="00916813"/>
    <w:rsid w:val="0092393A"/>
    <w:rsid w:val="00931FAD"/>
    <w:rsid w:val="00933BA6"/>
    <w:rsid w:val="00941624"/>
    <w:rsid w:val="009464BD"/>
    <w:rsid w:val="00963FF2"/>
    <w:rsid w:val="0096400D"/>
    <w:rsid w:val="009726B8"/>
    <w:rsid w:val="009877DB"/>
    <w:rsid w:val="0099132D"/>
    <w:rsid w:val="009965E5"/>
    <w:rsid w:val="009A46F6"/>
    <w:rsid w:val="009A6AA5"/>
    <w:rsid w:val="009B0A1B"/>
    <w:rsid w:val="009C2C3E"/>
    <w:rsid w:val="009E5037"/>
    <w:rsid w:val="009E5285"/>
    <w:rsid w:val="00A319E3"/>
    <w:rsid w:val="00A33C38"/>
    <w:rsid w:val="00A349F6"/>
    <w:rsid w:val="00A37A65"/>
    <w:rsid w:val="00A37BF4"/>
    <w:rsid w:val="00A445C6"/>
    <w:rsid w:val="00A72A53"/>
    <w:rsid w:val="00A81D73"/>
    <w:rsid w:val="00AA0CCC"/>
    <w:rsid w:val="00AC3F21"/>
    <w:rsid w:val="00AD7A78"/>
    <w:rsid w:val="00AE5FCC"/>
    <w:rsid w:val="00AF6D3F"/>
    <w:rsid w:val="00B038C9"/>
    <w:rsid w:val="00B17B27"/>
    <w:rsid w:val="00B210E0"/>
    <w:rsid w:val="00B35C01"/>
    <w:rsid w:val="00B45144"/>
    <w:rsid w:val="00B46C88"/>
    <w:rsid w:val="00B5207E"/>
    <w:rsid w:val="00B64EE1"/>
    <w:rsid w:val="00B675B5"/>
    <w:rsid w:val="00B7099B"/>
    <w:rsid w:val="00B905B0"/>
    <w:rsid w:val="00BA4B5B"/>
    <w:rsid w:val="00BD3533"/>
    <w:rsid w:val="00BF1FA4"/>
    <w:rsid w:val="00C01C13"/>
    <w:rsid w:val="00C03BC3"/>
    <w:rsid w:val="00C32859"/>
    <w:rsid w:val="00C35C24"/>
    <w:rsid w:val="00C504BB"/>
    <w:rsid w:val="00C53FA3"/>
    <w:rsid w:val="00C553CE"/>
    <w:rsid w:val="00C83DE4"/>
    <w:rsid w:val="00CA127E"/>
    <w:rsid w:val="00CA436C"/>
    <w:rsid w:val="00CA5D25"/>
    <w:rsid w:val="00CA7ED4"/>
    <w:rsid w:val="00CB7787"/>
    <w:rsid w:val="00CC2A84"/>
    <w:rsid w:val="00CD729F"/>
    <w:rsid w:val="00CF06A8"/>
    <w:rsid w:val="00CF7C80"/>
    <w:rsid w:val="00D01E13"/>
    <w:rsid w:val="00D12EA4"/>
    <w:rsid w:val="00D17E69"/>
    <w:rsid w:val="00D4656E"/>
    <w:rsid w:val="00D5753D"/>
    <w:rsid w:val="00D60224"/>
    <w:rsid w:val="00D65790"/>
    <w:rsid w:val="00D67FE9"/>
    <w:rsid w:val="00D76A84"/>
    <w:rsid w:val="00D8210A"/>
    <w:rsid w:val="00D82DA7"/>
    <w:rsid w:val="00D83911"/>
    <w:rsid w:val="00D90250"/>
    <w:rsid w:val="00DA4313"/>
    <w:rsid w:val="00DB0F17"/>
    <w:rsid w:val="00DB4D77"/>
    <w:rsid w:val="00DD7691"/>
    <w:rsid w:val="00DF58B4"/>
    <w:rsid w:val="00DF7B00"/>
    <w:rsid w:val="00E06E4C"/>
    <w:rsid w:val="00E146EE"/>
    <w:rsid w:val="00E17B30"/>
    <w:rsid w:val="00E25CC6"/>
    <w:rsid w:val="00E50458"/>
    <w:rsid w:val="00E760A1"/>
    <w:rsid w:val="00E852A0"/>
    <w:rsid w:val="00E915D8"/>
    <w:rsid w:val="00EA418F"/>
    <w:rsid w:val="00EB7C1B"/>
    <w:rsid w:val="00ED3452"/>
    <w:rsid w:val="00F05314"/>
    <w:rsid w:val="00F13990"/>
    <w:rsid w:val="00F14AE1"/>
    <w:rsid w:val="00F2141A"/>
    <w:rsid w:val="00F216F8"/>
    <w:rsid w:val="00F232A4"/>
    <w:rsid w:val="00F2716A"/>
    <w:rsid w:val="00F31CB6"/>
    <w:rsid w:val="00F331BC"/>
    <w:rsid w:val="00F36375"/>
    <w:rsid w:val="00F446DC"/>
    <w:rsid w:val="00F50961"/>
    <w:rsid w:val="00F833B2"/>
    <w:rsid w:val="00FA3255"/>
    <w:rsid w:val="00FB7F2C"/>
    <w:rsid w:val="00FC08DE"/>
    <w:rsid w:val="00FD7191"/>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25F7422F"/>
  <w15:chartTrackingRefBased/>
  <w15:docId w15:val="{C9264BA5-EE09-0F42-AC7A-72FDB8C3A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110"/>
    <w:pPr>
      <w:spacing w:after="120" w:line="228" w:lineRule="auto"/>
    </w:pPr>
    <w:rPr>
      <w:rFonts w:eastAsia="Times New Roman" w:cs="Times New Roman"/>
      <w:kern w:val="0"/>
      <w:sz w:val="22"/>
      <w:lang w:eastAsia="en-GB"/>
      <w14:ligatures w14:val="none"/>
    </w:rPr>
  </w:style>
  <w:style w:type="paragraph" w:styleId="Heading1">
    <w:name w:val="heading 1"/>
    <w:basedOn w:val="Normal"/>
    <w:next w:val="Normal"/>
    <w:link w:val="Heading1Char"/>
    <w:uiPriority w:val="9"/>
    <w:qFormat/>
    <w:rsid w:val="000D29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29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29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29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29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29B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29B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29B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29B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9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29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29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29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29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29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29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29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29B8"/>
    <w:rPr>
      <w:rFonts w:eastAsiaTheme="majorEastAsia" w:cstheme="majorBidi"/>
      <w:color w:val="272727" w:themeColor="text1" w:themeTint="D8"/>
    </w:rPr>
  </w:style>
  <w:style w:type="paragraph" w:styleId="Title">
    <w:name w:val="Title"/>
    <w:basedOn w:val="Normal"/>
    <w:next w:val="Normal"/>
    <w:link w:val="TitleChar"/>
    <w:uiPriority w:val="10"/>
    <w:qFormat/>
    <w:rsid w:val="000D29B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9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29B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29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29B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D29B8"/>
    <w:rPr>
      <w:i/>
      <w:iCs/>
      <w:color w:val="404040" w:themeColor="text1" w:themeTint="BF"/>
    </w:rPr>
  </w:style>
  <w:style w:type="paragraph" w:styleId="ListParagraph">
    <w:name w:val="List Paragraph"/>
    <w:basedOn w:val="Normal"/>
    <w:uiPriority w:val="34"/>
    <w:qFormat/>
    <w:rsid w:val="000D29B8"/>
    <w:pPr>
      <w:ind w:left="720"/>
      <w:contextualSpacing/>
    </w:pPr>
  </w:style>
  <w:style w:type="character" w:styleId="IntenseEmphasis">
    <w:name w:val="Intense Emphasis"/>
    <w:basedOn w:val="DefaultParagraphFont"/>
    <w:uiPriority w:val="21"/>
    <w:qFormat/>
    <w:rsid w:val="000D29B8"/>
    <w:rPr>
      <w:i/>
      <w:iCs/>
      <w:color w:val="0F4761" w:themeColor="accent1" w:themeShade="BF"/>
    </w:rPr>
  </w:style>
  <w:style w:type="paragraph" w:styleId="IntenseQuote">
    <w:name w:val="Intense Quote"/>
    <w:basedOn w:val="Normal"/>
    <w:next w:val="Normal"/>
    <w:link w:val="IntenseQuoteChar"/>
    <w:uiPriority w:val="30"/>
    <w:qFormat/>
    <w:rsid w:val="000D29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29B8"/>
    <w:rPr>
      <w:i/>
      <w:iCs/>
      <w:color w:val="0F4761" w:themeColor="accent1" w:themeShade="BF"/>
    </w:rPr>
  </w:style>
  <w:style w:type="character" w:styleId="IntenseReference">
    <w:name w:val="Intense Reference"/>
    <w:basedOn w:val="DefaultParagraphFont"/>
    <w:uiPriority w:val="32"/>
    <w:qFormat/>
    <w:rsid w:val="000D29B8"/>
    <w:rPr>
      <w:b/>
      <w:bCs/>
      <w:smallCaps/>
      <w:color w:val="0F4761" w:themeColor="accent1" w:themeShade="BF"/>
      <w:spacing w:val="5"/>
    </w:rPr>
  </w:style>
  <w:style w:type="character" w:customStyle="1" w:styleId="apple-converted-space">
    <w:name w:val="apple-converted-space"/>
    <w:basedOn w:val="DefaultParagraphFont"/>
    <w:rsid w:val="00C53FA3"/>
  </w:style>
  <w:style w:type="character" w:styleId="Hyperlink">
    <w:name w:val="Hyperlink"/>
    <w:basedOn w:val="DefaultParagraphFont"/>
    <w:uiPriority w:val="99"/>
    <w:unhideWhenUsed/>
    <w:rsid w:val="00C53FA3"/>
    <w:rPr>
      <w:color w:val="0000FF"/>
      <w:u w:val="single"/>
    </w:rPr>
  </w:style>
  <w:style w:type="character" w:customStyle="1" w:styleId="anchor-text">
    <w:name w:val="anchor-text"/>
    <w:basedOn w:val="DefaultParagraphFont"/>
    <w:rsid w:val="00C53FA3"/>
  </w:style>
  <w:style w:type="character" w:styleId="FollowedHyperlink">
    <w:name w:val="FollowedHyperlink"/>
    <w:basedOn w:val="DefaultParagraphFont"/>
    <w:uiPriority w:val="99"/>
    <w:semiHidden/>
    <w:unhideWhenUsed/>
    <w:rsid w:val="00AD7A78"/>
    <w:rPr>
      <w:color w:val="96607D" w:themeColor="followedHyperlink"/>
      <w:u w:val="single"/>
    </w:rPr>
  </w:style>
  <w:style w:type="character" w:styleId="UnresolvedMention">
    <w:name w:val="Unresolved Mention"/>
    <w:basedOn w:val="DefaultParagraphFont"/>
    <w:uiPriority w:val="99"/>
    <w:semiHidden/>
    <w:unhideWhenUsed/>
    <w:rsid w:val="00AD7A78"/>
    <w:rPr>
      <w:color w:val="605E5C"/>
      <w:shd w:val="clear" w:color="auto" w:fill="E1DFDD"/>
    </w:rPr>
  </w:style>
  <w:style w:type="paragraph" w:customStyle="1" w:styleId="chapter-para">
    <w:name w:val="chapter-para"/>
    <w:basedOn w:val="Normal"/>
    <w:rsid w:val="004D7DA2"/>
    <w:pPr>
      <w:spacing w:before="100" w:beforeAutospacing="1" w:after="100" w:afterAutospacing="1"/>
    </w:pPr>
  </w:style>
  <w:style w:type="table" w:styleId="TableGrid">
    <w:name w:val="Table Grid"/>
    <w:basedOn w:val="TableNormal"/>
    <w:uiPriority w:val="39"/>
    <w:qFormat/>
    <w:rsid w:val="00A445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4A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4AE6"/>
    <w:rPr>
      <w:rFonts w:eastAsia="Times New Roman" w:cs="Times New Roman"/>
      <w:kern w:val="0"/>
      <w:sz w:val="22"/>
      <w:lang w:eastAsia="en-GB"/>
      <w14:ligatures w14:val="none"/>
    </w:rPr>
  </w:style>
  <w:style w:type="paragraph" w:styleId="Footer">
    <w:name w:val="footer"/>
    <w:basedOn w:val="Normal"/>
    <w:link w:val="FooterChar"/>
    <w:uiPriority w:val="99"/>
    <w:unhideWhenUsed/>
    <w:qFormat/>
    <w:rsid w:val="00884A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4AE6"/>
    <w:rPr>
      <w:rFonts w:eastAsia="Times New Roman" w:cs="Times New Roman"/>
      <w:kern w:val="0"/>
      <w:sz w:val="22"/>
      <w:lang w:eastAsia="en-GB"/>
      <w14:ligatures w14:val="none"/>
    </w:rPr>
  </w:style>
  <w:style w:type="character" w:styleId="PageNumber">
    <w:name w:val="page number"/>
    <w:basedOn w:val="DefaultParagraphFont"/>
    <w:uiPriority w:val="99"/>
    <w:unhideWhenUsed/>
    <w:rsid w:val="00884AE6"/>
  </w:style>
  <w:style w:type="paragraph" w:customStyle="1" w:styleId="TableTitle">
    <w:name w:val="Table Title"/>
    <w:basedOn w:val="Normal"/>
    <w:next w:val="Normal"/>
    <w:qFormat/>
    <w:rsid w:val="006116F2"/>
    <w:pPr>
      <w:spacing w:before="120" w:after="80"/>
      <w:jc w:val="both"/>
    </w:pPr>
    <w:rPr>
      <w:rFonts w:ascii="Calibri" w:eastAsiaTheme="minorEastAsia" w:hAnsi="Calibri" w:cstheme="minorBidi"/>
      <w:b/>
      <w:sz w:val="20"/>
      <w:szCs w:val="20"/>
      <w:lang w:val="en-GB" w:eastAsia="en-US"/>
    </w:rPr>
  </w:style>
  <w:style w:type="character" w:styleId="CommentReference">
    <w:name w:val="annotation reference"/>
    <w:basedOn w:val="DefaultParagraphFont"/>
    <w:uiPriority w:val="99"/>
    <w:semiHidden/>
    <w:unhideWhenUsed/>
    <w:rsid w:val="00340035"/>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eastAsia="Times New Roman" w:cs="Times New Roman"/>
      <w:kern w:val="0"/>
      <w:sz w:val="20"/>
      <w:szCs w:val="20"/>
      <w:lang w:eastAsia="en-GB"/>
      <w14:ligatures w14:val="none"/>
    </w:rPr>
  </w:style>
  <w:style w:type="paragraph" w:customStyle="1" w:styleId="p1">
    <w:name w:val="p1"/>
    <w:basedOn w:val="Normal"/>
    <w:rsid w:val="00405DA3"/>
    <w:pPr>
      <w:spacing w:after="0" w:line="240" w:lineRule="auto"/>
    </w:pPr>
    <w:rPr>
      <w:rFonts w:ascii="Helvetica" w:hAnsi="Helvetica"/>
      <w:color w:val="000000"/>
      <w:sz w:val="17"/>
      <w:szCs w:val="17"/>
    </w:rPr>
  </w:style>
  <w:style w:type="paragraph" w:styleId="Bibliography">
    <w:name w:val="Bibliography"/>
    <w:basedOn w:val="Normal"/>
    <w:next w:val="Normal"/>
    <w:uiPriority w:val="37"/>
    <w:unhideWhenUsed/>
    <w:rsid w:val="003869A2"/>
    <w:pPr>
      <w:tabs>
        <w:tab w:val="left" w:pos="260"/>
      </w:tabs>
      <w:spacing w:after="24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17094">
      <w:bodyDiv w:val="1"/>
      <w:marLeft w:val="0"/>
      <w:marRight w:val="0"/>
      <w:marTop w:val="0"/>
      <w:marBottom w:val="0"/>
      <w:divBdr>
        <w:top w:val="none" w:sz="0" w:space="0" w:color="auto"/>
        <w:left w:val="none" w:sz="0" w:space="0" w:color="auto"/>
        <w:bottom w:val="none" w:sz="0" w:space="0" w:color="auto"/>
        <w:right w:val="none" w:sz="0" w:space="0" w:color="auto"/>
      </w:divBdr>
    </w:div>
    <w:div w:id="125856550">
      <w:bodyDiv w:val="1"/>
      <w:marLeft w:val="0"/>
      <w:marRight w:val="0"/>
      <w:marTop w:val="0"/>
      <w:marBottom w:val="0"/>
      <w:divBdr>
        <w:top w:val="none" w:sz="0" w:space="0" w:color="auto"/>
        <w:left w:val="none" w:sz="0" w:space="0" w:color="auto"/>
        <w:bottom w:val="none" w:sz="0" w:space="0" w:color="auto"/>
        <w:right w:val="none" w:sz="0" w:space="0" w:color="auto"/>
      </w:divBdr>
    </w:div>
    <w:div w:id="161356930">
      <w:bodyDiv w:val="1"/>
      <w:marLeft w:val="0"/>
      <w:marRight w:val="0"/>
      <w:marTop w:val="0"/>
      <w:marBottom w:val="0"/>
      <w:divBdr>
        <w:top w:val="none" w:sz="0" w:space="0" w:color="auto"/>
        <w:left w:val="none" w:sz="0" w:space="0" w:color="auto"/>
        <w:bottom w:val="none" w:sz="0" w:space="0" w:color="auto"/>
        <w:right w:val="none" w:sz="0" w:space="0" w:color="auto"/>
      </w:divBdr>
    </w:div>
    <w:div w:id="272173215">
      <w:bodyDiv w:val="1"/>
      <w:marLeft w:val="0"/>
      <w:marRight w:val="0"/>
      <w:marTop w:val="0"/>
      <w:marBottom w:val="0"/>
      <w:divBdr>
        <w:top w:val="none" w:sz="0" w:space="0" w:color="auto"/>
        <w:left w:val="none" w:sz="0" w:space="0" w:color="auto"/>
        <w:bottom w:val="none" w:sz="0" w:space="0" w:color="auto"/>
        <w:right w:val="none" w:sz="0" w:space="0" w:color="auto"/>
      </w:divBdr>
    </w:div>
    <w:div w:id="275915974">
      <w:bodyDiv w:val="1"/>
      <w:marLeft w:val="0"/>
      <w:marRight w:val="0"/>
      <w:marTop w:val="0"/>
      <w:marBottom w:val="0"/>
      <w:divBdr>
        <w:top w:val="none" w:sz="0" w:space="0" w:color="auto"/>
        <w:left w:val="none" w:sz="0" w:space="0" w:color="auto"/>
        <w:bottom w:val="none" w:sz="0" w:space="0" w:color="auto"/>
        <w:right w:val="none" w:sz="0" w:space="0" w:color="auto"/>
      </w:divBdr>
    </w:div>
    <w:div w:id="450631293">
      <w:bodyDiv w:val="1"/>
      <w:marLeft w:val="0"/>
      <w:marRight w:val="0"/>
      <w:marTop w:val="0"/>
      <w:marBottom w:val="0"/>
      <w:divBdr>
        <w:top w:val="none" w:sz="0" w:space="0" w:color="auto"/>
        <w:left w:val="none" w:sz="0" w:space="0" w:color="auto"/>
        <w:bottom w:val="none" w:sz="0" w:space="0" w:color="auto"/>
        <w:right w:val="none" w:sz="0" w:space="0" w:color="auto"/>
      </w:divBdr>
    </w:div>
    <w:div w:id="500198073">
      <w:bodyDiv w:val="1"/>
      <w:marLeft w:val="0"/>
      <w:marRight w:val="0"/>
      <w:marTop w:val="0"/>
      <w:marBottom w:val="0"/>
      <w:divBdr>
        <w:top w:val="none" w:sz="0" w:space="0" w:color="auto"/>
        <w:left w:val="none" w:sz="0" w:space="0" w:color="auto"/>
        <w:bottom w:val="none" w:sz="0" w:space="0" w:color="auto"/>
        <w:right w:val="none" w:sz="0" w:space="0" w:color="auto"/>
      </w:divBdr>
    </w:div>
    <w:div w:id="555363203">
      <w:bodyDiv w:val="1"/>
      <w:marLeft w:val="0"/>
      <w:marRight w:val="0"/>
      <w:marTop w:val="0"/>
      <w:marBottom w:val="0"/>
      <w:divBdr>
        <w:top w:val="none" w:sz="0" w:space="0" w:color="auto"/>
        <w:left w:val="none" w:sz="0" w:space="0" w:color="auto"/>
        <w:bottom w:val="none" w:sz="0" w:space="0" w:color="auto"/>
        <w:right w:val="none" w:sz="0" w:space="0" w:color="auto"/>
      </w:divBdr>
    </w:div>
    <w:div w:id="815298119">
      <w:bodyDiv w:val="1"/>
      <w:marLeft w:val="0"/>
      <w:marRight w:val="0"/>
      <w:marTop w:val="0"/>
      <w:marBottom w:val="0"/>
      <w:divBdr>
        <w:top w:val="none" w:sz="0" w:space="0" w:color="auto"/>
        <w:left w:val="none" w:sz="0" w:space="0" w:color="auto"/>
        <w:bottom w:val="none" w:sz="0" w:space="0" w:color="auto"/>
        <w:right w:val="none" w:sz="0" w:space="0" w:color="auto"/>
      </w:divBdr>
    </w:div>
    <w:div w:id="866874686">
      <w:bodyDiv w:val="1"/>
      <w:marLeft w:val="0"/>
      <w:marRight w:val="0"/>
      <w:marTop w:val="0"/>
      <w:marBottom w:val="0"/>
      <w:divBdr>
        <w:top w:val="none" w:sz="0" w:space="0" w:color="auto"/>
        <w:left w:val="none" w:sz="0" w:space="0" w:color="auto"/>
        <w:bottom w:val="none" w:sz="0" w:space="0" w:color="auto"/>
        <w:right w:val="none" w:sz="0" w:space="0" w:color="auto"/>
      </w:divBdr>
    </w:div>
    <w:div w:id="1126120668">
      <w:bodyDiv w:val="1"/>
      <w:marLeft w:val="0"/>
      <w:marRight w:val="0"/>
      <w:marTop w:val="0"/>
      <w:marBottom w:val="0"/>
      <w:divBdr>
        <w:top w:val="none" w:sz="0" w:space="0" w:color="auto"/>
        <w:left w:val="none" w:sz="0" w:space="0" w:color="auto"/>
        <w:bottom w:val="none" w:sz="0" w:space="0" w:color="auto"/>
        <w:right w:val="none" w:sz="0" w:space="0" w:color="auto"/>
      </w:divBdr>
    </w:div>
    <w:div w:id="1228612646">
      <w:bodyDiv w:val="1"/>
      <w:marLeft w:val="0"/>
      <w:marRight w:val="0"/>
      <w:marTop w:val="0"/>
      <w:marBottom w:val="0"/>
      <w:divBdr>
        <w:top w:val="none" w:sz="0" w:space="0" w:color="auto"/>
        <w:left w:val="none" w:sz="0" w:space="0" w:color="auto"/>
        <w:bottom w:val="none" w:sz="0" w:space="0" w:color="auto"/>
        <w:right w:val="none" w:sz="0" w:space="0" w:color="auto"/>
      </w:divBdr>
    </w:div>
    <w:div w:id="1445611684">
      <w:bodyDiv w:val="1"/>
      <w:marLeft w:val="0"/>
      <w:marRight w:val="0"/>
      <w:marTop w:val="0"/>
      <w:marBottom w:val="0"/>
      <w:divBdr>
        <w:top w:val="none" w:sz="0" w:space="0" w:color="auto"/>
        <w:left w:val="none" w:sz="0" w:space="0" w:color="auto"/>
        <w:bottom w:val="none" w:sz="0" w:space="0" w:color="auto"/>
        <w:right w:val="none" w:sz="0" w:space="0" w:color="auto"/>
      </w:divBdr>
    </w:div>
    <w:div w:id="1703628057">
      <w:bodyDiv w:val="1"/>
      <w:marLeft w:val="0"/>
      <w:marRight w:val="0"/>
      <w:marTop w:val="0"/>
      <w:marBottom w:val="0"/>
      <w:divBdr>
        <w:top w:val="none" w:sz="0" w:space="0" w:color="auto"/>
        <w:left w:val="none" w:sz="0" w:space="0" w:color="auto"/>
        <w:bottom w:val="none" w:sz="0" w:space="0" w:color="auto"/>
        <w:right w:val="none" w:sz="0" w:space="0" w:color="auto"/>
      </w:divBdr>
    </w:div>
    <w:div w:id="1819028918">
      <w:bodyDiv w:val="1"/>
      <w:marLeft w:val="0"/>
      <w:marRight w:val="0"/>
      <w:marTop w:val="0"/>
      <w:marBottom w:val="0"/>
      <w:divBdr>
        <w:top w:val="none" w:sz="0" w:space="0" w:color="auto"/>
        <w:left w:val="none" w:sz="0" w:space="0" w:color="auto"/>
        <w:bottom w:val="none" w:sz="0" w:space="0" w:color="auto"/>
        <w:right w:val="none" w:sz="0" w:space="0" w:color="auto"/>
      </w:divBdr>
    </w:div>
    <w:div w:id="2052226617">
      <w:bodyDiv w:val="1"/>
      <w:marLeft w:val="0"/>
      <w:marRight w:val="0"/>
      <w:marTop w:val="0"/>
      <w:marBottom w:val="0"/>
      <w:divBdr>
        <w:top w:val="none" w:sz="0" w:space="0" w:color="auto"/>
        <w:left w:val="none" w:sz="0" w:space="0" w:color="auto"/>
        <w:bottom w:val="none" w:sz="0" w:space="0" w:color="auto"/>
        <w:right w:val="none" w:sz="0" w:space="0" w:color="auto"/>
      </w:divBdr>
      <w:divsChild>
        <w:div w:id="1197811737">
          <w:marLeft w:val="0"/>
          <w:marRight w:val="0"/>
          <w:marTop w:val="0"/>
          <w:marBottom w:val="240"/>
          <w:divBdr>
            <w:top w:val="none" w:sz="0" w:space="0" w:color="auto"/>
            <w:left w:val="none" w:sz="0" w:space="0" w:color="auto"/>
            <w:bottom w:val="none" w:sz="0" w:space="0" w:color="auto"/>
            <w:right w:val="none" w:sz="0" w:space="0" w:color="auto"/>
          </w:divBdr>
        </w:div>
        <w:div w:id="1331518282">
          <w:marLeft w:val="0"/>
          <w:marRight w:val="0"/>
          <w:marTop w:val="0"/>
          <w:marBottom w:val="240"/>
          <w:divBdr>
            <w:top w:val="none" w:sz="0" w:space="0" w:color="auto"/>
            <w:left w:val="none" w:sz="0" w:space="0" w:color="auto"/>
            <w:bottom w:val="none" w:sz="0" w:space="0" w:color="auto"/>
            <w:right w:val="none" w:sz="0" w:space="0" w:color="auto"/>
          </w:divBdr>
        </w:div>
        <w:div w:id="1536769863">
          <w:marLeft w:val="0"/>
          <w:marRight w:val="0"/>
          <w:marTop w:val="0"/>
          <w:marBottom w:val="240"/>
          <w:divBdr>
            <w:top w:val="none" w:sz="0" w:space="0" w:color="auto"/>
            <w:left w:val="none" w:sz="0" w:space="0" w:color="auto"/>
            <w:bottom w:val="none" w:sz="0" w:space="0" w:color="auto"/>
            <w:right w:val="none" w:sz="0" w:space="0" w:color="auto"/>
          </w:divBdr>
        </w:div>
        <w:div w:id="526067314">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26B080-C736-864F-A082-A0065FBFD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7729</Words>
  <Characters>44060</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 Conrad</dc:creator>
  <cp:keywords/>
  <dc:description/>
  <cp:lastModifiedBy>Nathalie Conrad</cp:lastModifiedBy>
  <cp:revision>9</cp:revision>
  <dcterms:created xsi:type="dcterms:W3CDTF">2025-06-16T16:49:00Z</dcterms:created>
  <dcterms:modified xsi:type="dcterms:W3CDTF">2025-06-17T06:53:00Z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id="tY4yhQLF"/&gt;&lt;style id="http://www.zotero.org/styles/the-lancet" hasBibliography="1" bibliographyStyleHasBeenSet="1"/&gt;&lt;prefs&gt;&lt;pref name="fieldType" value="Field"/&gt;&lt;/prefs&gt;&lt;/data&gt;</vt:lpwstr>
  </property>
</Properties>
</file>