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800"/>
      </w:pPr>
    </w:p>
    <w:p>
      <w:pPr>
        <w:spacing w:after="300"/>
        <w:jc w:val="center"/>
      </w:pPr>
      <w:r>
        <w:rPr>
          <w:color w:val="666666"/>
          <w:sz w:val="22"/>
          <w:szCs w:val="22"/>
        </w:rPr>
        <w:t xml:space="preserve">DOCUMENTO DE APOIO AO DESENVOLVIMENTO</w:t>
      </w:r>
    </w:p>
    <w:p>
      <w:pPr>
        <w:spacing w:after="200"/>
        <w:jc w:val="center"/>
      </w:pPr>
      <w:r>
        <w:rPr>
          <w:b/>
          <w:bCs/>
          <w:color w:val="1F4E79"/>
          <w:sz w:val="44"/>
          <w:szCs w:val="44"/>
        </w:rPr>
        <w:t xml:space="preserve">CampusHub</w:t>
      </w:r>
    </w:p>
    <w:p>
      <w:pPr>
        <w:spacing w:after="1200"/>
        <w:jc w:val="center"/>
      </w:pPr>
      <w:r>
        <w:rPr>
          <w:b/>
          <w:bCs/>
          <w:sz w:val="28"/>
          <w:szCs w:val="28"/>
        </w:rPr>
        <w:t xml:space="preserve">Arquitetura do Módulo de Achados e Perdidos</w:t>
      </w:r>
    </w:p>
    <w:p>
      <w:pPr>
        <w:spacing w:before="1400"/>
        <w:jc w:val="center"/>
      </w:pPr>
      <w:r>
        <w:rPr>
          <w:i/>
          <w:iCs/>
          <w:color w:val="555555"/>
          <w:sz w:val="20"/>
          <w:szCs w:val="20"/>
        </w:rPr>
        <w:t xml:space="preserve">Estrutura em camadas • Fluxos de execução • Protótipo em Java (terminal)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200" w:before="400"/>
      </w:pPr>
      <w:r>
        <w:t xml:space="preserve">1. Visão geral da arquitetura em camadas</w:t>
      </w:r>
    </w:p>
    <w:p>
      <w:pPr>
        <w:spacing w:after="200"/>
      </w:pPr>
      <w:r>
        <w:rPr>
          <w:b w:val="false"/>
          <w:bCs w:val="false"/>
          <w:i w:val="false"/>
          <w:iCs w:val="false"/>
        </w:rPr>
        <w:t xml:space="preserve">O sistema é organizado em camadas com responsabilidades bem definidas. Essa separação segue um princípio central da Orientação a Objetos: cada classe deve ter um único motivo para mudar (responsabilidade única). Isso evita, por exemplo, que uma regra de negócio fique "escondida" dentro do menu, ou que a lógica de armazenamento se misture com a lógica de validação.</w:t>
      </w:r>
    </w:p>
    <w:p>
      <w:pPr>
        <w:spacing w:after="200"/>
      </w:pPr>
      <w:r>
        <w:rPr>
          <w:b w:val="false"/>
          <w:bCs w:val="false"/>
          <w:i w:val="false"/>
          <w:iCs w:val="false"/>
        </w:rPr>
        <w:t xml:space="preserve">De cima para baixo, cada camada só conhece a camada imediatamente abaixo dela — o Menu não sabe como os itens são armazenados, e o ItemService não sabe como o menu exibe as opções na tela. Essa independência é o que torna o sistema fácil de evoluir: trocar a lista em memória por um banco de dados no futuro (RNF05/RNF07) vai exigir mudanças apenas no ItemRepository, sem tocar no Menu ou nos Services.</w:t>
      </w:r>
    </w:p>
    <w:p>
      <w:pPr>
        <w:spacing w:after="300" w:before="150"/>
        <w:jc w:val="center"/>
      </w:pPr>
      <w:r>
        <w:drawing>
          <wp:inline distT="0" distB="0" distL="0" distR="0">
            <wp:extent cx="3238500" cy="67246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0" cy="672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spacing w:after="200" w:before="400"/>
      </w:pPr>
      <w:r>
        <w:t xml:space="preserve">2. Responsabilidade de cada camada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200"/>
        <w:gridCol w:w="5400"/>
      </w:tblGrid>
      <w:tr>
        <w:trPr>
          <w:tblHeader/>
        </w:trPr>
        <w:tc>
          <w:tcPr>
            <w:tcW w:type="dxa" w:w="16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Camada</w:t>
            </w:r>
          </w:p>
        </w:tc>
        <w:tc>
          <w:tcPr>
            <w:tcW w:type="dxa" w:w="22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Classe(s)</w:t>
            </w:r>
          </w:p>
        </w:tc>
        <w:tc>
          <w:tcPr>
            <w:tcW w:type="dxa" w:w="54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Responsabilidade</w:t>
            </w:r>
          </w:p>
        </w:tc>
      </w:tr>
      <w:t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Entrada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Main</w:t>
            </w:r>
          </w:p>
        </w:tc>
        <w:tc>
          <w:tcPr>
            <w:tcW w:type="dxa" w:w="5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Ponto de entrada do programa. Cria as instâncias necessárias (Menu, Services) e inicia a execução. Não contém lógica própria.</w:t>
            </w:r>
          </w:p>
        </w:tc>
      </w:tr>
      <w:tr>
        <w:tc>
          <w:tcPr>
            <w:tcW w:type="dxa" w:w="1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View</w:t>
            </w:r>
          </w:p>
        </w:tc>
        <w:tc>
          <w:tcPr>
            <w:tcW w:type="dxa" w:w="2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Menu</w:t>
            </w:r>
          </w:p>
        </w:tc>
        <w:tc>
          <w:tcPr>
            <w:tcW w:type="dxa" w:w="5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Exibe as opções em terminal, lê o que o usuário digita e chama o método correspondente no Service. Não decide regras — só recebe e repassa.</w:t>
            </w:r>
          </w:p>
        </w:tc>
      </w:tr>
      <w:t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Service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ItemService, AdminService</w:t>
            </w:r>
          </w:p>
        </w:tc>
        <w:tc>
          <w:tcPr>
            <w:tcW w:type="dxa" w:w="5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ItemService cuida do cadastro, busca, geração de códigos, solicitações de devolução e alteração de status dos objetos. AdminService cuida exclusivamente da autenticação e do acesso administrativo. Essa divisão evita que as regras de negócio fiquem misturadas com a interface.</w:t>
            </w:r>
          </w:p>
        </w:tc>
      </w:tr>
      <w:tr>
        <w:tc>
          <w:tcPr>
            <w:tcW w:type="dxa" w:w="1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Repository</w:t>
            </w:r>
          </w:p>
        </w:tc>
        <w:tc>
          <w:tcPr>
            <w:tcW w:type="dxa" w:w="2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ItemRepository</w:t>
            </w:r>
          </w:p>
        </w:tc>
        <w:tc>
          <w:tcPr>
            <w:tcW w:type="dxa" w:w="5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Guarda a lista de itens e sabe como buscar neles (por código ou por filtros), além de localizar as solicitações pendentes. Isola o Service de saber se os dados estão em uma List, um arquivo ou um banco.</w:t>
            </w:r>
          </w:p>
        </w:tc>
      </w:tr>
      <w:t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Model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Item, StatusItem</w:t>
            </w:r>
          </w:p>
        </w:tc>
        <w:tc>
          <w:tcPr>
            <w:tcW w:type="dxa" w:w="5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Item representa o objeto do mundo real (a mochila, o carregador etc.) com seus atributos. StatusItem é um enum que representa, de forma controlada, os possíveis estados desse objeto. Nenhuma das duas classes contém lógica de negócio.</w:t>
            </w:r>
          </w:p>
        </w:tc>
      </w:tr>
    </w:tbl>
    <w:p>
      <w:pPr>
        <w:spacing w:after="200"/>
      </w:pPr>
      <w:r>
        <w:rPr>
          <w:b w:val="false"/>
          <w:bCs w:val="false"/>
          <w:i/>
          <w:iCs/>
        </w:rPr>
        <w:t xml:space="preserve">Atualmente, os dados são armazenados em memória por meio de uma List dentro do ItemRepository — ou seja, todos os objetos cadastrados são perdidos quando a aplicação é encerrada. Essa é uma limitação conhecida e assumida do protótipo, e é justamente o motivo de a lógica de armazenamento ficar isolada nessa camada: substituí-la por um arquivo ou banco de dados no futuro não deve afetar o restante do sistema.</w:t>
      </w:r>
    </w:p>
    <w:p>
      <w:pPr>
        <w:spacing w:after="200"/>
      </w:pPr>
      <w:r>
        <w:rPr>
          <w:b w:val="false"/>
          <w:bCs w:val="false"/>
          <w:i/>
          <w:iCs/>
        </w:rPr>
        <w:t xml:space="preserve">Essa divisão é chamada de arquitetura em camadas (layered architecture) e é uma versão simplificada do padrão usado em aplicações Spring Boot — o que significa que, quando você chegar no Spring Boot no seu plano de estudos, essa mesma lógica de separação (Controller/View → Service → Repository → Model) vai parecer familiar.</w:t>
      </w:r>
    </w:p>
    <w:p>
      <w:pPr>
        <w:pStyle w:val="Heading1"/>
        <w:spacing w:after="200" w:before="400"/>
      </w:pPr>
      <w:r>
        <w:t xml:space="preserve">3. Fluxo geral de uma operação</w:t>
      </w:r>
    </w:p>
    <w:p>
      <w:pPr>
        <w:spacing w:after="200"/>
      </w:pPr>
      <w:r>
        <w:rPr>
          <w:b w:val="false"/>
          <w:bCs w:val="false"/>
          <w:i w:val="false"/>
          <w:iCs w:val="false"/>
        </w:rPr>
        <w:t xml:space="preserve">Independentemente de qual funcionalidade o usuário está executando, toda operação do sistema segue o mesmo caminho entre as camadas: o usuário interage com o Menu, o Menu aciona o Service correspondente, o Service aplica as regras de negócio e recorre ao Repository quando precisa consultar ou alterar dados, e o Repository opera sobre o Model.</w:t>
      </w:r>
    </w:p>
    <w:p>
      <w:pPr>
        <w:spacing w:after="300" w:before="150"/>
        <w:jc w:val="center"/>
      </w:pPr>
      <w:r>
        <w:drawing>
          <wp:inline distT="0" distB="0" distL="0" distR="0">
            <wp:extent cx="2095500" cy="37719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0" cy="377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</w:pPr>
      <w:r>
        <w:rPr>
          <w:b w:val="false"/>
          <w:bCs w:val="false"/>
          <w:i w:val="false"/>
          <w:iCs w:val="false"/>
        </w:rPr>
        <w:t xml:space="preserve">Por exemplo, ao solicitar a devolução de um objeto, o usuário informa o código através do Menu. O ItemService recebe essa informação, verifica as regras de negócio e utiliza o ItemRepository para localizar o objeto. Caso a operação seja válida, o status do objeto é atualizado — exatamente o fluxo detalhado na seção 5.2.</w:t>
      </w:r>
    </w:p>
    <w:p>
      <w:pPr>
        <w:pStyle w:val="Heading1"/>
        <w:spacing w:after="200" w:before="400"/>
      </w:pPr>
      <w:r>
        <w:t xml:space="preserve">4. Fluxo de navegação do usuário</w:t>
      </w:r>
    </w:p>
    <w:p>
      <w:pPr>
        <w:spacing w:after="200"/>
      </w:pPr>
      <w:r>
        <w:rPr>
          <w:b w:val="false"/>
          <w:bCs w:val="false"/>
          <w:i w:val="false"/>
          <w:iCs w:val="false"/>
        </w:rPr>
        <w:t xml:space="preserve">O menu principal direciona o usuário para duas áreas distintas: a área do aluno, com as ações do dia a dia, e a área do administrador, protegida por login, onde ficam as ações de moderação (analisar solicitações e atualizar status).</w:t>
      </w:r>
    </w:p>
    <w:p>
      <w:pPr>
        <w:spacing w:after="300" w:before="150"/>
        <w:jc w:val="center"/>
      </w:pPr>
      <w:r>
        <w:drawing>
          <wp:inline distT="0" distB="0" distL="0" distR="0">
            <wp:extent cx="4572000" cy="34194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419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spacing w:after="200" w:before="400"/>
      </w:pPr>
      <w:r>
        <w:t xml:space="preserve">5. Fluxos de execução (passo a passo)</w:t>
      </w:r>
    </w:p>
    <w:p>
      <w:pPr>
        <w:spacing w:after="200"/>
      </w:pPr>
      <w:r>
        <w:rPr>
          <w:b w:val="false"/>
          <w:bCs w:val="false"/>
          <w:i w:val="false"/>
          <w:iCs w:val="false"/>
        </w:rPr>
        <w:t xml:space="preserve">Os diagramas a seguir mostram, mensagem por mensagem, o que acontece internamente quando o usuário realiza duas das ações mais importantes do sistema. A seta contínua representa uma chamada de método; a seta tracejada representa o retorno dessa chamada.</w:t>
      </w:r>
    </w:p>
    <w:p>
      <w:pPr>
        <w:pStyle w:val="Heading2"/>
        <w:spacing w:after="150" w:before="300"/>
      </w:pPr>
      <w:r>
        <w:t xml:space="preserve">5.1 Registrar objeto encontrado</w:t>
      </w:r>
    </w:p>
    <w:p>
      <w:pPr>
        <w:spacing w:after="200"/>
      </w:pPr>
      <w:r>
        <w:rPr>
          <w:b w:val="false"/>
          <w:bCs w:val="false"/>
          <w:i w:val="false"/>
          <w:iCs w:val="false"/>
        </w:rPr>
        <w:t xml:space="preserve">Quando o aluno informa os dados de um item encontrado, o Menu repassa esses dados para o ItemService, que é responsável por gerar o código único (RF03) e definir o status inicial como "Disponível" (RN01), antes de pedir ao ItemRepository que guarde o item na lista.</w:t>
      </w:r>
    </w:p>
    <w:p>
      <w:pPr>
        <w:spacing w:after="300" w:before="150"/>
        <w:jc w:val="center"/>
      </w:pPr>
      <w:r>
        <w:drawing>
          <wp:inline distT="0" distB="0" distL="0" distR="0">
            <wp:extent cx="4572000" cy="37338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73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50" w:before="300"/>
      </w:pPr>
      <w:r>
        <w:t xml:space="preserve">5.2 Solicitar devolução</w:t>
      </w:r>
    </w:p>
    <w:p>
      <w:pPr>
        <w:spacing w:after="200"/>
      </w:pPr>
      <w:r>
        <w:rPr>
          <w:b w:val="false"/>
          <w:bCs w:val="false"/>
          <w:i w:val="false"/>
          <w:iCs w:val="false"/>
        </w:rPr>
        <w:t xml:space="preserve">Quando o aluno informa o código de um item e solicita a devolução, o ItemService primeiro busca o item no ItemRepository, verifica se o status atual permite a solicitação, e então altera o status para "Em análise" (RN03) — deixando o item visível ao administrador para validação posterior (RF07).</w:t>
      </w:r>
    </w:p>
    <w:p>
      <w:pPr>
        <w:spacing w:after="300" w:before="150"/>
        <w:jc w:val="center"/>
      </w:pPr>
      <w:r>
        <w:drawing>
          <wp:inline distT="0" distB="0" distL="0" distR="0">
            <wp:extent cx="4572000" cy="37338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73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spacing w:after="200" w:before="400"/>
      </w:pPr>
      <w:r>
        <w:t xml:space="preserve">6. Por que organizar o código dessa forma?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Baixo acoplamento: cada camada pode ser alterada isoladamente. Trocar a interface de terminal por uma interface web no futuro não exige tocar no ItemService.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Testabilidade: como o ItemService não depende do Menu, é possível testar as regras de negócio sozinhas, sem precisar simular entradas de teclado.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Evolução prevista no escopo: a troca da lista em memória por persistência em arquivo ou banco de dados (escopo futuro do CampusHub) fica isolada dentro do ItemRepository.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Separação dentro do próprio Service: ItemService cuida dos objetos e devoluções, AdminService cuida apenas da autenticação — evitando que regras de negócio distintas fiquem misturadas na mesma classe.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Leitura mais fácil: qualquer pessoa (inclusive você, daqui a alguns meses) consegue localizar rapidamente onde mexer, porque cada classe tem um propósito único e nomeado.</w:t>
      </w:r>
    </w:p>
    <w:sectPr>
      <w:headerReference w:type="default" r:id="rId7"/>
      <w:footerReference w:type="default" r:id="rId8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99999"/>
        <w:sz w:val="16"/>
        <w:szCs w:val="16"/>
      </w:rPr>
      <w:t xml:space="preserve">Página </w:t>
      <w:fldChar w:fldCharType="begin"/>
      <w:instrText xml:space="preserve">PAGE</w:instrText>
      <w:fldChar w:fldCharType="separate"/>
      <w:fldChar w:fldCharType="end"/>
      <w:t xml:space="preserve"> de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999999"/>
        <w:sz w:val="16"/>
        <w:szCs w:val="16"/>
      </w:rPr>
      <w:t xml:space="preserve">CampusHub — Arquitetura do Sistema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b9ae60551a2a37fc625df52e0dd7a0c8f46863ac.png"/><Relationship Id="rId10" Type="http://schemas.openxmlformats.org/officeDocument/2006/relationships/image" Target="media/c0b364419c92f3ae71c6cebae62c2c425948d9a9.png"/><Relationship Id="rId11" Type="http://schemas.openxmlformats.org/officeDocument/2006/relationships/image" Target="media/f238ea14fc61759af5ffa5a73df68c1438ce6b57.png"/><Relationship Id="rId12" Type="http://schemas.openxmlformats.org/officeDocument/2006/relationships/image" Target="media/886988f327c07dceefc37c685edf850c1aaf73e5.png"/><Relationship Id="rId13" Type="http://schemas.openxmlformats.org/officeDocument/2006/relationships/image" Target="media/f7f55cc78e06433aa82dd525bdddbabcf1278576.png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2026-09-05T16:13:46.764Z</dcterms:created>
  <dcterms:modified xsi:type="dcterms:W3CDTF">2026-09-05T16:13:46.775Z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