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U3 Assignment Answers</w:t>
      </w:r>
    </w:p>
    <w:p>
      <w:pPr>
        <w:pStyle w:val="Author"/>
      </w:pPr>
      <w:r>
        <w:t xml:space="preserve">Gill, Nathanael</w:t>
      </w:r>
    </w:p>
    <w:bookmarkStart w:id="21" w:name="u3-assignment-answers"/>
    <w:p>
      <w:pPr>
        <w:pStyle w:val="Heading1"/>
      </w:pPr>
      <w:r>
        <w:t xml:space="preserve">U3 Assignment Answers</w:t>
      </w:r>
    </w:p>
    <w:bookmarkStart w:id="9" w:name="X2f3d171f8e3b5a9723d808bde0d2c8977dff16c"/>
    <w:p>
      <w:pPr>
        <w:pStyle w:val="Heading2"/>
      </w:pPr>
      <w:r>
        <w:t xml:space="preserve">Finger Lakes Activewear — Optimizing Production Capacity Allocation</w:t>
      </w:r>
    </w:p>
    <w:p>
      <w:pPr>
        <w:pStyle w:val="FirstParagraph"/>
      </w:pPr>
      <w:r>
        <w:rPr>
          <w:i/>
          <w:iCs/>
        </w:rPr>
        <w:t xml:space="preserve">Gill, Nathanael — BANA 6420</w:t>
      </w:r>
    </w:p>
    <w:p>
      <w:r>
        <w:pict>
          <v:rect style="width:0;height:1.5pt" o:hralign="center" o:hrstd="t" o:hr="t"/>
        </w:pict>
      </w:r>
    </w:p>
    <w:bookmarkEnd w:id="9"/>
    <w:bookmarkStart w:id="11" w:name="X76e8c324860a2a6ffe59dd7459111d37e819bef"/>
    <w:p>
      <w:pPr>
        <w:pStyle w:val="Heading2"/>
      </w:pPr>
      <w:r>
        <w:t xml:space="preserve">Part One — Optimal Production Quantity (No Capacity Limit)</w:t>
      </w:r>
    </w:p>
    <w:bookmarkStart w:id="10" w:name="solution-steps"/>
    <w:p>
      <w:pPr>
        <w:pStyle w:val="Heading3"/>
      </w:pPr>
      <w:r>
        <w:t xml:space="preserve">Solution Steps</w:t>
      </w:r>
    </w:p>
    <w:p>
      <w:pPr>
        <w:pStyle w:val="FirstParagraph"/>
      </w:pPr>
      <w:r>
        <w:t xml:space="preserve">The setup here is a classic single-period newsvendor. FLA makes a one-shot production decision before the season starts, then lives with whatever demand shows up. The two cost parameters the problem gives us are:</w:t>
      </w:r>
    </w:p>
    <w:p>
      <w:pPr>
        <w:pStyle w:val="Compact"/>
        <w:numPr>
          <w:ilvl w:val="0"/>
          <w:numId w:val="1001"/>
        </w:numPr>
      </w:pPr>
      <w:r>
        <w:rPr>
          <w:b/>
          <w:bCs/>
        </w:rPr>
        <w:t xml:space="preserve">Overage cost (o)</w:t>
      </w:r>
      <w:r>
        <w:t xml:space="preserve"> </w:t>
      </w:r>
      <w:r>
        <w:t xml:space="preserve">= 10% of retail price — what it costs to have one unsold jacket at the end of the season</w:t>
      </w:r>
    </w:p>
    <w:p>
      <w:pPr>
        <w:pStyle w:val="Compact"/>
        <w:numPr>
          <w:ilvl w:val="0"/>
          <w:numId w:val="1001"/>
        </w:numPr>
      </w:pPr>
      <w:r>
        <w:rPr>
          <w:b/>
          <w:bCs/>
        </w:rPr>
        <w:t xml:space="preserve">Underage cost (u)</w:t>
      </w:r>
      <w:r>
        <w:t xml:space="preserve"> </w:t>
      </w:r>
      <w:r>
        <w:t xml:space="preserve">= 30% of retail price — the lost margin from stocking out one unit</w:t>
      </w:r>
    </w:p>
    <w:p>
      <w:pPr>
        <w:pStyle w:val="FirstParagraph"/>
      </w:pPr>
      <w:r>
        <w:t xml:space="preserve">Since both are defined as a fixed percentage of price, the</w:t>
      </w:r>
      <w:r>
        <w:t xml:space="preserve"> </w:t>
      </w:r>
      <w:r>
        <w:rPr>
          <w:b/>
          <w:bCs/>
        </w:rPr>
        <w:t xml:space="preserve">critical fractile is identical for every product</w:t>
      </w:r>
      <w:r>
        <w:t xml:space="preserve">:</w:t>
      </w:r>
    </w:p>
    <w:p>
      <w:pPr>
        <w:pStyle w:val="BodyText"/>
      </w:pPr>
      <m:oMathPara>
        <m:oMathParaPr>
          <m:jc m:val="center"/>
        </m:oMathParaPr>
        <m:oMath>
          <m:r>
            <m:t>C</m:t>
          </m:r>
          <m:r>
            <m:t>F</m:t>
          </m:r>
          <m:r>
            <m:rPr>
              <m:sty m:val="p"/>
            </m:rPr>
            <m:t>=</m:t>
          </m:r>
          <m:f>
            <m:fPr>
              <m:type m:val="bar"/>
            </m:fPr>
            <m:num>
              <m:r>
                <m:t>u</m:t>
              </m:r>
            </m:num>
            <m:den>
              <m:r>
                <m:t>u</m:t>
              </m:r>
              <m:r>
                <m:rPr>
                  <m:sty m:val="p"/>
                </m:rPr>
                <m:t>+</m:t>
              </m:r>
              <m:r>
                <m:t>o</m:t>
              </m:r>
            </m:den>
          </m:f>
          <m:r>
            <m:rPr>
              <m:sty m:val="p"/>
            </m:rPr>
            <m:t>=</m:t>
          </m:r>
          <m:f>
            <m:fPr>
              <m:type m:val="bar"/>
            </m:fPr>
            <m:num>
              <m:r>
                <m:t>0.30</m:t>
              </m:r>
            </m:num>
            <m:den>
              <m:r>
                <m:t>0.30</m:t>
              </m:r>
              <m:r>
                <m:rPr>
                  <m:sty m:val="p"/>
                </m:rPr>
                <m:t>+</m:t>
              </m:r>
              <m:r>
                <m:t>0.10</m:t>
              </m:r>
            </m:den>
          </m:f>
          <m:r>
            <m:rPr>
              <m:sty m:val="p"/>
            </m:rPr>
            <m:t>=</m:t>
          </m:r>
          <m:f>
            <m:fPr>
              <m:type m:val="bar"/>
            </m:fPr>
            <m:num>
              <m:r>
                <m:t>0.30</m:t>
              </m:r>
            </m:num>
            <m:den>
              <m:r>
                <m:t>0.40</m:t>
              </m:r>
            </m:den>
          </m:f>
          <m:r>
            <m:rPr>
              <m:sty m:val="p"/>
            </m:rPr>
            <m:t>=</m:t>
          </m:r>
          <m:r>
            <m:rPr>
              <m:sty m:val="b"/>
            </m:rPr>
            <m:t>0.75</m:t>
          </m:r>
        </m:oMath>
      </m:oMathPara>
    </w:p>
    <w:p>
      <w:pPr>
        <w:pStyle w:val="FirstParagraph"/>
      </w:pPr>
      <w:r>
        <w:t xml:space="preserve">This means FLA wants to satisfy demand 75% of the time. The logic: running out of a jacket is 3× more painful than being stuck with one, so we bias toward overproducing slightly.</w:t>
      </w:r>
    </w:p>
    <w:p>
      <w:pPr>
        <w:pStyle w:val="BodyText"/>
      </w:pPr>
      <w:r>
        <w:t xml:space="preserve">Once we have CF, the optimal quantity under Normal demand is:</w:t>
      </w:r>
    </w:p>
    <w:p>
      <w:pPr>
        <w:pStyle w:val="BodyText"/>
      </w:pPr>
      <m:oMathPara>
        <m:oMathParaPr>
          <m:jc m:val="center"/>
        </m:oMathParaPr>
        <m:oMath>
          <m:sSup>
            <m:e>
              <m:r>
                <m:t>Q</m:t>
              </m:r>
            </m:e>
            <m:sup>
              <m:r>
                <m:rPr>
                  <m:sty m:val="p"/>
                </m:rPr>
                <m:t>*</m:t>
              </m:r>
            </m:sup>
          </m:sSup>
          <m:r>
            <m:rPr>
              <m:sty m:val="p"/>
            </m:rPr>
            <m:t>=</m:t>
          </m:r>
          <m:r>
            <m:t>μ</m:t>
          </m:r>
          <m:r>
            <m:rPr>
              <m:sty m:val="p"/>
            </m:rPr>
            <m:t>+</m:t>
          </m:r>
          <m:r>
            <m:t>z</m:t>
          </m:r>
          <m:r>
            <m:rPr>
              <m:sty m:val="p"/>
            </m:rPr>
            <m:t>⋅</m:t>
          </m:r>
          <m:r>
            <m:t>σ</m:t>
          </m:r>
          <m:r>
            <m:t> </m:t>
          </m:r>
          <m:r>
            <m:rPr>
              <m:nor/>
              <m:sty m:val="p"/>
            </m:rPr>
            <m:t>where </m:t>
          </m:r>
          <m:r>
            <m:t>z</m:t>
          </m:r>
          <m:r>
            <m:rPr>
              <m:sty m:val="p"/>
            </m:rPr>
            <m:t>=</m:t>
          </m:r>
          <m:sSup>
            <m:e>
              <m:r>
                <m:rPr>
                  <m:sty m:val="p"/>
                </m:rPr>
                <m:t>Φ</m:t>
              </m:r>
            </m:e>
            <m:sup>
              <m:r>
                <m:rPr>
                  <m:sty m:val="p"/>
                </m:rPr>
                <m:t>−</m:t>
              </m:r>
              <m:r>
                <m:t>1</m:t>
              </m:r>
            </m:sup>
          </m:sSup>
          <m:r>
            <m:rPr>
              <m:sty m:val="p"/>
            </m:rPr>
            <m:t>(</m:t>
          </m:r>
          <m:r>
            <m:t>0.75</m:t>
          </m:r>
          <m:r>
            <m:rPr>
              <m:sty m:val="p"/>
            </m:rPr>
            <m:t>)</m:t>
          </m:r>
          <m:r>
            <m:rPr>
              <m:sty m:val="p"/>
            </m:rPr>
            <m:t>=</m:t>
          </m:r>
          <m:r>
            <m:t>0.6745</m:t>
          </m:r>
        </m:oMath>
      </m:oMathPara>
    </w:p>
    <w:p>
      <w:pPr>
        <w:pStyle w:val="FirstParagraph"/>
      </w:pPr>
      <w:r>
        <w:t xml:space="preserve">Applying this to each of the 11 product lines: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Product</w:t>
            </w:r>
          </w:p>
        </w:tc>
        <w:tc>
          <w:tcPr/>
          <w:p>
            <w:pPr>
              <w:pStyle w:val="Compact"/>
            </w:pPr>
            <w:r>
              <w:t xml:space="preserve">Price</w:t>
            </w:r>
          </w:p>
        </w:tc>
        <w:tc>
          <w:tcPr/>
          <w:p>
            <w:pPr>
              <w:pStyle w:val="Compact"/>
            </w:pPr>
            <w:r>
              <w:t xml:space="preserve">u</w:t>
            </w:r>
          </w:p>
        </w:tc>
        <w:tc>
          <w:tcPr/>
          <w:p>
            <w:pPr>
              <w:pStyle w:val="Compact"/>
            </w:pPr>
            <w:r>
              <w:t xml:space="preserve">o</w:t>
            </w:r>
          </w:p>
        </w:tc>
        <w:tc>
          <w:tcPr/>
          <w:p>
            <w:pPr>
              <w:pStyle w:val="Compact"/>
            </w:pPr>
            <w:r>
              <w:t xml:space="preserve">μ</w:t>
            </w:r>
          </w:p>
        </w:tc>
        <w:tc>
          <w:tcPr/>
          <w:p>
            <w:pPr>
              <w:pStyle w:val="Compact"/>
            </w:pPr>
            <w:r>
              <w:t xml:space="preserve">σ</w:t>
            </w:r>
          </w:p>
        </w:tc>
        <w:tc>
          <w:tcPr/>
          <w:p>
            <w:pPr>
              <w:pStyle w:val="Compact"/>
            </w:pPr>
            <w:r>
              <w:t xml:space="preserve">Q*</w:t>
            </w:r>
          </w:p>
        </w:tc>
      </w:tr>
      <w:tr>
        <w:tc>
          <w:tcPr/>
          <w:p>
            <w:pPr>
              <w:pStyle w:val="Compact"/>
            </w:pPr>
            <w:r>
              <w:t xml:space="preserve">Conesus</w:t>
            </w:r>
          </w:p>
        </w:tc>
        <w:tc>
          <w:tcPr/>
          <w:p>
            <w:pPr>
              <w:pStyle w:val="Compact"/>
            </w:pPr>
            <w:r>
              <w:t xml:space="preserve">$90</w:t>
            </w:r>
          </w:p>
        </w:tc>
        <w:tc>
          <w:tcPr/>
          <w:p>
            <w:pPr>
              <w:pStyle w:val="Compact"/>
            </w:pPr>
            <w:r>
              <w:t xml:space="preserve">$27.00</w:t>
            </w:r>
          </w:p>
        </w:tc>
        <w:tc>
          <w:tcPr/>
          <w:p>
            <w:pPr>
              <w:pStyle w:val="Compact"/>
            </w:pPr>
            <w:r>
              <w:t xml:space="preserve">$9.00</w:t>
            </w:r>
          </w:p>
        </w:tc>
        <w:tc>
          <w:tcPr/>
          <w:p>
            <w:pPr>
              <w:pStyle w:val="Compact"/>
            </w:pPr>
            <w:r>
              <w:t xml:space="preserve">3,000</w:t>
            </w:r>
          </w:p>
        </w:tc>
        <w:tc>
          <w:tcPr/>
          <w:p>
            <w:pPr>
              <w:pStyle w:val="Compact"/>
            </w:pPr>
            <w:r>
              <w:t xml:space="preserve">2,000</w:t>
            </w:r>
          </w:p>
        </w:tc>
        <w:tc>
          <w:tcPr/>
          <w:p>
            <w:pPr>
              <w:pStyle w:val="Compact"/>
            </w:pPr>
            <w:r>
              <w:rPr>
                <w:b/>
                <w:bCs/>
              </w:rPr>
              <w:t xml:space="preserve">4,349.0</w:t>
            </w:r>
          </w:p>
        </w:tc>
      </w:tr>
      <w:tr>
        <w:tc>
          <w:tcPr/>
          <w:p>
            <w:pPr>
              <w:pStyle w:val="Compact"/>
            </w:pPr>
            <w:r>
              <w:t xml:space="preserve">Hemlock</w:t>
            </w:r>
          </w:p>
        </w:tc>
        <w:tc>
          <w:tcPr/>
          <w:p>
            <w:pPr>
              <w:pStyle w:val="Compact"/>
            </w:pPr>
            <w:r>
              <w:t xml:space="preserve">$90</w:t>
            </w:r>
          </w:p>
        </w:tc>
        <w:tc>
          <w:tcPr/>
          <w:p>
            <w:pPr>
              <w:pStyle w:val="Compact"/>
            </w:pPr>
            <w:r>
              <w:t xml:space="preserve">$27.00</w:t>
            </w:r>
          </w:p>
        </w:tc>
        <w:tc>
          <w:tcPr/>
          <w:p>
            <w:pPr>
              <w:pStyle w:val="Compact"/>
            </w:pPr>
            <w:r>
              <w:t xml:space="preserve">$9.00</w:t>
            </w:r>
          </w:p>
        </w:tc>
        <w:tc>
          <w:tcPr/>
          <w:p>
            <w:pPr>
              <w:pStyle w:val="Compact"/>
            </w:pPr>
            <w:r>
              <w:t xml:space="preserve">2,500</w:t>
            </w:r>
          </w:p>
        </w:tc>
        <w:tc>
          <w:tcPr/>
          <w:p>
            <w:pPr>
              <w:pStyle w:val="Compact"/>
            </w:pPr>
            <w:r>
              <w:t xml:space="preserve">600</w:t>
            </w:r>
          </w:p>
        </w:tc>
        <w:tc>
          <w:tcPr/>
          <w:p>
            <w:pPr>
              <w:pStyle w:val="Compact"/>
            </w:pPr>
            <w:r>
              <w:rPr>
                <w:b/>
                <w:bCs/>
              </w:rPr>
              <w:t xml:space="preserve">2,904.7</w:t>
            </w:r>
          </w:p>
        </w:tc>
      </w:tr>
      <w:tr>
        <w:tc>
          <w:tcPr/>
          <w:p>
            <w:pPr>
              <w:pStyle w:val="Compact"/>
            </w:pPr>
            <w:r>
              <w:t xml:space="preserve">Canadice</w:t>
            </w:r>
          </w:p>
        </w:tc>
        <w:tc>
          <w:tcPr/>
          <w:p>
            <w:pPr>
              <w:pStyle w:val="Compact"/>
            </w:pPr>
            <w:r>
              <w:t xml:space="preserve">$150</w:t>
            </w:r>
          </w:p>
        </w:tc>
        <w:tc>
          <w:tcPr/>
          <w:p>
            <w:pPr>
              <w:pStyle w:val="Compact"/>
            </w:pPr>
            <w:r>
              <w:t xml:space="preserve">$45.00</w:t>
            </w:r>
          </w:p>
        </w:tc>
        <w:tc>
          <w:tcPr/>
          <w:p>
            <w:pPr>
              <w:pStyle w:val="Compact"/>
            </w:pPr>
            <w:r>
              <w:t xml:space="preserve">$15.00</w:t>
            </w:r>
          </w:p>
        </w:tc>
        <w:tc>
          <w:tcPr/>
          <w:p>
            <w:pPr>
              <w:pStyle w:val="Compact"/>
            </w:pPr>
            <w:r>
              <w:t xml:space="preserve">2,000</w:t>
            </w:r>
          </w:p>
        </w:tc>
        <w:tc>
          <w:tcPr/>
          <w:p>
            <w:pPr>
              <w:pStyle w:val="Compact"/>
            </w:pPr>
            <w:r>
              <w:t xml:space="preserve">1,400</w:t>
            </w:r>
          </w:p>
        </w:tc>
        <w:tc>
          <w:tcPr/>
          <w:p>
            <w:pPr>
              <w:pStyle w:val="Compact"/>
            </w:pPr>
            <w:r>
              <w:rPr>
                <w:b/>
                <w:bCs/>
              </w:rPr>
              <w:t xml:space="preserve">2,944.3</w:t>
            </w:r>
          </w:p>
        </w:tc>
      </w:tr>
      <w:tr>
        <w:tc>
          <w:tcPr/>
          <w:p>
            <w:pPr>
              <w:pStyle w:val="Compact"/>
            </w:pPr>
            <w:r>
              <w:t xml:space="preserve">Honeoye</w:t>
            </w:r>
          </w:p>
        </w:tc>
        <w:tc>
          <w:tcPr/>
          <w:p>
            <w:pPr>
              <w:pStyle w:val="Compact"/>
            </w:pPr>
            <w:r>
              <w:t xml:space="preserve">$170</w:t>
            </w:r>
          </w:p>
        </w:tc>
        <w:tc>
          <w:tcPr/>
          <w:p>
            <w:pPr>
              <w:pStyle w:val="Compact"/>
            </w:pPr>
            <w:r>
              <w:t xml:space="preserve">$51.00</w:t>
            </w:r>
          </w:p>
        </w:tc>
        <w:tc>
          <w:tcPr/>
          <w:p>
            <w:pPr>
              <w:pStyle w:val="Compact"/>
            </w:pPr>
            <w:r>
              <w:t xml:space="preserve">$17.00</w:t>
            </w:r>
          </w:p>
        </w:tc>
        <w:tc>
          <w:tcPr/>
          <w:p>
            <w:pPr>
              <w:pStyle w:val="Compact"/>
            </w:pPr>
            <w:r>
              <w:t xml:space="preserve">2,000</w:t>
            </w:r>
          </w:p>
        </w:tc>
        <w:tc>
          <w:tcPr/>
          <w:p>
            <w:pPr>
              <w:pStyle w:val="Compact"/>
            </w:pPr>
            <w:r>
              <w:t xml:space="preserve">800</w:t>
            </w:r>
          </w:p>
        </w:tc>
        <w:tc>
          <w:tcPr/>
          <w:p>
            <w:pPr>
              <w:pStyle w:val="Compact"/>
            </w:pPr>
            <w:r>
              <w:rPr>
                <w:b/>
                <w:bCs/>
              </w:rPr>
              <w:t xml:space="preserve">2,539.6</w:t>
            </w:r>
          </w:p>
        </w:tc>
      </w:tr>
      <w:tr>
        <w:tc>
          <w:tcPr/>
          <w:p>
            <w:pPr>
              <w:pStyle w:val="Compact"/>
            </w:pPr>
            <w:r>
              <w:t xml:space="preserve">Canandaigua</w:t>
            </w:r>
          </w:p>
        </w:tc>
        <w:tc>
          <w:tcPr/>
          <w:p>
            <w:pPr>
              <w:pStyle w:val="Compact"/>
            </w:pPr>
            <w:r>
              <w:t xml:space="preserve">$80</w:t>
            </w:r>
          </w:p>
        </w:tc>
        <w:tc>
          <w:tcPr/>
          <w:p>
            <w:pPr>
              <w:pStyle w:val="Compact"/>
            </w:pPr>
            <w:r>
              <w:t xml:space="preserve">$24.00</w:t>
            </w:r>
          </w:p>
        </w:tc>
        <w:tc>
          <w:tcPr/>
          <w:p>
            <w:pPr>
              <w:pStyle w:val="Compact"/>
            </w:pPr>
            <w:r>
              <w:t xml:space="preserve">$8.00</w:t>
            </w:r>
          </w:p>
        </w:tc>
        <w:tc>
          <w:tcPr/>
          <w:p>
            <w:pPr>
              <w:pStyle w:val="Compact"/>
            </w:pPr>
            <w:r>
              <w:t xml:space="preserve">1,250</w:t>
            </w:r>
          </w:p>
        </w:tc>
        <w:tc>
          <w:tcPr/>
          <w:p>
            <w:pPr>
              <w:pStyle w:val="Compact"/>
            </w:pPr>
            <w:r>
              <w:t xml:space="preserve">500</w:t>
            </w:r>
          </w:p>
        </w:tc>
        <w:tc>
          <w:tcPr/>
          <w:p>
            <w:pPr>
              <w:pStyle w:val="Compact"/>
            </w:pPr>
            <w:r>
              <w:rPr>
                <w:b/>
                <w:bCs/>
              </w:rPr>
              <w:t xml:space="preserve">1,587.2</w:t>
            </w:r>
          </w:p>
        </w:tc>
      </w:tr>
      <w:tr>
        <w:tc>
          <w:tcPr/>
          <w:p>
            <w:pPr>
              <w:pStyle w:val="Compact"/>
            </w:pPr>
            <w:r>
              <w:t xml:space="preserve">Keuka</w:t>
            </w:r>
          </w:p>
        </w:tc>
        <w:tc>
          <w:tcPr/>
          <w:p>
            <w:pPr>
              <w:pStyle w:val="Compact"/>
            </w:pPr>
            <w:r>
              <w:t xml:space="preserve">$110</w:t>
            </w:r>
          </w:p>
        </w:tc>
        <w:tc>
          <w:tcPr/>
          <w:p>
            <w:pPr>
              <w:pStyle w:val="Compact"/>
            </w:pPr>
            <w:r>
              <w:t xml:space="preserve">$33.00</w:t>
            </w:r>
          </w:p>
        </w:tc>
        <w:tc>
          <w:tcPr/>
          <w:p>
            <w:pPr>
              <w:pStyle w:val="Compact"/>
            </w:pPr>
            <w:r>
              <w:t xml:space="preserve">$11.00</w:t>
            </w:r>
          </w:p>
        </w:tc>
        <w:tc>
          <w:tcPr/>
          <w:p>
            <w:pPr>
              <w:pStyle w:val="Compact"/>
            </w:pPr>
            <w:r>
              <w:t xml:space="preserve">1,000</w:t>
            </w:r>
          </w:p>
        </w:tc>
        <w:tc>
          <w:tcPr/>
          <w:p>
            <w:pPr>
              <w:pStyle w:val="Compact"/>
            </w:pPr>
            <w:r>
              <w:t xml:space="preserve">400</w:t>
            </w:r>
          </w:p>
        </w:tc>
        <w:tc>
          <w:tcPr/>
          <w:p>
            <w:pPr>
              <w:pStyle w:val="Compact"/>
            </w:pPr>
            <w:r>
              <w:rPr>
                <w:b/>
                <w:bCs/>
              </w:rPr>
              <w:t xml:space="preserve">1,269.8</w:t>
            </w:r>
          </w:p>
        </w:tc>
      </w:tr>
      <w:tr>
        <w:tc>
          <w:tcPr/>
          <w:p>
            <w:pPr>
              <w:pStyle w:val="Compact"/>
            </w:pPr>
            <w:r>
              <w:t xml:space="preserve">Seneca</w:t>
            </w:r>
          </w:p>
        </w:tc>
        <w:tc>
          <w:tcPr/>
          <w:p>
            <w:pPr>
              <w:pStyle w:val="Compact"/>
            </w:pPr>
            <w:r>
              <w:t xml:space="preserve">$100</w:t>
            </w:r>
          </w:p>
        </w:tc>
        <w:tc>
          <w:tcPr/>
          <w:p>
            <w:pPr>
              <w:pStyle w:val="Compact"/>
            </w:pPr>
            <w:r>
              <w:t xml:space="preserve">$30.00</w:t>
            </w:r>
          </w:p>
        </w:tc>
        <w:tc>
          <w:tcPr/>
          <w:p>
            <w:pPr>
              <w:pStyle w:val="Compact"/>
            </w:pPr>
            <w:r>
              <w:t xml:space="preserve">$10.00</w:t>
            </w:r>
          </w:p>
        </w:tc>
        <w:tc>
          <w:tcPr/>
          <w:p>
            <w:pPr>
              <w:pStyle w:val="Compact"/>
            </w:pPr>
            <w:r>
              <w:t xml:space="preserve">1,000</w:t>
            </w:r>
          </w:p>
        </w:tc>
        <w:tc>
          <w:tcPr/>
          <w:p>
            <w:pPr>
              <w:pStyle w:val="Compact"/>
            </w:pPr>
            <w:r>
              <w:t xml:space="preserve">600</w:t>
            </w:r>
          </w:p>
        </w:tc>
        <w:tc>
          <w:tcPr/>
          <w:p>
            <w:pPr>
              <w:pStyle w:val="Compact"/>
            </w:pPr>
            <w:r>
              <w:rPr>
                <w:b/>
                <w:bCs/>
              </w:rPr>
              <w:t xml:space="preserve">1,404.7</w:t>
            </w:r>
          </w:p>
        </w:tc>
      </w:tr>
      <w:tr>
        <w:tc>
          <w:tcPr/>
          <w:p>
            <w:pPr>
              <w:pStyle w:val="Compact"/>
            </w:pPr>
            <w:r>
              <w:t xml:space="preserve">Cayuga</w:t>
            </w:r>
          </w:p>
        </w:tc>
        <w:tc>
          <w:tcPr/>
          <w:p>
            <w:pPr>
              <w:pStyle w:val="Compact"/>
            </w:pPr>
            <w:r>
              <w:t xml:space="preserve">$70</w:t>
            </w:r>
          </w:p>
        </w:tc>
        <w:tc>
          <w:tcPr/>
          <w:p>
            <w:pPr>
              <w:pStyle w:val="Compact"/>
            </w:pPr>
            <w:r>
              <w:t xml:space="preserve">$21.00</w:t>
            </w:r>
          </w:p>
        </w:tc>
        <w:tc>
          <w:tcPr/>
          <w:p>
            <w:pPr>
              <w:pStyle w:val="Compact"/>
            </w:pPr>
            <w:r>
              <w:t xml:space="preserve">$7.00</w:t>
            </w:r>
          </w:p>
        </w:tc>
        <w:tc>
          <w:tcPr/>
          <w:p>
            <w:pPr>
              <w:pStyle w:val="Compact"/>
            </w:pPr>
            <w:r>
              <w:t xml:space="preserve">4,000</w:t>
            </w:r>
          </w:p>
        </w:tc>
        <w:tc>
          <w:tcPr/>
          <w:p>
            <w:pPr>
              <w:pStyle w:val="Compact"/>
            </w:pPr>
            <w:r>
              <w:t xml:space="preserve">1,100</w:t>
            </w:r>
          </w:p>
        </w:tc>
        <w:tc>
          <w:tcPr/>
          <w:p>
            <w:pPr>
              <w:pStyle w:val="Compact"/>
            </w:pPr>
            <w:r>
              <w:rPr>
                <w:b/>
                <w:bCs/>
              </w:rPr>
              <w:t xml:space="preserve">4,741.9</w:t>
            </w:r>
          </w:p>
        </w:tc>
      </w:tr>
      <w:tr>
        <w:tc>
          <w:tcPr/>
          <w:p>
            <w:pPr>
              <w:pStyle w:val="Compact"/>
            </w:pPr>
            <w:r>
              <w:t xml:space="preserve">Owasco</w:t>
            </w:r>
          </w:p>
        </w:tc>
        <w:tc>
          <w:tcPr/>
          <w:p>
            <w:pPr>
              <w:pStyle w:val="Compact"/>
            </w:pPr>
            <w:r>
              <w:t xml:space="preserve">$130</w:t>
            </w:r>
          </w:p>
        </w:tc>
        <w:tc>
          <w:tcPr/>
          <w:p>
            <w:pPr>
              <w:pStyle w:val="Compact"/>
            </w:pPr>
            <w:r>
              <w:t xml:space="preserve">$39.00</w:t>
            </w:r>
          </w:p>
        </w:tc>
        <w:tc>
          <w:tcPr/>
          <w:p>
            <w:pPr>
              <w:pStyle w:val="Compact"/>
            </w:pPr>
            <w:r>
              <w:t xml:space="preserve">$13.00</w:t>
            </w:r>
          </w:p>
        </w:tc>
        <w:tc>
          <w:tcPr/>
          <w:p>
            <w:pPr>
              <w:pStyle w:val="Compact"/>
            </w:pPr>
            <w:r>
              <w:t xml:space="preserve">1,000</w:t>
            </w:r>
          </w:p>
        </w:tc>
        <w:tc>
          <w:tcPr/>
          <w:p>
            <w:pPr>
              <w:pStyle w:val="Compact"/>
            </w:pPr>
            <w:r>
              <w:t xml:space="preserve">1,000</w:t>
            </w:r>
          </w:p>
        </w:tc>
        <w:tc>
          <w:tcPr/>
          <w:p>
            <w:pPr>
              <w:pStyle w:val="Compact"/>
            </w:pPr>
            <w:r>
              <w:rPr>
                <w:b/>
                <w:bCs/>
              </w:rPr>
              <w:t xml:space="preserve">1,674.5</w:t>
            </w:r>
          </w:p>
        </w:tc>
      </w:tr>
      <w:tr>
        <w:tc>
          <w:tcPr/>
          <w:p>
            <w:pPr>
              <w:pStyle w:val="Compact"/>
            </w:pPr>
            <w:r>
              <w:t xml:space="preserve">Skaneateles</w:t>
            </w:r>
          </w:p>
        </w:tc>
        <w:tc>
          <w:tcPr/>
          <w:p>
            <w:pPr>
              <w:pStyle w:val="Compact"/>
            </w:pPr>
            <w:r>
              <w:t xml:space="preserve">$120</w:t>
            </w:r>
          </w:p>
        </w:tc>
        <w:tc>
          <w:tcPr/>
          <w:p>
            <w:pPr>
              <w:pStyle w:val="Compact"/>
            </w:pPr>
            <w:r>
              <w:t xml:space="preserve">$36.00</w:t>
            </w:r>
          </w:p>
        </w:tc>
        <w:tc>
          <w:tcPr/>
          <w:p>
            <w:pPr>
              <w:pStyle w:val="Compact"/>
            </w:pPr>
            <w:r>
              <w:t xml:space="preserve">$12.00</w:t>
            </w:r>
          </w:p>
        </w:tc>
        <w:tc>
          <w:tcPr/>
          <w:p>
            <w:pPr>
              <w:pStyle w:val="Compact"/>
            </w:pPr>
            <w:r>
              <w:t xml:space="preserve">1,000</w:t>
            </w:r>
          </w:p>
        </w:tc>
        <w:tc>
          <w:tcPr/>
          <w:p>
            <w:pPr>
              <w:pStyle w:val="Compact"/>
            </w:pPr>
            <w:r>
              <w:t xml:space="preserve">700</w:t>
            </w:r>
          </w:p>
        </w:tc>
        <w:tc>
          <w:tcPr/>
          <w:p>
            <w:pPr>
              <w:pStyle w:val="Compact"/>
            </w:pPr>
            <w:r>
              <w:rPr>
                <w:b/>
                <w:bCs/>
              </w:rPr>
              <w:t xml:space="preserve">1,472.1</w:t>
            </w:r>
          </w:p>
        </w:tc>
      </w:tr>
      <w:tr>
        <w:tc>
          <w:tcPr/>
          <w:p>
            <w:pPr>
              <w:pStyle w:val="Compact"/>
            </w:pPr>
            <w:r>
              <w:t xml:space="preserve">Otisco</w:t>
            </w:r>
          </w:p>
        </w:tc>
        <w:tc>
          <w:tcPr/>
          <w:p>
            <w:pPr>
              <w:pStyle w:val="Compact"/>
            </w:pPr>
            <w:r>
              <w:t xml:space="preserve">$100</w:t>
            </w:r>
          </w:p>
        </w:tc>
        <w:tc>
          <w:tcPr/>
          <w:p>
            <w:pPr>
              <w:pStyle w:val="Compact"/>
            </w:pPr>
            <w:r>
              <w:t xml:space="preserve">$30.00</w:t>
            </w:r>
          </w:p>
        </w:tc>
        <w:tc>
          <w:tcPr/>
          <w:p>
            <w:pPr>
              <w:pStyle w:val="Compact"/>
            </w:pPr>
            <w:r>
              <w:t xml:space="preserve">$10.00</w:t>
            </w:r>
          </w:p>
        </w:tc>
        <w:tc>
          <w:tcPr/>
          <w:p>
            <w:pPr>
              <w:pStyle w:val="Compact"/>
            </w:pPr>
            <w:r>
              <w:t xml:space="preserve">1,250</w:t>
            </w:r>
          </w:p>
        </w:tc>
        <w:tc>
          <w:tcPr/>
          <w:p>
            <w:pPr>
              <w:pStyle w:val="Compact"/>
            </w:pPr>
            <w:r>
              <w:t xml:space="preserve">750</w:t>
            </w:r>
          </w:p>
        </w:tc>
        <w:tc>
          <w:tcPr/>
          <w:p>
            <w:pPr>
              <w:pStyle w:val="Compact"/>
            </w:pPr>
            <w:r>
              <w:rPr>
                <w:b/>
                <w:bCs/>
              </w:rPr>
              <w:t xml:space="preserve">1,755.9</w:t>
            </w:r>
          </w:p>
        </w:tc>
      </w:tr>
    </w:tbl>
    <w:p>
      <w:pPr>
        <w:pStyle w:val="BodyText"/>
      </w:pPr>
      <w:r>
        <w:rPr>
          <w:b/>
          <w:bCs/>
        </w:rPr>
        <w:t xml:space="preserve">Total unconstrained capacity required: 26,643.7 units</w:t>
      </w:r>
    </w:p>
    <w:p>
      <w:pPr>
        <w:pStyle w:val="BodyText"/>
      </w:pPr>
      <w:r>
        <w:t xml:space="preserve">A few things worth noting: the critical fractile is the same across the board, but Q* still varies a lot between products — entirely driven by differences in μ and σ. Conesus and Cayuga end up with the highest Q* values because they have both large means and large standard deviations, so the z-buffer adds a lot of units. Keuka comes in lowest because it has a small mean and relatively tight demand spread.</w:t>
      </w:r>
    </w:p>
    <w:p>
      <w:r>
        <w:pict>
          <v:rect style="width:0;height:1.5pt" o:hralign="center" o:hrstd="t" o:hr="t"/>
        </w:pict>
      </w:r>
    </w:p>
    <w:bookmarkEnd w:id="10"/>
    <w:bookmarkEnd w:id="11"/>
    <w:bookmarkStart w:id="15" w:name="X5e095910f404f2f177a2c4c71b6cc8854d92a92"/>
    <w:p>
      <w:pPr>
        <w:pStyle w:val="Heading2"/>
      </w:pPr>
      <w:r>
        <w:t xml:space="preserve">Part Two — Optimal Production Quantity with Capacity Limit (20,000 units)</w:t>
      </w:r>
    </w:p>
    <w:bookmarkStart w:id="12" w:name="solution-steps-1"/>
    <w:p>
      <w:pPr>
        <w:pStyle w:val="Heading3"/>
      </w:pPr>
      <w:r>
        <w:t xml:space="preserve">Solution Steps</w:t>
      </w:r>
    </w:p>
    <w:p>
      <w:pPr>
        <w:pStyle w:val="FirstParagraph"/>
      </w:pPr>
      <w:r>
        <w:t xml:space="preserve">The unconstrained total was ~26,644 units but we only have</w:t>
      </w:r>
      <w:r>
        <w:t xml:space="preserve"> </w:t>
      </w:r>
      <w:r>
        <w:rPr>
          <w:b/>
          <w:bCs/>
        </w:rPr>
        <w:t xml:space="preserve">20,000</w:t>
      </w:r>
      <w:r>
        <w:t xml:space="preserve"> </w:t>
      </w:r>
      <w:r>
        <w:t xml:space="preserve">to work with. That’s a ~25% cut, so we can’t just give each product its standalone Q*. We need to allocate capacity rationally.</w:t>
      </w:r>
    </w:p>
    <w:p>
      <w:pPr>
        <w:pStyle w:val="BodyText"/>
      </w:pPr>
      <w:r>
        <w:t xml:space="preserve">The mechanism is the</w:t>
      </w:r>
      <w:r>
        <w:t xml:space="preserve"> </w:t>
      </w:r>
      <w:r>
        <w:rPr>
          <w:b/>
          <w:bCs/>
        </w:rPr>
        <w:t xml:space="preserve">shadow price of capacity, θ</w:t>
      </w:r>
      <w:r>
        <w:t xml:space="preserve">. Think of θ as a tax on production — it gets added to the effective overage cost and subtracted from the effective underage cost for every product simultaneously, shifting all CFs down until total demand exactly equals 20,000. The adjusted critical fractile for each product becomes:</w:t>
      </w:r>
    </w:p>
    <w:p>
      <w:pPr>
        <w:pStyle w:val="BodyText"/>
      </w:pPr>
      <m:oMathPara>
        <m:oMathParaPr>
          <m:jc m:val="center"/>
        </m:oMathParaPr>
        <m:oMath>
          <m:r>
            <m:t>C</m:t>
          </m:r>
          <m:sSub>
            <m:e>
              <m:r>
                <m:t>F</m:t>
              </m:r>
            </m:e>
            <m:sub>
              <m:r>
                <m:t>i</m:t>
              </m:r>
            </m:sub>
          </m:sSub>
          <m:r>
            <m:rPr>
              <m:sty m:val="p"/>
            </m:rPr>
            <m:t>(</m:t>
          </m:r>
          <m:r>
            <m:t>θ</m:t>
          </m:r>
          <m:r>
            <m:rPr>
              <m:sty m:val="p"/>
            </m:rPr>
            <m:t>)</m:t>
          </m:r>
          <m:r>
            <m:rPr>
              <m:sty m:val="p"/>
            </m:rPr>
            <m:t>=</m:t>
          </m:r>
          <m:f>
            <m:fPr>
              <m:type m:val="bar"/>
            </m:fPr>
            <m:num>
              <m:sSub>
                <m:e>
                  <m:r>
                    <m:t>u</m:t>
                  </m:r>
                </m:e>
                <m:sub>
                  <m:r>
                    <m:t>i</m:t>
                  </m:r>
                </m:sub>
              </m:sSub>
              <m:r>
                <m:rPr>
                  <m:sty m:val="p"/>
                </m:rPr>
                <m:t>−</m:t>
              </m:r>
              <m:r>
                <m:t>θ</m:t>
              </m:r>
            </m:num>
            <m:den>
              <m:sSub>
                <m:e>
                  <m:r>
                    <m:t>u</m:t>
                  </m:r>
                </m:e>
                <m:sub>
                  <m:r>
                    <m:t>i</m:t>
                  </m:r>
                </m:sub>
              </m:sSub>
              <m:r>
                <m:rPr>
                  <m:sty m:val="p"/>
                </m:rPr>
                <m:t>+</m:t>
              </m:r>
              <m:sSub>
                <m:e>
                  <m:r>
                    <m:t>o</m:t>
                  </m:r>
                </m:e>
                <m:sub>
                  <m:r>
                    <m:t>i</m:t>
                  </m:r>
                </m:sub>
              </m:sSub>
            </m:den>
          </m:f>
        </m:oMath>
      </m:oMathPara>
    </w:p>
    <w:p>
      <w:pPr>
        <w:pStyle w:val="FirstParagraph"/>
      </w:pPr>
      <w:r>
        <w:t xml:space="preserve">We solve for θ using bisection (same idea as Excel’s Goal Seek, just not Excel). The result:</w:t>
      </w:r>
    </w:p>
    <w:p>
      <w:pPr>
        <w:pStyle w:val="BodyText"/>
      </w:pPr>
      <m:oMathPara>
        <m:oMathParaPr>
          <m:jc m:val="center"/>
        </m:oMathParaPr>
        <m:oMath>
          <m:borderBox>
            <m:e>
              <m:r>
                <m:t>θ</m:t>
              </m:r>
              <m:r>
                <m:rPr>
                  <m:sty m:val="p"/>
                </m:rPr>
                <m:t>=</m:t>
              </m:r>
              <m:r>
                <m:t>10.31</m:t>
              </m:r>
            </m:e>
          </m:borderBox>
        </m:oMath>
      </m:oMathPara>
    </w:p>
    <w:p>
      <w:pPr>
        <w:pStyle w:val="FirstParagraph"/>
      </w:pPr>
      <w:r>
        <w:t xml:space="preserve">This means one additional unit of capacity is worth about</w:t>
      </w:r>
      <w:r>
        <w:t xml:space="preserve"> </w:t>
      </w:r>
      <w:r>
        <w:rPr>
          <w:b/>
          <w:bCs/>
        </w:rPr>
        <w:t xml:space="preserve">$10.31</w:t>
      </w:r>
      <w:r>
        <w:t xml:space="preserve"> </w:t>
      </w:r>
      <w:r>
        <w:t xml:space="preserve">to FLA — that’s the marginal value of relaxing the capacity constraint by one unit.</w:t>
      </w:r>
    </w:p>
    <w:p>
      <w:pPr>
        <w:pStyle w:val="BodyText"/>
      </w:pPr>
      <w:r>
        <w:t xml:space="preserve">Optimal constrained quantities: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w:t>
            </w:r>
          </w:p>
        </w:tc>
        <w:tc>
          <w:tcPr/>
          <w:p>
            <w:pPr>
              <w:pStyle w:val="Compact"/>
            </w:pPr>
            <w:r>
              <w:t xml:space="preserve">CF (unconstrained)</w:t>
            </w:r>
          </w:p>
        </w:tc>
        <w:tc>
          <w:tcPr/>
          <w:p>
            <w:pPr>
              <w:pStyle w:val="Compact"/>
            </w:pPr>
            <w:r>
              <w:t xml:space="preserve">CF (constrained)</w:t>
            </w:r>
          </w:p>
        </w:tc>
        <w:tc>
          <w:tcPr/>
          <w:p>
            <w:pPr>
              <w:pStyle w:val="Compact"/>
            </w:pPr>
            <w:r>
              <w:t xml:space="preserve">Q* (constrained)</w:t>
            </w:r>
          </w:p>
        </w:tc>
      </w:tr>
      <w:tr>
        <w:tc>
          <w:tcPr/>
          <w:p>
            <w:pPr>
              <w:pStyle w:val="Compact"/>
            </w:pPr>
            <w:r>
              <w:t xml:space="preserve">Conesus</w:t>
            </w:r>
          </w:p>
        </w:tc>
        <w:tc>
          <w:tcPr/>
          <w:p>
            <w:pPr>
              <w:pStyle w:val="Compact"/>
            </w:pPr>
            <w:r>
              <w:t xml:space="preserve">0.7500</w:t>
            </w:r>
          </w:p>
        </w:tc>
        <w:tc>
          <w:tcPr/>
          <w:p>
            <w:pPr>
              <w:pStyle w:val="Compact"/>
            </w:pPr>
            <w:r>
              <w:t xml:space="preserve">0.4637</w:t>
            </w:r>
          </w:p>
        </w:tc>
        <w:tc>
          <w:tcPr/>
          <w:p>
            <w:pPr>
              <w:pStyle w:val="Compact"/>
            </w:pPr>
            <w:r>
              <w:t xml:space="preserve">2,817.9</w:t>
            </w:r>
          </w:p>
        </w:tc>
      </w:tr>
      <w:tr>
        <w:tc>
          <w:tcPr/>
          <w:p>
            <w:pPr>
              <w:pStyle w:val="Compact"/>
            </w:pPr>
            <w:r>
              <w:t xml:space="preserve">Hemlock</w:t>
            </w:r>
          </w:p>
        </w:tc>
        <w:tc>
          <w:tcPr/>
          <w:p>
            <w:pPr>
              <w:pStyle w:val="Compact"/>
            </w:pPr>
            <w:r>
              <w:t xml:space="preserve">0.7500</w:t>
            </w:r>
          </w:p>
        </w:tc>
        <w:tc>
          <w:tcPr/>
          <w:p>
            <w:pPr>
              <w:pStyle w:val="Compact"/>
            </w:pPr>
            <w:r>
              <w:t xml:space="preserve">0.4637</w:t>
            </w:r>
          </w:p>
        </w:tc>
        <w:tc>
          <w:tcPr/>
          <w:p>
            <w:pPr>
              <w:pStyle w:val="Compact"/>
            </w:pPr>
            <w:r>
              <w:t xml:space="preserve">2,445.4</w:t>
            </w:r>
          </w:p>
        </w:tc>
      </w:tr>
      <w:tr>
        <w:tc>
          <w:tcPr/>
          <w:p>
            <w:pPr>
              <w:pStyle w:val="Compact"/>
            </w:pPr>
            <w:r>
              <w:t xml:space="preserve">Canadice</w:t>
            </w:r>
          </w:p>
        </w:tc>
        <w:tc>
          <w:tcPr/>
          <w:p>
            <w:pPr>
              <w:pStyle w:val="Compact"/>
            </w:pPr>
            <w:r>
              <w:t xml:space="preserve">0.7500</w:t>
            </w:r>
          </w:p>
        </w:tc>
        <w:tc>
          <w:tcPr/>
          <w:p>
            <w:pPr>
              <w:pStyle w:val="Compact"/>
            </w:pPr>
            <w:r>
              <w:t xml:space="preserve">0.5782</w:t>
            </w:r>
          </w:p>
        </w:tc>
        <w:tc>
          <w:tcPr/>
          <w:p>
            <w:pPr>
              <w:pStyle w:val="Compact"/>
            </w:pPr>
            <w:r>
              <w:t xml:space="preserve">2,276.3</w:t>
            </w:r>
          </w:p>
        </w:tc>
      </w:tr>
      <w:tr>
        <w:tc>
          <w:tcPr/>
          <w:p>
            <w:pPr>
              <w:pStyle w:val="Compact"/>
            </w:pPr>
            <w:r>
              <w:t xml:space="preserve">Honeoye</w:t>
            </w:r>
          </w:p>
        </w:tc>
        <w:tc>
          <w:tcPr/>
          <w:p>
            <w:pPr>
              <w:pStyle w:val="Compact"/>
            </w:pPr>
            <w:r>
              <w:t xml:space="preserve">0.7500</w:t>
            </w:r>
          </w:p>
        </w:tc>
        <w:tc>
          <w:tcPr/>
          <w:p>
            <w:pPr>
              <w:pStyle w:val="Compact"/>
            </w:pPr>
            <w:r>
              <w:rPr>
                <w:b/>
                <w:bCs/>
              </w:rPr>
              <w:t xml:space="preserve">0.5984</w:t>
            </w:r>
          </w:p>
        </w:tc>
        <w:tc>
          <w:tcPr/>
          <w:p>
            <w:pPr>
              <w:pStyle w:val="Compact"/>
            </w:pPr>
            <w:r>
              <w:t xml:space="preserve">2,199.5</w:t>
            </w:r>
          </w:p>
        </w:tc>
      </w:tr>
      <w:tr>
        <w:tc>
          <w:tcPr/>
          <w:p>
            <w:pPr>
              <w:pStyle w:val="Compact"/>
            </w:pPr>
            <w:r>
              <w:t xml:space="preserve">Canandaigua</w:t>
            </w:r>
          </w:p>
        </w:tc>
        <w:tc>
          <w:tcPr/>
          <w:p>
            <w:pPr>
              <w:pStyle w:val="Compact"/>
            </w:pPr>
            <w:r>
              <w:t xml:space="preserve">0.7500</w:t>
            </w:r>
          </w:p>
        </w:tc>
        <w:tc>
          <w:tcPr/>
          <w:p>
            <w:pPr>
              <w:pStyle w:val="Compact"/>
            </w:pPr>
            <w:r>
              <w:t xml:space="preserve">0.4279</w:t>
            </w:r>
          </w:p>
        </w:tc>
        <w:tc>
          <w:tcPr/>
          <w:p>
            <w:pPr>
              <w:pStyle w:val="Compact"/>
            </w:pPr>
            <w:r>
              <w:t xml:space="preserve">1,159.2</w:t>
            </w:r>
          </w:p>
        </w:tc>
      </w:tr>
      <w:tr>
        <w:tc>
          <w:tcPr/>
          <w:p>
            <w:pPr>
              <w:pStyle w:val="Compact"/>
            </w:pPr>
            <w:r>
              <w:t xml:space="preserve">Keuka</w:t>
            </w:r>
          </w:p>
        </w:tc>
        <w:tc>
          <w:tcPr/>
          <w:p>
            <w:pPr>
              <w:pStyle w:val="Compact"/>
            </w:pPr>
            <w:r>
              <w:t xml:space="preserve">0.7500</w:t>
            </w:r>
          </w:p>
        </w:tc>
        <w:tc>
          <w:tcPr/>
          <w:p>
            <w:pPr>
              <w:pStyle w:val="Compact"/>
            </w:pPr>
            <w:r>
              <w:t xml:space="preserve">0.5158</w:t>
            </w:r>
          </w:p>
        </w:tc>
        <w:tc>
          <w:tcPr/>
          <w:p>
            <w:pPr>
              <w:pStyle w:val="Compact"/>
            </w:pPr>
            <w:r>
              <w:t xml:space="preserve">1,015.8</w:t>
            </w:r>
          </w:p>
        </w:tc>
      </w:tr>
      <w:tr>
        <w:tc>
          <w:tcPr/>
          <w:p>
            <w:pPr>
              <w:pStyle w:val="Compact"/>
            </w:pPr>
            <w:r>
              <w:t xml:space="preserve">Seneca</w:t>
            </w:r>
          </w:p>
        </w:tc>
        <w:tc>
          <w:tcPr/>
          <w:p>
            <w:pPr>
              <w:pStyle w:val="Compact"/>
            </w:pPr>
            <w:r>
              <w:t xml:space="preserve">0.7500</w:t>
            </w:r>
          </w:p>
        </w:tc>
        <w:tc>
          <w:tcPr/>
          <w:p>
            <w:pPr>
              <w:pStyle w:val="Compact"/>
            </w:pPr>
            <w:r>
              <w:t xml:space="preserve">0.4924</w:t>
            </w:r>
          </w:p>
        </w:tc>
        <w:tc>
          <w:tcPr/>
          <w:p>
            <w:pPr>
              <w:pStyle w:val="Compact"/>
            </w:pPr>
            <w:r>
              <w:t xml:space="preserve">988.5</w:t>
            </w:r>
          </w:p>
        </w:tc>
      </w:tr>
      <w:tr>
        <w:tc>
          <w:tcPr/>
          <w:p>
            <w:pPr>
              <w:pStyle w:val="Compact"/>
            </w:pPr>
            <w:r>
              <w:t xml:space="preserve">Cayuga</w:t>
            </w:r>
          </w:p>
        </w:tc>
        <w:tc>
          <w:tcPr/>
          <w:p>
            <w:pPr>
              <w:pStyle w:val="Compact"/>
            </w:pPr>
            <w:r>
              <w:t xml:space="preserve">0.7500</w:t>
            </w:r>
          </w:p>
        </w:tc>
        <w:tc>
          <w:tcPr/>
          <w:p>
            <w:pPr>
              <w:pStyle w:val="Compact"/>
            </w:pPr>
            <w:r>
              <w:rPr>
                <w:b/>
                <w:bCs/>
              </w:rPr>
              <w:t xml:space="preserve">0.3819</w:t>
            </w:r>
          </w:p>
        </w:tc>
        <w:tc>
          <w:tcPr/>
          <w:p>
            <w:pPr>
              <w:pStyle w:val="Compact"/>
            </w:pPr>
            <w:r>
              <w:t xml:space="preserve">3,669.6</w:t>
            </w:r>
          </w:p>
        </w:tc>
      </w:tr>
      <w:tr>
        <w:tc>
          <w:tcPr/>
          <w:p>
            <w:pPr>
              <w:pStyle w:val="Compact"/>
            </w:pPr>
            <w:r>
              <w:t xml:space="preserve">Owasco</w:t>
            </w:r>
          </w:p>
        </w:tc>
        <w:tc>
          <w:tcPr/>
          <w:p>
            <w:pPr>
              <w:pStyle w:val="Compact"/>
            </w:pPr>
            <w:r>
              <w:t xml:space="preserve">0.7500</w:t>
            </w:r>
          </w:p>
        </w:tc>
        <w:tc>
          <w:tcPr/>
          <w:p>
            <w:pPr>
              <w:pStyle w:val="Compact"/>
            </w:pPr>
            <w:r>
              <w:t xml:space="preserve">0.5518</w:t>
            </w:r>
          </w:p>
        </w:tc>
        <w:tc>
          <w:tcPr/>
          <w:p>
            <w:pPr>
              <w:pStyle w:val="Compact"/>
            </w:pPr>
            <w:r>
              <w:t xml:space="preserve">1,130.2</w:t>
            </w:r>
          </w:p>
        </w:tc>
      </w:tr>
      <w:tr>
        <w:tc>
          <w:tcPr/>
          <w:p>
            <w:pPr>
              <w:pStyle w:val="Compact"/>
            </w:pPr>
            <w:r>
              <w:t xml:space="preserve">Skaneateles</w:t>
            </w:r>
          </w:p>
        </w:tc>
        <w:tc>
          <w:tcPr/>
          <w:p>
            <w:pPr>
              <w:pStyle w:val="Compact"/>
            </w:pPr>
            <w:r>
              <w:t xml:space="preserve">0.7500</w:t>
            </w:r>
          </w:p>
        </w:tc>
        <w:tc>
          <w:tcPr/>
          <w:p>
            <w:pPr>
              <w:pStyle w:val="Compact"/>
            </w:pPr>
            <w:r>
              <w:t xml:space="preserve">0.5353</w:t>
            </w:r>
          </w:p>
        </w:tc>
        <w:tc>
          <w:tcPr/>
          <w:p>
            <w:pPr>
              <w:pStyle w:val="Compact"/>
            </w:pPr>
            <w:r>
              <w:t xml:space="preserve">1,062.0</w:t>
            </w:r>
          </w:p>
        </w:tc>
      </w:tr>
      <w:tr>
        <w:tc>
          <w:tcPr/>
          <w:p>
            <w:pPr>
              <w:pStyle w:val="Compact"/>
            </w:pPr>
            <w:r>
              <w:t xml:space="preserve">Otisco</w:t>
            </w:r>
          </w:p>
        </w:tc>
        <w:tc>
          <w:tcPr/>
          <w:p>
            <w:pPr>
              <w:pStyle w:val="Compact"/>
            </w:pPr>
            <w:r>
              <w:t xml:space="preserve">0.7500</w:t>
            </w:r>
          </w:p>
        </w:tc>
        <w:tc>
          <w:tcPr/>
          <w:p>
            <w:pPr>
              <w:pStyle w:val="Compact"/>
            </w:pPr>
            <w:r>
              <w:t xml:space="preserve">0.4924</w:t>
            </w:r>
          </w:p>
        </w:tc>
        <w:tc>
          <w:tcPr/>
          <w:p>
            <w:pPr>
              <w:pStyle w:val="Compact"/>
            </w:pPr>
            <w:r>
              <w:t xml:space="preserve">1,235.6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20,000.0</w:t>
            </w:r>
            <w:r>
              <w:t xml:space="preserve"> </w:t>
            </w:r>
            <w:r>
              <w:t xml:space="preserve">✓</w:t>
            </w:r>
          </w:p>
        </w:tc>
      </w:tr>
    </w:tbl>
    <w:bookmarkEnd w:id="12"/>
    <w:bookmarkStart w:id="13" w:name="highest-cf-honeoye-0.5984"/>
    <w:p>
      <w:pPr>
        <w:pStyle w:val="Heading3"/>
      </w:pPr>
      <w:r>
        <w:t xml:space="preserve">Highest CF: Honeoye (0.5984)</w:t>
      </w:r>
    </w:p>
    <w:p>
      <w:pPr>
        <w:pStyle w:val="FirstParagraph"/>
      </w:pPr>
      <w:r>
        <w:t xml:space="preserve">Honeoye has the highest retail price ($170), which means the highest absolute underage cost ($51). Even after subtracting θ = $10.31, its adjusted underage cost ($40.69) is still the largest of any product. The CF formula rewards products with high u relative to (u + o) — so Honeoye gets the most favorable service level under the constraint. Intuitively: if you’re going to disappoint a customer, don’t let it be the one buying your most expensive jacket.</w:t>
      </w:r>
    </w:p>
    <w:bookmarkEnd w:id="13"/>
    <w:bookmarkStart w:id="14" w:name="lowest-cf-cayuga-0.3819"/>
    <w:p>
      <w:pPr>
        <w:pStyle w:val="Heading3"/>
      </w:pPr>
      <w:r>
        <w:t xml:space="preserve">Lowest CF: Cayuga (0.3819)</w:t>
      </w:r>
    </w:p>
    <w:p>
      <w:pPr>
        <w:pStyle w:val="FirstParagraph"/>
      </w:pPr>
      <w:r>
        <w:t xml:space="preserve">Cayuga is the cheapest product ($70), giving it the lowest absolute underage cost ($21). After subtracting θ = $10.31, its adjusted u is only $10.69 — the smallest of the group. The capacity tax hits cheap products disproportionately hard because their underage cost doesn’t have as much cushion. The model is essentially telling us: when capacity is tight, don’t over-invest in your cheapest SKU.</w:t>
      </w:r>
    </w:p>
    <w:p>
      <w:r>
        <w:pict>
          <v:rect style="width:0;height:1.5pt" o:hralign="center" o:hrstd="t" o:hr="t"/>
        </w:pict>
      </w:r>
    </w:p>
    <w:bookmarkEnd w:id="14"/>
    <w:bookmarkEnd w:id="15"/>
    <w:bookmarkStart w:id="19" w:name="X977507d020ff71d8664fa3bcd15fcb201532315"/>
    <w:p>
      <w:pPr>
        <w:pStyle w:val="Heading2"/>
      </w:pPr>
      <w:r>
        <w:t xml:space="preserve">Part Three — Risk Ranking &amp; Speculative Capacity</w:t>
      </w:r>
    </w:p>
    <w:bookmarkStart w:id="16" w:name="solution-steps-2"/>
    <w:p>
      <w:pPr>
        <w:pStyle w:val="Heading3"/>
      </w:pPr>
      <w:r>
        <w:t xml:space="preserve">Solution Steps</w:t>
      </w:r>
    </w:p>
    <w:p>
      <w:pPr>
        <w:pStyle w:val="FirstParagraph"/>
      </w:pPr>
      <w:r>
        <w:t xml:space="preserve">Now we split the problem in time. FLA places an</w:t>
      </w:r>
      <w:r>
        <w:t xml:space="preserve"> </w:t>
      </w:r>
      <w:r>
        <w:rPr>
          <w:b/>
          <w:bCs/>
        </w:rPr>
        <w:t xml:space="preserve">initial (speculative) order</w:t>
      </w:r>
      <w:r>
        <w:t xml:space="preserve"> </w:t>
      </w:r>
      <w:r>
        <w:t xml:space="preserve">before demand is known, then can follow up with a</w:t>
      </w:r>
      <w:r>
        <w:t xml:space="preserve"> </w:t>
      </w:r>
      <w:r>
        <w:rPr>
          <w:b/>
          <w:bCs/>
        </w:rPr>
        <w:t xml:space="preserve">reactive order</w:t>
      </w:r>
      <w:r>
        <w:t xml:space="preserve"> </w:t>
      </w:r>
      <w:r>
        <w:t xml:space="preserve">once early-season signals come in. The question is: which products should get the early order?</w:t>
      </w:r>
    </w:p>
    <w:p>
      <w:pPr>
        <w:pStyle w:val="BodyText"/>
      </w:pPr>
      <w:r>
        <w:t xml:space="preserve">The answer comes from the</w:t>
      </w:r>
      <w:r>
        <w:t xml:space="preserve"> </w:t>
      </w:r>
      <w:r>
        <w:rPr>
          <w:b/>
          <w:bCs/>
        </w:rPr>
        <w:t xml:space="preserve">risk ranking index</w:t>
      </w:r>
      <w:r>
        <w:t xml:space="preserve">:</w:t>
      </w:r>
    </w:p>
    <w:p>
      <w:pPr>
        <w:pStyle w:val="BodyText"/>
      </w:pPr>
      <m:oMathPara>
        <m:oMathParaPr>
          <m:jc m:val="center"/>
        </m:oMathParaPr>
        <m:oMath>
          <m:sSub>
            <m:e>
              <m:r>
                <m:t>R</m:t>
              </m:r>
            </m:e>
            <m:sub>
              <m:r>
                <m:t>i</m:t>
              </m:r>
            </m:sub>
          </m:sSub>
          <m:r>
            <m:rPr>
              <m:sty m:val="p"/>
            </m:rPr>
            <m:t>=</m:t>
          </m:r>
          <m:r>
            <m:rPr>
              <m:sty m:val="p"/>
            </m:rPr>
            <m:t>(</m:t>
          </m:r>
          <m:sSub>
            <m:e>
              <m:r>
                <m:t>u</m:t>
              </m:r>
            </m:e>
            <m:sub>
              <m:r>
                <m:t>i</m:t>
              </m:r>
            </m:sub>
          </m:sSub>
          <m:r>
            <m:rPr>
              <m:sty m:val="p"/>
            </m:rPr>
            <m:t>+</m:t>
          </m:r>
          <m:sSub>
            <m:e>
              <m:r>
                <m:t>o</m:t>
              </m:r>
            </m:e>
            <m:sub>
              <m:r>
                <m:t>i</m:t>
              </m:r>
            </m:sub>
          </m:sSub>
          <m:r>
            <m:rPr>
              <m:sty m:val="p"/>
            </m:rPr>
            <m:t>)</m:t>
          </m:r>
          <m:r>
            <m:rPr>
              <m:sty m:val="p"/>
            </m:rPr>
            <m:t>⋅</m:t>
          </m:r>
          <m:f>
            <m:fPr>
              <m:type m:val="bar"/>
            </m:fPr>
            <m:num>
              <m:sSub>
                <m:e>
                  <m:r>
                    <m:t>σ</m:t>
                  </m:r>
                </m:e>
                <m:sub>
                  <m:r>
                    <m:t>i</m:t>
                  </m:r>
                </m:sub>
              </m:sSub>
            </m:num>
            <m:den>
              <m:sSub>
                <m:e>
                  <m:r>
                    <m:t>μ</m:t>
                  </m:r>
                </m:e>
                <m:sub>
                  <m:r>
                    <m:t>i</m:t>
                  </m:r>
                </m:sub>
              </m:sSub>
            </m:den>
          </m:f>
        </m:oMath>
      </m:oMathPara>
    </w:p>
    <w:p>
      <w:pPr>
        <w:pStyle w:val="FirstParagraph"/>
      </w:pPr>
      <w:r>
        <w:t xml:space="preserve">High R = high risk from producing early (either the cost consequences are large, or demand is highly uncertain relative to its mean, or both). Low R = safe to produce speculatively. Since u and o are proportional to price across all products here, the ranking is largely driven by the</w:t>
      </w:r>
      <w:r>
        <w:t xml:space="preserve"> </w:t>
      </w:r>
      <w:r>
        <w:rPr>
          <w:b/>
          <w:bCs/>
        </w:rPr>
        <w:t xml:space="preserve">coefficient of variation (CV = σ/μ)</w:t>
      </w:r>
      <w:r>
        <w:t xml:space="preserve">.</w:t>
      </w:r>
    </w:p>
    <w:p>
      <w:pPr>
        <w:pStyle w:val="BodyText"/>
      </w:pPr>
      <w:r>
        <w:t xml:space="preserve">Full risk ranking: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Product</w:t>
            </w:r>
          </w:p>
        </w:tc>
        <w:tc>
          <w:tcPr/>
          <w:p>
            <w:pPr>
              <w:pStyle w:val="Compact"/>
            </w:pPr>
            <w:r>
              <w:t xml:space="preserve">Risk Index</w:t>
            </w:r>
          </w:p>
        </w:tc>
        <w:tc>
          <w:tcPr/>
          <w:p>
            <w:pPr>
              <w:pStyle w:val="Compact"/>
            </w:pPr>
            <w:r>
              <w:t xml:space="preserve">CV (σ/μ)</w:t>
            </w:r>
          </w:p>
        </w:tc>
      </w:tr>
      <w:tr>
        <w:tc>
          <w:tcPr/>
          <w:p>
            <w:pPr>
              <w:pStyle w:val="Compact"/>
            </w:pPr>
            <w:r>
              <w:t xml:space="preserve">1</w:t>
            </w:r>
          </w:p>
        </w:tc>
        <w:tc>
          <w:tcPr/>
          <w:p>
            <w:pPr>
              <w:pStyle w:val="Compact"/>
            </w:pPr>
            <w:r>
              <w:rPr>
                <w:b/>
                <w:bCs/>
              </w:rPr>
              <w:t xml:space="preserve">Cayuga</w:t>
            </w:r>
          </w:p>
        </w:tc>
        <w:tc>
          <w:tcPr/>
          <w:p>
            <w:pPr>
              <w:pStyle w:val="Compact"/>
            </w:pPr>
            <w:r>
              <w:t xml:space="preserve">7.70</w:t>
            </w:r>
          </w:p>
        </w:tc>
        <w:tc>
          <w:tcPr/>
          <w:p>
            <w:pPr>
              <w:pStyle w:val="Compact"/>
            </w:pPr>
            <w:r>
              <w:t xml:space="preserve">0.275</w:t>
            </w:r>
          </w:p>
        </w:tc>
      </w:tr>
      <w:tr>
        <w:tc>
          <w:tcPr/>
          <w:p>
            <w:pPr>
              <w:pStyle w:val="Compact"/>
            </w:pPr>
            <w:r>
              <w:t xml:space="preserve">2</w:t>
            </w:r>
          </w:p>
        </w:tc>
        <w:tc>
          <w:tcPr/>
          <w:p>
            <w:pPr>
              <w:pStyle w:val="Compact"/>
            </w:pPr>
            <w:r>
              <w:rPr>
                <w:b/>
                <w:bCs/>
              </w:rPr>
              <w:t xml:space="preserve">Hemlock</w:t>
            </w:r>
          </w:p>
        </w:tc>
        <w:tc>
          <w:tcPr/>
          <w:p>
            <w:pPr>
              <w:pStyle w:val="Compact"/>
            </w:pPr>
            <w:r>
              <w:t xml:space="preserve">8.64</w:t>
            </w:r>
          </w:p>
        </w:tc>
        <w:tc>
          <w:tcPr/>
          <w:p>
            <w:pPr>
              <w:pStyle w:val="Compact"/>
            </w:pPr>
            <w:r>
              <w:t xml:space="preserve">0.240</w:t>
            </w:r>
          </w:p>
        </w:tc>
      </w:tr>
      <w:tr>
        <w:tc>
          <w:tcPr/>
          <w:p>
            <w:pPr>
              <w:pStyle w:val="Compact"/>
            </w:pPr>
            <w:r>
              <w:t xml:space="preserve">3</w:t>
            </w:r>
          </w:p>
        </w:tc>
        <w:tc>
          <w:tcPr/>
          <w:p>
            <w:pPr>
              <w:pStyle w:val="Compact"/>
            </w:pPr>
            <w:r>
              <w:rPr>
                <w:b/>
                <w:bCs/>
              </w:rPr>
              <w:t xml:space="preserve">Canandaigua</w:t>
            </w:r>
          </w:p>
        </w:tc>
        <w:tc>
          <w:tcPr/>
          <w:p>
            <w:pPr>
              <w:pStyle w:val="Compact"/>
            </w:pPr>
            <w:r>
              <w:t xml:space="preserve">12.80</w:t>
            </w:r>
          </w:p>
        </w:tc>
        <w:tc>
          <w:tcPr/>
          <w:p>
            <w:pPr>
              <w:pStyle w:val="Compact"/>
            </w:pPr>
            <w:r>
              <w:t xml:space="preserve">0.400</w:t>
            </w:r>
          </w:p>
        </w:tc>
      </w:tr>
      <w:tr>
        <w:tc>
          <w:tcPr/>
          <w:p>
            <w:pPr>
              <w:pStyle w:val="Compact"/>
            </w:pPr>
            <w:r>
              <w:t xml:space="preserve">4</w:t>
            </w:r>
          </w:p>
        </w:tc>
        <w:tc>
          <w:tcPr/>
          <w:p>
            <w:pPr>
              <w:pStyle w:val="Compact"/>
            </w:pPr>
            <w:r>
              <w:rPr>
                <w:b/>
                <w:bCs/>
              </w:rPr>
              <w:t xml:space="preserve">Keuka</w:t>
            </w:r>
          </w:p>
        </w:tc>
        <w:tc>
          <w:tcPr/>
          <w:p>
            <w:pPr>
              <w:pStyle w:val="Compact"/>
            </w:pPr>
            <w:r>
              <w:t xml:space="preserve">17.60</w:t>
            </w:r>
          </w:p>
        </w:tc>
        <w:tc>
          <w:tcPr/>
          <w:p>
            <w:pPr>
              <w:pStyle w:val="Compact"/>
            </w:pPr>
            <w:r>
              <w:t xml:space="preserve">0.400</w:t>
            </w:r>
          </w:p>
        </w:tc>
      </w:tr>
      <w:tr>
        <w:tc>
          <w:tcPr/>
          <w:p>
            <w:pPr>
              <w:pStyle w:val="Compact"/>
            </w:pPr>
            <w:r>
              <w:t xml:space="preserve">5</w:t>
            </w:r>
          </w:p>
        </w:tc>
        <w:tc>
          <w:tcPr/>
          <w:p>
            <w:pPr>
              <w:pStyle w:val="Compact"/>
            </w:pPr>
            <w:r>
              <w:t xml:space="preserve">Conesus</w:t>
            </w:r>
          </w:p>
        </w:tc>
        <w:tc>
          <w:tcPr/>
          <w:p>
            <w:pPr>
              <w:pStyle w:val="Compact"/>
            </w:pPr>
            <w:r>
              <w:t xml:space="preserve">24.00</w:t>
            </w:r>
          </w:p>
        </w:tc>
        <w:tc>
          <w:tcPr/>
          <w:p>
            <w:pPr>
              <w:pStyle w:val="Compact"/>
            </w:pPr>
            <w:r>
              <w:t xml:space="preserve">0.667</w:t>
            </w:r>
          </w:p>
        </w:tc>
      </w:tr>
      <w:tr>
        <w:tc>
          <w:tcPr/>
          <w:p>
            <w:pPr>
              <w:pStyle w:val="Compact"/>
            </w:pPr>
            <w:r>
              <w:t xml:space="preserve">6</w:t>
            </w:r>
          </w:p>
        </w:tc>
        <w:tc>
          <w:tcPr/>
          <w:p>
            <w:pPr>
              <w:pStyle w:val="Compact"/>
            </w:pPr>
            <w:r>
              <w:t xml:space="preserve">Seneca</w:t>
            </w:r>
          </w:p>
        </w:tc>
        <w:tc>
          <w:tcPr/>
          <w:p>
            <w:pPr>
              <w:pStyle w:val="Compact"/>
            </w:pPr>
            <w:r>
              <w:t xml:space="preserve">24.00</w:t>
            </w:r>
          </w:p>
        </w:tc>
        <w:tc>
          <w:tcPr/>
          <w:p>
            <w:pPr>
              <w:pStyle w:val="Compact"/>
            </w:pPr>
            <w:r>
              <w:t xml:space="preserve">0.600</w:t>
            </w:r>
          </w:p>
        </w:tc>
      </w:tr>
      <w:tr>
        <w:tc>
          <w:tcPr/>
          <w:p>
            <w:pPr>
              <w:pStyle w:val="Compact"/>
            </w:pPr>
            <w:r>
              <w:t xml:space="preserve">7</w:t>
            </w:r>
          </w:p>
        </w:tc>
        <w:tc>
          <w:tcPr/>
          <w:p>
            <w:pPr>
              <w:pStyle w:val="Compact"/>
            </w:pPr>
            <w:r>
              <w:t xml:space="preserve">Otisco</w:t>
            </w:r>
          </w:p>
        </w:tc>
        <w:tc>
          <w:tcPr/>
          <w:p>
            <w:pPr>
              <w:pStyle w:val="Compact"/>
            </w:pPr>
            <w:r>
              <w:t xml:space="preserve">24.00</w:t>
            </w:r>
          </w:p>
        </w:tc>
        <w:tc>
          <w:tcPr/>
          <w:p>
            <w:pPr>
              <w:pStyle w:val="Compact"/>
            </w:pPr>
            <w:r>
              <w:t xml:space="preserve">0.600</w:t>
            </w:r>
          </w:p>
        </w:tc>
      </w:tr>
      <w:tr>
        <w:tc>
          <w:tcPr/>
          <w:p>
            <w:pPr>
              <w:pStyle w:val="Compact"/>
            </w:pPr>
            <w:r>
              <w:t xml:space="preserve">8</w:t>
            </w:r>
          </w:p>
        </w:tc>
        <w:tc>
          <w:tcPr/>
          <w:p>
            <w:pPr>
              <w:pStyle w:val="Compact"/>
            </w:pPr>
            <w:r>
              <w:t xml:space="preserve">Honeoye</w:t>
            </w:r>
          </w:p>
        </w:tc>
        <w:tc>
          <w:tcPr/>
          <w:p>
            <w:pPr>
              <w:pStyle w:val="Compact"/>
            </w:pPr>
            <w:r>
              <w:t xml:space="preserve">27.20</w:t>
            </w:r>
          </w:p>
        </w:tc>
        <w:tc>
          <w:tcPr/>
          <w:p>
            <w:pPr>
              <w:pStyle w:val="Compact"/>
            </w:pPr>
            <w:r>
              <w:t xml:space="preserve">0.400</w:t>
            </w:r>
          </w:p>
        </w:tc>
      </w:tr>
      <w:tr>
        <w:tc>
          <w:tcPr/>
          <w:p>
            <w:pPr>
              <w:pStyle w:val="Compact"/>
            </w:pPr>
            <w:r>
              <w:t xml:space="preserve">9</w:t>
            </w:r>
          </w:p>
        </w:tc>
        <w:tc>
          <w:tcPr/>
          <w:p>
            <w:pPr>
              <w:pStyle w:val="Compact"/>
            </w:pPr>
            <w:r>
              <w:t xml:space="preserve">Skaneateles</w:t>
            </w:r>
          </w:p>
        </w:tc>
        <w:tc>
          <w:tcPr/>
          <w:p>
            <w:pPr>
              <w:pStyle w:val="Compact"/>
            </w:pPr>
            <w:r>
              <w:t xml:space="preserve">33.60</w:t>
            </w:r>
          </w:p>
        </w:tc>
        <w:tc>
          <w:tcPr/>
          <w:p>
            <w:pPr>
              <w:pStyle w:val="Compact"/>
            </w:pPr>
            <w:r>
              <w:t xml:space="preserve">0.700</w:t>
            </w:r>
          </w:p>
        </w:tc>
      </w:tr>
      <w:tr>
        <w:tc>
          <w:tcPr/>
          <w:p>
            <w:pPr>
              <w:pStyle w:val="Compact"/>
            </w:pPr>
            <w:r>
              <w:t xml:space="preserve">10</w:t>
            </w:r>
          </w:p>
        </w:tc>
        <w:tc>
          <w:tcPr/>
          <w:p>
            <w:pPr>
              <w:pStyle w:val="Compact"/>
            </w:pPr>
            <w:r>
              <w:t xml:space="preserve">Canadice</w:t>
            </w:r>
          </w:p>
        </w:tc>
        <w:tc>
          <w:tcPr/>
          <w:p>
            <w:pPr>
              <w:pStyle w:val="Compact"/>
            </w:pPr>
            <w:r>
              <w:t xml:space="preserve">42.00</w:t>
            </w:r>
          </w:p>
        </w:tc>
        <w:tc>
          <w:tcPr/>
          <w:p>
            <w:pPr>
              <w:pStyle w:val="Compact"/>
            </w:pPr>
            <w:r>
              <w:t xml:space="preserve">0.700</w:t>
            </w:r>
          </w:p>
        </w:tc>
      </w:tr>
      <w:tr>
        <w:tc>
          <w:tcPr/>
          <w:p>
            <w:pPr>
              <w:pStyle w:val="Compact"/>
            </w:pPr>
            <w:r>
              <w:t xml:space="preserve">11</w:t>
            </w:r>
          </w:p>
        </w:tc>
        <w:tc>
          <w:tcPr/>
          <w:p>
            <w:pPr>
              <w:pStyle w:val="Compact"/>
            </w:pPr>
            <w:r>
              <w:rPr>
                <w:b/>
                <w:bCs/>
              </w:rPr>
              <w:t xml:space="preserve">Owasco</w:t>
            </w:r>
          </w:p>
        </w:tc>
        <w:tc>
          <w:tcPr/>
          <w:p>
            <w:pPr>
              <w:pStyle w:val="Compact"/>
            </w:pPr>
            <w:r>
              <w:t xml:space="preserve">52.00</w:t>
            </w:r>
          </w:p>
        </w:tc>
        <w:tc>
          <w:tcPr/>
          <w:p>
            <w:pPr>
              <w:pStyle w:val="Compact"/>
            </w:pPr>
            <w:r>
              <w:t xml:space="preserve">1.000</w:t>
            </w:r>
          </w:p>
        </w:tc>
      </w:tr>
    </w:tbl>
    <w:p>
      <w:pPr>
        <w:pStyle w:val="BodyText"/>
      </w:pPr>
      <w:r>
        <w:t xml:space="preserve">Owasco is the riskiest by a wide margin — its demand std equals its mean (CV = 1.0). That’s a coin-flip on demand at every scale. Definitely not producing that one speculatively.</w:t>
      </w:r>
    </w:p>
    <w:p>
      <w:r>
        <w:pict>
          <v:rect style="width:0;height:1.5pt" o:hralign="center" o:hrstd="t" o:hr="t"/>
        </w:pict>
      </w:r>
    </w:p>
    <w:bookmarkEnd w:id="16"/>
    <w:bookmarkStart w:id="17" w:name="a-speculative-capacity-10000-units"/>
    <w:p>
      <w:pPr>
        <w:pStyle w:val="Heading3"/>
      </w:pPr>
      <w:r>
        <w:t xml:space="preserve">3A — Speculative Capacity = 10,000 units</w:t>
      </w:r>
    </w:p>
    <w:p>
      <w:pPr>
        <w:pStyle w:val="FirstParagraph"/>
      </w:pPr>
      <w:r>
        <w:rPr>
          <w:b/>
          <w:bCs/>
        </w:rPr>
        <w:t xml:space="preserve">Recommended products for speculative production: Cayuga, Hemlock, Canandaigua, Keuka</w:t>
      </w:r>
    </w:p>
    <w:p>
      <w:pPr>
        <w:pStyle w:val="BodyText"/>
      </w:pPr>
      <w:r>
        <w:t xml:space="preserve">These are the four lowest-risk products. The first three (Cayuga, Hemlock, Canandaigua) sum to ~9,234 standalone Q* — under the 10,000 cap. But leaving ~766 units of capacity unused is wasteful, so we include the next-safest product (Keuka, risk index 17.60). Their combined standalone Q* would be ~10,504, which exceeds 10,000 — so the shadow-price solver trims all four products down to exactly fill the constraint.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Risk Index</w:t>
            </w:r>
          </w:p>
        </w:tc>
        <w:tc>
          <w:tcPr/>
          <w:p>
            <w:pPr>
              <w:pStyle w:val="Compact"/>
            </w:pPr>
            <w:r>
              <w:t xml:space="preserve">CF (Part 2)</w:t>
            </w:r>
          </w:p>
        </w:tc>
        <w:tc>
          <w:tcPr/>
          <w:p>
            <w:pPr>
              <w:pStyle w:val="Compact"/>
            </w:pPr>
            <w:r>
              <w:t xml:space="preserve">CF (Speculative)</w:t>
            </w:r>
          </w:p>
        </w:tc>
        <w:tc>
          <w:tcPr/>
          <w:p>
            <w:pPr>
              <w:pStyle w:val="Compact"/>
            </w:pPr>
            <w:r>
              <w:t xml:space="preserve">Q_spec</w:t>
            </w:r>
          </w:p>
        </w:tc>
      </w:tr>
      <w:tr>
        <w:tc>
          <w:tcPr/>
          <w:p>
            <w:pPr>
              <w:pStyle w:val="Compact"/>
            </w:pPr>
            <w:r>
              <w:t xml:space="preserve">Cayuga</w:t>
            </w:r>
          </w:p>
        </w:tc>
        <w:tc>
          <w:tcPr/>
          <w:p>
            <w:pPr>
              <w:pStyle w:val="Compact"/>
            </w:pPr>
            <w:r>
              <w:t xml:space="preserve">7.70</w:t>
            </w:r>
          </w:p>
        </w:tc>
        <w:tc>
          <w:tcPr/>
          <w:p>
            <w:pPr>
              <w:pStyle w:val="Compact"/>
            </w:pPr>
            <w:r>
              <w:t xml:space="preserve">0.3819</w:t>
            </w:r>
          </w:p>
        </w:tc>
        <w:tc>
          <w:tcPr/>
          <w:p>
            <w:pPr>
              <w:pStyle w:val="Compact"/>
            </w:pPr>
            <w:r>
              <w:t xml:space="preserve">0.6747</w:t>
            </w:r>
          </w:p>
        </w:tc>
        <w:tc>
          <w:tcPr/>
          <w:p>
            <w:pPr>
              <w:pStyle w:val="Compact"/>
            </w:pPr>
            <w:r>
              <w:t xml:space="preserve">4,498.2</w:t>
            </w:r>
          </w:p>
        </w:tc>
      </w:tr>
      <w:tr>
        <w:tc>
          <w:tcPr/>
          <w:p>
            <w:pPr>
              <w:pStyle w:val="Compact"/>
            </w:pPr>
            <w:r>
              <w:t xml:space="preserve">Hemlock</w:t>
            </w:r>
          </w:p>
        </w:tc>
        <w:tc>
          <w:tcPr/>
          <w:p>
            <w:pPr>
              <w:pStyle w:val="Compact"/>
            </w:pPr>
            <w:r>
              <w:t xml:space="preserve">8.64</w:t>
            </w:r>
          </w:p>
        </w:tc>
        <w:tc>
          <w:tcPr/>
          <w:p>
            <w:pPr>
              <w:pStyle w:val="Compact"/>
            </w:pPr>
            <w:r>
              <w:t xml:space="preserve">0.4637</w:t>
            </w:r>
          </w:p>
        </w:tc>
        <w:tc>
          <w:tcPr/>
          <w:p>
            <w:pPr>
              <w:pStyle w:val="Compact"/>
            </w:pPr>
            <w:r>
              <w:t xml:space="preserve">0.6914</w:t>
            </w:r>
          </w:p>
        </w:tc>
        <w:tc>
          <w:tcPr/>
          <w:p>
            <w:pPr>
              <w:pStyle w:val="Compact"/>
            </w:pPr>
            <w:r>
              <w:t xml:space="preserve">2,800.0</w:t>
            </w:r>
          </w:p>
        </w:tc>
      </w:tr>
      <w:tr>
        <w:tc>
          <w:tcPr/>
          <w:p>
            <w:pPr>
              <w:pStyle w:val="Compact"/>
            </w:pPr>
            <w:r>
              <w:t xml:space="preserve">Canandaigua</w:t>
            </w:r>
          </w:p>
        </w:tc>
        <w:tc>
          <w:tcPr/>
          <w:p>
            <w:pPr>
              <w:pStyle w:val="Compact"/>
            </w:pPr>
            <w:r>
              <w:t xml:space="preserve">12.80</w:t>
            </w:r>
          </w:p>
        </w:tc>
        <w:tc>
          <w:tcPr/>
          <w:p>
            <w:pPr>
              <w:pStyle w:val="Compact"/>
            </w:pPr>
            <w:r>
              <w:t xml:space="preserve">0.4279</w:t>
            </w:r>
          </w:p>
        </w:tc>
        <w:tc>
          <w:tcPr/>
          <w:p>
            <w:pPr>
              <w:pStyle w:val="Compact"/>
            </w:pPr>
            <w:r>
              <w:t xml:space="preserve">0.6841</w:t>
            </w:r>
          </w:p>
        </w:tc>
        <w:tc>
          <w:tcPr/>
          <w:p>
            <w:pPr>
              <w:pStyle w:val="Compact"/>
            </w:pPr>
            <w:r>
              <w:t xml:space="preserve">1,489.6</w:t>
            </w:r>
          </w:p>
        </w:tc>
      </w:tr>
      <w:tr>
        <w:tc>
          <w:tcPr/>
          <w:p>
            <w:pPr>
              <w:pStyle w:val="Compact"/>
            </w:pPr>
            <w:r>
              <w:t xml:space="preserve">Keuka</w:t>
            </w:r>
          </w:p>
        </w:tc>
        <w:tc>
          <w:tcPr/>
          <w:p>
            <w:pPr>
              <w:pStyle w:val="Compact"/>
            </w:pPr>
            <w:r>
              <w:t xml:space="preserve">17.60</w:t>
            </w:r>
          </w:p>
        </w:tc>
        <w:tc>
          <w:tcPr/>
          <w:p>
            <w:pPr>
              <w:pStyle w:val="Compact"/>
            </w:pPr>
            <w:r>
              <w:t xml:space="preserve">0.5158</w:t>
            </w:r>
          </w:p>
        </w:tc>
        <w:tc>
          <w:tcPr/>
          <w:p>
            <w:pPr>
              <w:pStyle w:val="Compact"/>
            </w:pPr>
            <w:r>
              <w:t xml:space="preserve">0.7021</w:t>
            </w:r>
          </w:p>
        </w:tc>
        <w:tc>
          <w:tcPr/>
          <w:p>
            <w:pPr>
              <w:pStyle w:val="Compact"/>
            </w:pPr>
            <w:r>
              <w:t xml:space="preserve">1,212.2</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10,000.0</w:t>
            </w:r>
            <w:r>
              <w:t xml:space="preserve"> </w:t>
            </w:r>
            <w:r>
              <w:t xml:space="preserve">✓</w:t>
            </w:r>
          </w:p>
        </w:tc>
      </w:tr>
    </w:tbl>
    <w:p>
      <w:pPr>
        <w:pStyle w:val="BodyText"/>
      </w:pPr>
      <w:r>
        <w:rPr>
          <w:b/>
          <w:bCs/>
        </w:rPr>
        <w:t xml:space="preserve">Shadow price θ = 2.11</w:t>
      </w:r>
      <w:r>
        <w:t xml:space="preserve"> </w:t>
      </w:r>
      <w:r>
        <w:t xml:space="preserve">— capacity is now binding. Each additional unit of speculative capacity would be worth ~$2.11.</w:t>
      </w:r>
    </w:p>
    <w:p>
      <w:pPr>
        <w:pStyle w:val="BodyText"/>
      </w:pPr>
      <w:r>
        <w:t xml:space="preserve">Compared to Part 2: all four products have</w:t>
      </w:r>
      <w:r>
        <w:t xml:space="preserve"> </w:t>
      </w:r>
      <w:r>
        <w:rPr>
          <w:i/>
          <w:iCs/>
        </w:rPr>
        <w:t xml:space="preserve">higher</w:t>
      </w:r>
      <w:r>
        <w:t xml:space="preserve"> </w:t>
      </w:r>
      <w:r>
        <w:t xml:space="preserve">CFs here than they did under the full 20,000-unit constraint. That makes sense — in Part 2 they were competing with 7 other products for a tight budget; here they only share with 3 other low-risk items. The speculative CFs (0.67–0.70) are lower than the unconstrained 0.75 but substantially better than the Part 2 values (0.38–0.52). Producing a smaller, curated set of safe SKUs lets us give each one a more generous service level.</w:t>
      </w:r>
    </w:p>
    <w:p>
      <w:pPr>
        <w:pStyle w:val="BodyText"/>
      </w:pPr>
      <w:r>
        <w:t xml:space="preserve">The remaining</w:t>
      </w:r>
      <w:r>
        <w:t xml:space="preserve"> </w:t>
      </w:r>
      <w:r>
        <w:rPr>
          <w:b/>
          <w:bCs/>
        </w:rPr>
        <w:t xml:space="preserve">7 products</w:t>
      </w:r>
      <w:r>
        <w:t xml:space="preserve"> </w:t>
      </w:r>
      <w:r>
        <w:t xml:space="preserve">(Conesus, Seneca, Otisco, Honeoye, Skaneateles, Canadice, Owasco) get deferred to reactive capacity — produced only after early-season demand signals reduce uncertainty.</w:t>
      </w:r>
    </w:p>
    <w:p>
      <w:r>
        <w:pict>
          <v:rect style="width:0;height:1.5pt" o:hralign="center" o:hrstd="t" o:hr="t"/>
        </w:pict>
      </w:r>
    </w:p>
    <w:bookmarkEnd w:id="17"/>
    <w:bookmarkStart w:id="18" w:name="b-speculative-capacity-5000-units"/>
    <w:p>
      <w:pPr>
        <w:pStyle w:val="Heading3"/>
      </w:pPr>
      <w:r>
        <w:t xml:space="preserve">3B — Speculative Capacity = 5,000 units</w:t>
      </w:r>
    </w:p>
    <w:p>
      <w:pPr>
        <w:pStyle w:val="FirstParagraph"/>
      </w:pPr>
      <w:r>
        <w:t xml:space="preserve">When the speculative cap drops to 5,000, Cayuga alone (Q* = 4,742) fits but doesn’t fill the budget. Adding Hemlock (Q* = 2,905) pushes the combined total to ~7,647, exceeding 5,000 — so the shadow-price solver trims both products to exactly 5,000.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Risk Index</w:t>
            </w:r>
          </w:p>
        </w:tc>
        <w:tc>
          <w:tcPr/>
          <w:p>
            <w:pPr>
              <w:pStyle w:val="Compact"/>
            </w:pPr>
            <w:r>
              <w:t xml:space="preserve">CF (Part 2)</w:t>
            </w:r>
          </w:p>
        </w:tc>
        <w:tc>
          <w:tcPr/>
          <w:p>
            <w:pPr>
              <w:pStyle w:val="Compact"/>
            </w:pPr>
            <w:r>
              <w:t xml:space="preserve">CF (Speculative)</w:t>
            </w:r>
          </w:p>
        </w:tc>
        <w:tc>
          <w:tcPr/>
          <w:p>
            <w:pPr>
              <w:pStyle w:val="Compact"/>
            </w:pPr>
            <w:r>
              <w:t xml:space="preserve">Q_spec</w:t>
            </w:r>
          </w:p>
        </w:tc>
      </w:tr>
      <w:tr>
        <w:tc>
          <w:tcPr/>
          <w:p>
            <w:pPr>
              <w:pStyle w:val="Compact"/>
            </w:pPr>
            <w:r>
              <w:t xml:space="preserve">Cayuga</w:t>
            </w:r>
          </w:p>
        </w:tc>
        <w:tc>
          <w:tcPr/>
          <w:p>
            <w:pPr>
              <w:pStyle w:val="Compact"/>
            </w:pPr>
            <w:r>
              <w:t xml:space="preserve">7.70</w:t>
            </w:r>
          </w:p>
        </w:tc>
        <w:tc>
          <w:tcPr/>
          <w:p>
            <w:pPr>
              <w:pStyle w:val="Compact"/>
            </w:pPr>
            <w:r>
              <w:t xml:space="preserve">0.3819</w:t>
            </w:r>
          </w:p>
        </w:tc>
        <w:tc>
          <w:tcPr/>
          <w:p>
            <w:pPr>
              <w:pStyle w:val="Compact"/>
            </w:pPr>
            <w:r>
              <w:t xml:space="preserve">0.1474</w:t>
            </w:r>
          </w:p>
        </w:tc>
        <w:tc>
          <w:tcPr/>
          <w:p>
            <w:pPr>
              <w:pStyle w:val="Compact"/>
            </w:pPr>
            <w:r>
              <w:t xml:space="preserve">2,847.4</w:t>
            </w:r>
          </w:p>
        </w:tc>
      </w:tr>
      <w:tr>
        <w:tc>
          <w:tcPr/>
          <w:p>
            <w:pPr>
              <w:pStyle w:val="Compact"/>
            </w:pPr>
            <w:r>
              <w:t xml:space="preserve">Hemlock</w:t>
            </w:r>
          </w:p>
        </w:tc>
        <w:tc>
          <w:tcPr/>
          <w:p>
            <w:pPr>
              <w:pStyle w:val="Compact"/>
            </w:pPr>
            <w:r>
              <w:t xml:space="preserve">8.64</w:t>
            </w:r>
          </w:p>
        </w:tc>
        <w:tc>
          <w:tcPr/>
          <w:p>
            <w:pPr>
              <w:pStyle w:val="Compact"/>
            </w:pPr>
            <w:r>
              <w:t xml:space="preserve">0.4637</w:t>
            </w:r>
          </w:p>
        </w:tc>
        <w:tc>
          <w:tcPr/>
          <w:p>
            <w:pPr>
              <w:pStyle w:val="Compact"/>
            </w:pPr>
            <w:r>
              <w:t xml:space="preserve">0.2813</w:t>
            </w:r>
          </w:p>
        </w:tc>
        <w:tc>
          <w:tcPr/>
          <w:p>
            <w:pPr>
              <w:pStyle w:val="Compact"/>
            </w:pPr>
            <w:r>
              <w:t xml:space="preserve">2,152.6</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5,000.0</w:t>
            </w:r>
            <w:r>
              <w:t xml:space="preserve"> </w:t>
            </w:r>
            <w:r>
              <w:t xml:space="preserve">✓</w:t>
            </w:r>
          </w:p>
        </w:tc>
      </w:tr>
    </w:tbl>
    <w:p>
      <w:pPr>
        <w:pStyle w:val="BodyText"/>
      </w:pPr>
      <w:r>
        <w:rPr>
          <w:b/>
          <w:bCs/>
        </w:rPr>
        <w:t xml:space="preserve">Shadow price θ = 16.87</w:t>
      </w:r>
      <w:r>
        <w:t xml:space="preserve"> </w:t>
      </w:r>
      <w:r>
        <w:t xml:space="preserve">— capacity is extremely tight. Each additional unit of speculative capacity is now worth ~$16.87, far higher than in 3A. The CFs have been crushed well below 0.50, meaning we’re actually producing</w:t>
      </w:r>
      <w:r>
        <w:t xml:space="preserve"> </w:t>
      </w:r>
      <w:r>
        <w:rPr>
          <w:i/>
          <w:iCs/>
        </w:rPr>
        <w:t xml:space="preserve">less</w:t>
      </w:r>
      <w:r>
        <w:t xml:space="preserve"> </w:t>
      </w:r>
      <w:r>
        <w:t xml:space="preserve">than the mean demand for both products. This is a sign the constraint is severely binding.</w:t>
      </w:r>
    </w:p>
    <w:p>
      <w:pPr>
        <w:pStyle w:val="BodyText"/>
      </w:pPr>
      <w:r>
        <w:t xml:space="preserve">The remaining</w:t>
      </w:r>
      <w:r>
        <w:t xml:space="preserve"> </w:t>
      </w:r>
      <w:r>
        <w:rPr>
          <w:b/>
          <w:bCs/>
        </w:rPr>
        <w:t xml:space="preserve">9 products</w:t>
      </w:r>
      <w:r>
        <w:t xml:space="preserve"> </w:t>
      </w:r>
      <w:r>
        <w:t xml:space="preserve">are all reserved for reactive production.</w:t>
      </w:r>
    </w:p>
    <w:p>
      <w:pPr>
        <w:pStyle w:val="BodyText"/>
      </w:pPr>
      <w:r>
        <w:rPr>
          <w:b/>
          <w:bCs/>
        </w:rPr>
        <w:t xml:space="preserve">How does the decision change?</w:t>
      </w:r>
      <w:r>
        <w:t xml:space="preserve"> </w:t>
      </w:r>
      <w:r>
        <w:t xml:space="preserve">We go from 4 products to 2, and the shadow price jumps from $2.11 to $16.87. The tighter the speculative budget, the more selective we have to be — but now the constraint also bites</w:t>
      </w:r>
      <w:r>
        <w:t xml:space="preserve"> </w:t>
      </w:r>
      <w:r>
        <w:rPr>
          <w:i/>
          <w:iCs/>
        </w:rPr>
        <w:t xml:space="preserve">within</w:t>
      </w:r>
      <w:r>
        <w:t xml:space="preserve"> </w:t>
      </w:r>
      <w:r>
        <w:t xml:space="preserve">the selected set, compressing CFs and reducing per-product quantities significantly. This forces more of the portfolio into reactive mode, which actually</w:t>
      </w:r>
      <w:r>
        <w:t xml:space="preserve"> </w:t>
      </w:r>
      <w:r>
        <w:rPr>
          <w:i/>
          <w:iCs/>
        </w:rPr>
        <w:t xml:space="preserve">reduces risk</w:t>
      </w:r>
      <w:r>
        <w:t xml:space="preserve"> </w:t>
      </w:r>
      <w:r>
        <w:t xml:space="preserve">at the cost of needing more operational flexibility (faster sourcing, overtime, etc.) to fill orders reactively. The high θ also signals that investing in additional speculative capacity would be highly valuable.</w:t>
      </w:r>
    </w:p>
    <w:p>
      <w:r>
        <w:pict>
          <v:rect style="width:0;height:1.5pt" o:hralign="center" o:hrstd="t" o:hr="t"/>
        </w:pict>
      </w:r>
    </w:p>
    <w:bookmarkEnd w:id="18"/>
    <w:bookmarkEnd w:id="19"/>
    <w:bookmarkStart w:id="20" w:name="X2ee7833e7e64ba9a5d90403dd0f9e2b42fb97b8"/>
    <w:p>
      <w:pPr>
        <w:pStyle w:val="Heading2"/>
      </w:pPr>
      <w:r>
        <w:t xml:space="preserve">Part Four — Capacity Management Recommendations</w:t>
      </w:r>
    </w:p>
    <w:p>
      <w:pPr>
        <w:pStyle w:val="FirstParagraph"/>
      </w:pPr>
      <w:r>
        <w:t xml:space="preserve">A few concrete recommendations for FLA, ranked roughly by impact:</w:t>
      </w:r>
    </w:p>
    <w:p>
      <w:pPr>
        <w:pStyle w:val="BodyText"/>
      </w:pPr>
      <w:r>
        <w:rPr>
          <w:b/>
          <w:bCs/>
        </w:rPr>
        <w:t xml:space="preserve">1. Build a reactive capacity channel — don’t rely on a single overseas factory</w:t>
      </w:r>
    </w:p>
    <w:p>
      <w:pPr>
        <w:pStyle w:val="BodyText"/>
      </w:pPr>
      <w:r>
        <w:t xml:space="preserve">The numbers in Part 3 make it clear: the speculative window can only absorb the safest products. For everything else, FLA needs a fast-response supply option. This could be a domestic cut-and-sew partner, a near-shore supplier, or even reserved capacity at the existing factory on a premium schedule. The shadow price θ ≈ $10.31 from Part 2 tells us each additional unit of capacity is worth over $10 in margin — paying a premium for reactive flexibility is almost certainly justified.</w:t>
      </w:r>
    </w:p>
    <w:p>
      <w:pPr>
        <w:pStyle w:val="BodyText"/>
      </w:pPr>
      <w:r>
        <w:rPr>
          <w:b/>
          <w:bCs/>
        </w:rPr>
        <w:t xml:space="preserve">2. Produce the low-risk, high-volume SKUs early and commit</w:t>
      </w:r>
    </w:p>
    <w:p>
      <w:pPr>
        <w:pStyle w:val="BodyText"/>
      </w:pPr>
      <w:r>
        <w:t xml:space="preserve">Cayuga (μ = 4,000, CV = 0.275) and Hemlock (μ = 2,500, CV = 0.240) are good bets even before the season. Their demand distributions are tight relative to their means — forecast errors are unlikely to be catastrophic. Committing to these speculatively frees up the reactive channel for riskier, lower-volume SKUs.</w:t>
      </w:r>
    </w:p>
    <w:p>
      <w:pPr>
        <w:pStyle w:val="BodyText"/>
      </w:pPr>
      <w:r>
        <w:rPr>
          <w:b/>
          <w:bCs/>
        </w:rPr>
        <w:t xml:space="preserve">3. Invest in earlier demand signals for high-CV products</w:t>
      </w:r>
    </w:p>
    <w:p>
      <w:pPr>
        <w:pStyle w:val="BodyText"/>
      </w:pPr>
      <w:r>
        <w:t xml:space="preserve">Owasco (CV = 1.0), Canadice (CV = 0.70), and Skaneateles (CV = 0.70) are essentially unpredictable from a forecast-only standpoint. Pre-season retailer commitments, early-bird consumer pre-orders, or even soft launch campaigns for these lines would compress σ significantly — and a smaller σ directly reduces required Q* buffers and improves expected profit.</w:t>
      </w:r>
    </w:p>
    <w:p>
      <w:pPr>
        <w:pStyle w:val="BodyText"/>
      </w:pPr>
      <w:r>
        <w:rPr>
          <w:b/>
          <w:bCs/>
        </w:rPr>
        <w:t xml:space="preserve">4. Reduce overseas lead times where possible</w:t>
      </w:r>
    </w:p>
    <w:p>
      <w:pPr>
        <w:pStyle w:val="BodyText"/>
      </w:pPr>
      <w:r>
        <w:t xml:space="preserve">Shorter lead times widen the reactive window. If FLA can shave 3–4 weeks off its overseas factory cycle, more of the portfolio shifts from</w:t>
      </w:r>
      <w:r>
        <w:t xml:space="preserve"> </w:t>
      </w:r>
      <w:r>
        <w:t xml:space="preserve">“must decide now”</w:t>
      </w:r>
      <w:r>
        <w:t xml:space="preserve"> </w:t>
      </w:r>
      <w:r>
        <w:t xml:space="preserve">to</w:t>
      </w:r>
      <w:r>
        <w:t xml:space="preserve"> </w:t>
      </w:r>
      <w:r>
        <w:t xml:space="preserve">“can wait for data.”</w:t>
      </w:r>
      <w:r>
        <w:t xml:space="preserve"> </w:t>
      </w:r>
      <w:r>
        <w:t xml:space="preserve">This doesn’t require a new supplier — it could be as simple as earlier fabric sourcing, pre-positioned materials, or streamlined customs/logistics.</w:t>
      </w:r>
    </w:p>
    <w:p>
      <w:pPr>
        <w:pStyle w:val="BodyText"/>
      </w:pPr>
      <w:r>
        <w:rPr>
          <w:b/>
          <w:bCs/>
        </w:rPr>
        <w:t xml:space="preserve">5. Reassess Owasco’s product positioning</w:t>
      </w:r>
    </w:p>
    <w:p>
      <w:pPr>
        <w:pStyle w:val="BodyText"/>
      </w:pPr>
      <w:r>
        <w:t xml:space="preserve">A CV of 1.0 means demand is as uncertain as it gets. Unless Owasco commands a substantial premium that justifies the risk, FLA should consider whether this SKU is worth carrying at all, or whether it can be redesigned to reduce demand variance (e.g., fewer variants, simpler colorways, tighter distribution).</w:t>
      </w:r>
    </w:p>
    <w:p>
      <w:r>
        <w:pict>
          <v:rect style="width:0;height:1.5pt" o:hralign="center" o:hrstd="t" o:hr="t"/>
        </w:pict>
      </w:r>
    </w:p>
    <w:p>
      <w:pPr>
        <w:pStyle w:val="FirstParagraph"/>
      </w:pPr>
      <w:r>
        <w:rPr>
          <w:i/>
          <w:iCs/>
        </w:rPr>
        <w:t xml:space="preserve">All calculations computed in</w:t>
      </w:r>
      <w:r>
        <w:rPr>
          <w:i/>
          <w:iCs/>
        </w:rPr>
        <w:t xml:space="preserve"> </w:t>
      </w:r>
      <w:r>
        <w:rPr>
          <w:rStyle w:val="VerbatimChar"/>
          <w:i/>
          <w:iCs/>
        </w:rPr>
        <w:t xml:space="preserve">u3_inventory_optimization.py</w:t>
      </w:r>
      <w:r>
        <w:rPr>
          <w:i/>
          <w:iCs/>
        </w:rPr>
        <w:t xml:space="preserve"> </w:t>
      </w:r>
      <w:r>
        <w:rPr>
          <w:i/>
          <w:iCs/>
        </w:rPr>
        <w:t xml:space="preserve">using the Finger Lakes dataset loaded via</w:t>
      </w:r>
      <w:r>
        <w:rPr>
          <w:i/>
          <w:iCs/>
        </w:rPr>
        <w:t xml:space="preserve"> </w:t>
      </w:r>
      <w:r>
        <w:rPr>
          <w:rStyle w:val="VerbatimChar"/>
          <w:i/>
          <w:iCs/>
        </w:rPr>
        <w:t xml:space="preserve">u3_ingestion.py</w:t>
      </w:r>
      <w:r>
        <w:rPr>
          <w:i/>
          <w:iCs/>
        </w:rPr>
        <w:t xml:space="preserv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U3 Assignment Answers</dc:title>
  <dc:creator>Gill, Nathanael</dc:creator>
  <cp:keywords/>
  <dcterms:created xsi:type="dcterms:W3CDTF">2026-02-25T01:26:35Z</dcterms:created>
  <dcterms:modified xsi:type="dcterms:W3CDTF">2026-02-25T01:26:35Z</dcterms:modified>
</cp:coreProperties>
</file>

<file path=docProps/custom.xml><?xml version="1.0" encoding="utf-8"?>
<Properties xmlns="http://schemas.openxmlformats.org/officeDocument/2006/custom-properties" xmlns:vt="http://schemas.openxmlformats.org/officeDocument/2006/docPropsVTypes"/>
</file>