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DD2D1" w14:textId="77777777" w:rsidR="00AE0B4A" w:rsidRDefault="00883061">
      <w:pPr>
        <w:pStyle w:val="Title"/>
      </w:pPr>
      <w:r>
        <w:t>Tables and figures</w:t>
      </w:r>
    </w:p>
    <w:p w14:paraId="688D5A0A" w14:textId="77777777" w:rsidR="00AE0B4A" w:rsidRDefault="00883061">
      <w:pPr>
        <w:pStyle w:val="Heading2"/>
      </w:pPr>
      <w:r>
        <w:t>Table 1</w:t>
      </w:r>
      <w:r>
        <w:t>. Baseline characteristics of the analytic cohort, overall and by OSA status.</w:t>
      </w:r>
    </w:p>
    <w:tbl>
      <w:tblPr>
        <w:tblW w:w="10368" w:type="dxa"/>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4752"/>
        <w:gridCol w:w="1872"/>
        <w:gridCol w:w="1872"/>
        <w:gridCol w:w="1872"/>
      </w:tblGrid>
      <w:tr w:rsidR="00FC3175" w14:paraId="36393813" w14:textId="77777777" w:rsidTr="00C5352B">
        <w:trPr>
          <w:cantSplit/>
          <w:tblHeader/>
          <w:jc w:val="center"/>
        </w:trPr>
        <w:tc>
          <w:tcPr>
            <w:tcW w:w="4752" w:type="dxa"/>
            <w:tcBorders>
              <w:top w:val="single" w:sz="4" w:space="0" w:color="D9D9D9"/>
              <w:left w:val="single" w:sz="4" w:space="0" w:color="D9D9D9"/>
              <w:bottom w:val="single" w:sz="4" w:space="0" w:color="D9D9D9"/>
              <w:right w:val="single" w:sz="4" w:space="0" w:color="D9D9D9"/>
            </w:tcBorders>
            <w:shd w:val="clear" w:color="auto" w:fill="E7EBEF"/>
            <w:tcMar>
              <w:top w:w="55" w:type="dxa"/>
              <w:left w:w="75" w:type="dxa"/>
              <w:bottom w:w="55" w:type="dxa"/>
              <w:right w:w="75" w:type="dxa"/>
            </w:tcMar>
            <w:vAlign w:val="center"/>
          </w:tcPr>
          <w:p w14:paraId="11C421BB" w14:textId="77777777" w:rsidR="00883061" w:rsidRDefault="00883061" w:rsidP="00C5352B">
            <w:pPr>
              <w:spacing w:after="0"/>
            </w:pPr>
            <w:r>
              <w:rPr>
                <w:b/>
                <w:sz w:val="18"/>
              </w:rPr>
              <w:t>Characteristic</w:t>
            </w:r>
          </w:p>
        </w:tc>
        <w:tc>
          <w:tcPr>
            <w:tcW w:w="1872" w:type="dxa"/>
            <w:tcBorders>
              <w:top w:val="single" w:sz="4" w:space="0" w:color="D9D9D9"/>
              <w:left w:val="single" w:sz="4" w:space="0" w:color="D9D9D9"/>
              <w:bottom w:val="single" w:sz="4" w:space="0" w:color="D9D9D9"/>
              <w:right w:val="single" w:sz="4" w:space="0" w:color="D9D9D9"/>
            </w:tcBorders>
            <w:shd w:val="clear" w:color="auto" w:fill="E7EBEF"/>
            <w:tcMar>
              <w:top w:w="55" w:type="dxa"/>
              <w:left w:w="75" w:type="dxa"/>
              <w:bottom w:w="55" w:type="dxa"/>
              <w:right w:w="75" w:type="dxa"/>
            </w:tcMar>
            <w:vAlign w:val="center"/>
          </w:tcPr>
          <w:p w14:paraId="2C4EAC38" w14:textId="77777777" w:rsidR="00883061" w:rsidRDefault="00883061" w:rsidP="00C5352B">
            <w:pPr>
              <w:spacing w:after="0"/>
              <w:jc w:val="center"/>
            </w:pPr>
            <w:r>
              <w:rPr>
                <w:b/>
                <w:sz w:val="18"/>
              </w:rPr>
              <w:t>Overall</w:t>
            </w:r>
          </w:p>
        </w:tc>
        <w:tc>
          <w:tcPr>
            <w:tcW w:w="1872" w:type="dxa"/>
            <w:tcBorders>
              <w:top w:val="single" w:sz="4" w:space="0" w:color="D9D9D9"/>
              <w:left w:val="single" w:sz="4" w:space="0" w:color="D9D9D9"/>
              <w:bottom w:val="single" w:sz="4" w:space="0" w:color="D9D9D9"/>
              <w:right w:val="single" w:sz="4" w:space="0" w:color="D9D9D9"/>
            </w:tcBorders>
            <w:shd w:val="clear" w:color="auto" w:fill="E7EBEF"/>
            <w:tcMar>
              <w:top w:w="55" w:type="dxa"/>
              <w:left w:w="75" w:type="dxa"/>
              <w:bottom w:w="55" w:type="dxa"/>
              <w:right w:w="75" w:type="dxa"/>
            </w:tcMar>
            <w:vAlign w:val="center"/>
          </w:tcPr>
          <w:p w14:paraId="6131BD67" w14:textId="77777777" w:rsidR="00883061" w:rsidRDefault="00883061" w:rsidP="00C5352B">
            <w:pPr>
              <w:spacing w:after="0"/>
              <w:jc w:val="center"/>
            </w:pPr>
            <w:r>
              <w:rPr>
                <w:b/>
                <w:sz w:val="18"/>
              </w:rPr>
              <w:t>OSA</w:t>
            </w:r>
            <w:r>
              <w:rPr>
                <w:b/>
                <w:sz w:val="18"/>
              </w:rPr>
              <w:br/>
              <w:t>(AHI ≥5)</w:t>
            </w:r>
          </w:p>
        </w:tc>
        <w:tc>
          <w:tcPr>
            <w:tcW w:w="1872" w:type="dxa"/>
            <w:tcBorders>
              <w:top w:val="single" w:sz="4" w:space="0" w:color="D9D9D9"/>
              <w:left w:val="single" w:sz="4" w:space="0" w:color="D9D9D9"/>
              <w:bottom w:val="single" w:sz="4" w:space="0" w:color="D9D9D9"/>
              <w:right w:val="single" w:sz="4" w:space="0" w:color="D9D9D9"/>
            </w:tcBorders>
            <w:shd w:val="clear" w:color="auto" w:fill="E7EBEF"/>
            <w:tcMar>
              <w:top w:w="55" w:type="dxa"/>
              <w:left w:w="75" w:type="dxa"/>
              <w:bottom w:w="55" w:type="dxa"/>
              <w:right w:w="75" w:type="dxa"/>
            </w:tcMar>
            <w:vAlign w:val="center"/>
          </w:tcPr>
          <w:p w14:paraId="4C3C092F" w14:textId="77777777" w:rsidR="00883061" w:rsidRDefault="00883061" w:rsidP="00C5352B">
            <w:pPr>
              <w:spacing w:after="0"/>
              <w:jc w:val="center"/>
            </w:pPr>
            <w:r>
              <w:rPr>
                <w:b/>
                <w:sz w:val="18"/>
              </w:rPr>
              <w:t>No OSA</w:t>
            </w:r>
            <w:r>
              <w:rPr>
                <w:b/>
                <w:sz w:val="18"/>
              </w:rPr>
              <w:br/>
              <w:t>(AHI &lt;5)</w:t>
            </w:r>
          </w:p>
        </w:tc>
      </w:tr>
      <w:tr w:rsidR="00FC3175" w14:paraId="659AFFF4" w14:textId="77777777" w:rsidTr="00C5352B">
        <w:trPr>
          <w:cantSplit/>
          <w:jc w:val="center"/>
        </w:trPr>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4C290F3D" w14:textId="77777777" w:rsidR="00883061" w:rsidRDefault="00883061" w:rsidP="00C5352B">
            <w:pPr>
              <w:spacing w:after="0"/>
            </w:pPr>
            <w:r>
              <w:rPr>
                <w:sz w:val="18"/>
              </w:rPr>
              <w:t>Participants, n</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5E3A64EF" w14:textId="77777777" w:rsidR="00883061" w:rsidRDefault="00883061" w:rsidP="00C5352B">
            <w:pPr>
              <w:spacing w:after="0"/>
              <w:jc w:val="center"/>
            </w:pPr>
            <w:r>
              <w:rPr>
                <w:sz w:val="18"/>
              </w:rPr>
              <w:t>222,109</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013F137F" w14:textId="77777777" w:rsidR="00883061" w:rsidRDefault="00883061" w:rsidP="00C5352B">
            <w:pPr>
              <w:spacing w:after="0"/>
              <w:jc w:val="center"/>
            </w:pPr>
            <w:r>
              <w:rPr>
                <w:sz w:val="18"/>
              </w:rPr>
              <w:t>161,491</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6BDBAD7A" w14:textId="77777777" w:rsidR="00883061" w:rsidRDefault="00883061" w:rsidP="00C5352B">
            <w:pPr>
              <w:spacing w:after="0"/>
              <w:jc w:val="center"/>
            </w:pPr>
            <w:r>
              <w:rPr>
                <w:sz w:val="18"/>
              </w:rPr>
              <w:t>60,618</w:t>
            </w:r>
          </w:p>
        </w:tc>
      </w:tr>
      <w:tr w:rsidR="00FC3175" w14:paraId="7A19B651" w14:textId="77777777" w:rsidTr="00C5352B">
        <w:trPr>
          <w:cantSplit/>
          <w:jc w:val="center"/>
        </w:trPr>
        <w:tc>
          <w:tcPr>
            <w:tcW w:w="4752"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065A28E8" w14:textId="77777777" w:rsidR="00883061" w:rsidRDefault="00883061" w:rsidP="00C5352B">
            <w:pPr>
              <w:spacing w:after="0"/>
            </w:pPr>
            <w:r>
              <w:rPr>
                <w:sz w:val="18"/>
              </w:rPr>
              <w:t>Age, years, mean (SD)</w:t>
            </w:r>
          </w:p>
        </w:tc>
        <w:tc>
          <w:tcPr>
            <w:tcW w:w="1872"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4BE00A06" w14:textId="77777777" w:rsidR="00883061" w:rsidRDefault="00883061" w:rsidP="00C5352B">
            <w:pPr>
              <w:spacing w:after="0"/>
              <w:jc w:val="center"/>
            </w:pPr>
            <w:r>
              <w:rPr>
                <w:sz w:val="18"/>
              </w:rPr>
              <w:t>51.3 (15.2)</w:t>
            </w:r>
          </w:p>
        </w:tc>
        <w:tc>
          <w:tcPr>
            <w:tcW w:w="1872"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6CED556E" w14:textId="77777777" w:rsidR="00883061" w:rsidRDefault="00883061" w:rsidP="00C5352B">
            <w:pPr>
              <w:spacing w:after="0"/>
              <w:jc w:val="center"/>
            </w:pPr>
            <w:r>
              <w:rPr>
                <w:sz w:val="18"/>
              </w:rPr>
              <w:t>53.0 (14.6)</w:t>
            </w:r>
          </w:p>
        </w:tc>
        <w:tc>
          <w:tcPr>
            <w:tcW w:w="1872"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67F34137" w14:textId="77777777" w:rsidR="00883061" w:rsidRDefault="00883061" w:rsidP="00C5352B">
            <w:pPr>
              <w:spacing w:after="0"/>
              <w:jc w:val="center"/>
            </w:pPr>
            <w:r>
              <w:rPr>
                <w:sz w:val="18"/>
              </w:rPr>
              <w:t>46.7 (15.8)</w:t>
            </w:r>
          </w:p>
        </w:tc>
      </w:tr>
      <w:tr w:rsidR="00FC3175" w14:paraId="2F446E08" w14:textId="77777777" w:rsidTr="00C5352B">
        <w:trPr>
          <w:cantSplit/>
          <w:jc w:val="center"/>
        </w:trPr>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47742B60" w14:textId="77777777" w:rsidR="00883061" w:rsidRDefault="00883061" w:rsidP="00C5352B">
            <w:pPr>
              <w:spacing w:after="0"/>
            </w:pPr>
            <w:r>
              <w:rPr>
                <w:sz w:val="18"/>
              </w:rPr>
              <w:t>AHI, events/h, mean (SD)</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4EB0D5B8" w14:textId="77777777" w:rsidR="00883061" w:rsidRDefault="00883061" w:rsidP="00C5352B">
            <w:pPr>
              <w:spacing w:after="0"/>
              <w:jc w:val="center"/>
            </w:pPr>
            <w:r>
              <w:rPr>
                <w:sz w:val="18"/>
              </w:rPr>
              <w:t>19.9 (22.3)</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7103D77F" w14:textId="77777777" w:rsidR="00883061" w:rsidRDefault="00883061" w:rsidP="00C5352B">
            <w:pPr>
              <w:spacing w:after="0"/>
              <w:jc w:val="center"/>
            </w:pPr>
            <w:r>
              <w:rPr>
                <w:sz w:val="18"/>
              </w:rPr>
              <w:t>26.6 (22.9)</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3B6F134E" w14:textId="77777777" w:rsidR="00883061" w:rsidRDefault="00883061" w:rsidP="00C5352B">
            <w:pPr>
              <w:spacing w:after="0"/>
              <w:jc w:val="center"/>
            </w:pPr>
            <w:r>
              <w:rPr>
                <w:sz w:val="18"/>
              </w:rPr>
              <w:t>2.2 (1.4)</w:t>
            </w:r>
          </w:p>
        </w:tc>
      </w:tr>
      <w:tr w:rsidR="00FC3175" w14:paraId="49EB377C" w14:textId="77777777" w:rsidTr="00C5352B">
        <w:trPr>
          <w:cantSplit/>
          <w:jc w:val="center"/>
        </w:trPr>
        <w:tc>
          <w:tcPr>
            <w:tcW w:w="4752"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6F3DE273" w14:textId="77777777" w:rsidR="00883061" w:rsidRDefault="00883061" w:rsidP="00C5352B">
            <w:pPr>
              <w:spacing w:after="0"/>
            </w:pPr>
            <w:r>
              <w:rPr>
                <w:sz w:val="18"/>
              </w:rPr>
              <w:t>BMI, kg/m2, mean (SD)</w:t>
            </w:r>
          </w:p>
        </w:tc>
        <w:tc>
          <w:tcPr>
            <w:tcW w:w="1872"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342542CD" w14:textId="77777777" w:rsidR="00883061" w:rsidRDefault="00883061" w:rsidP="00C5352B">
            <w:pPr>
              <w:spacing w:after="0"/>
              <w:jc w:val="center"/>
            </w:pPr>
            <w:r>
              <w:rPr>
                <w:sz w:val="18"/>
              </w:rPr>
              <w:t>33.3 (7.9)</w:t>
            </w:r>
          </w:p>
        </w:tc>
        <w:tc>
          <w:tcPr>
            <w:tcW w:w="1872"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1480710A" w14:textId="77777777" w:rsidR="00883061" w:rsidRDefault="00883061" w:rsidP="00C5352B">
            <w:pPr>
              <w:spacing w:after="0"/>
              <w:jc w:val="center"/>
            </w:pPr>
            <w:r>
              <w:rPr>
                <w:sz w:val="18"/>
              </w:rPr>
              <w:t>34.4 (7.9)</w:t>
            </w:r>
          </w:p>
        </w:tc>
        <w:tc>
          <w:tcPr>
            <w:tcW w:w="1872"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1E7D59D0" w14:textId="77777777" w:rsidR="00883061" w:rsidRDefault="00883061" w:rsidP="00C5352B">
            <w:pPr>
              <w:spacing w:after="0"/>
              <w:jc w:val="center"/>
            </w:pPr>
            <w:r>
              <w:rPr>
                <w:sz w:val="18"/>
              </w:rPr>
              <w:t>30.3 (7.1)</w:t>
            </w:r>
          </w:p>
        </w:tc>
      </w:tr>
      <w:tr w:rsidR="00FC3175" w14:paraId="717E8008" w14:textId="77777777" w:rsidTr="00C5352B">
        <w:trPr>
          <w:cantSplit/>
          <w:jc w:val="center"/>
        </w:trPr>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5FBC6F5B" w14:textId="77777777" w:rsidR="00883061" w:rsidRDefault="00883061" w:rsidP="00C5352B">
            <w:pPr>
              <w:spacing w:after="0"/>
            </w:pPr>
            <w:r>
              <w:rPr>
                <w:sz w:val="18"/>
              </w:rPr>
              <w:t>Male, n (%)</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5B08D1B2" w14:textId="77777777" w:rsidR="00883061" w:rsidRDefault="00883061" w:rsidP="00C5352B">
            <w:pPr>
              <w:spacing w:after="0"/>
              <w:jc w:val="center"/>
            </w:pPr>
            <w:r>
              <w:rPr>
                <w:sz w:val="18"/>
              </w:rPr>
              <w:t>118,251 (53.2%)</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7C61791F" w14:textId="77777777" w:rsidR="00883061" w:rsidRDefault="00883061" w:rsidP="00C5352B">
            <w:pPr>
              <w:spacing w:after="0"/>
              <w:jc w:val="center"/>
            </w:pPr>
            <w:r>
              <w:rPr>
                <w:sz w:val="18"/>
              </w:rPr>
              <w:t>93,780 (58.1%)</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427083D6" w14:textId="77777777" w:rsidR="00883061" w:rsidRDefault="00883061" w:rsidP="00C5352B">
            <w:pPr>
              <w:spacing w:after="0"/>
              <w:jc w:val="center"/>
            </w:pPr>
            <w:r>
              <w:rPr>
                <w:sz w:val="18"/>
              </w:rPr>
              <w:t>24,471 (40.4%)</w:t>
            </w:r>
          </w:p>
        </w:tc>
      </w:tr>
      <w:tr w:rsidR="00FC3175" w14:paraId="50116220" w14:textId="77777777" w:rsidTr="00C5352B">
        <w:trPr>
          <w:cantSplit/>
          <w:jc w:val="center"/>
        </w:trPr>
        <w:tc>
          <w:tcPr>
            <w:tcW w:w="4752"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1D02A433" w14:textId="77777777" w:rsidR="00AE0B4A" w:rsidRDefault="00883061">
            <w:pPr>
              <w:spacing w:after="0"/>
            </w:pPr>
            <w:r>
              <w:rPr>
                <w:sz w:val="18"/>
              </w:rPr>
              <w:t>Charlson Comorbidity Index, mean (SD)</w:t>
            </w:r>
          </w:p>
        </w:tc>
        <w:tc>
          <w:tcPr>
            <w:tcW w:w="1872"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09620495" w14:textId="77777777" w:rsidR="00AE0B4A" w:rsidRDefault="00883061">
            <w:pPr>
              <w:spacing w:after="0"/>
              <w:jc w:val="center"/>
            </w:pPr>
            <w:r>
              <w:rPr>
                <w:sz w:val="18"/>
              </w:rPr>
              <w:t>1.48 (2.02)</w:t>
            </w:r>
          </w:p>
        </w:tc>
        <w:tc>
          <w:tcPr>
            <w:tcW w:w="1872"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1056899F" w14:textId="77777777" w:rsidR="00AE0B4A" w:rsidRDefault="00883061">
            <w:pPr>
              <w:spacing w:after="0"/>
              <w:jc w:val="center"/>
            </w:pPr>
            <w:r>
              <w:rPr>
                <w:sz w:val="18"/>
              </w:rPr>
              <w:t>1.58 (2.08)</w:t>
            </w:r>
          </w:p>
        </w:tc>
        <w:tc>
          <w:tcPr>
            <w:tcW w:w="1872"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62EA42CB" w14:textId="77777777" w:rsidR="00AE0B4A" w:rsidRDefault="00883061">
            <w:pPr>
              <w:spacing w:after="0"/>
              <w:jc w:val="center"/>
            </w:pPr>
            <w:r>
              <w:rPr>
                <w:sz w:val="18"/>
              </w:rPr>
              <w:t>1.20 (1.83)</w:t>
            </w:r>
          </w:p>
        </w:tc>
      </w:tr>
      <w:tr w:rsidR="00FC3175" w14:paraId="6307E73E" w14:textId="77777777" w:rsidTr="00C5352B">
        <w:trPr>
          <w:cantSplit/>
          <w:jc w:val="center"/>
        </w:trPr>
        <w:tc>
          <w:tcPr>
            <w:tcW w:w="1872" w:type="dxa"/>
            <w:gridSpan w:val="4"/>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45EE538B" w14:textId="77777777" w:rsidR="00883061" w:rsidRDefault="00883061" w:rsidP="00C5352B">
            <w:pPr>
              <w:spacing w:after="0"/>
              <w:jc w:val="center"/>
            </w:pPr>
            <w:r>
              <w:rPr>
                <w:b/>
                <w:sz w:val="18"/>
              </w:rPr>
              <w:t>Race/ethnicity, n (%)</w:t>
            </w:r>
          </w:p>
        </w:tc>
      </w:tr>
      <w:tr w:rsidR="00FC3175" w14:paraId="3A341443" w14:textId="77777777" w:rsidTr="00C5352B">
        <w:trPr>
          <w:cantSplit/>
          <w:jc w:val="center"/>
        </w:trPr>
        <w:tc>
          <w:tcPr>
            <w:tcW w:w="4752"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413F1701" w14:textId="77777777" w:rsidR="00883061" w:rsidRDefault="00883061" w:rsidP="00C5352B">
            <w:pPr>
              <w:spacing w:after="0"/>
            </w:pPr>
            <w:r>
              <w:rPr>
                <w:sz w:val="18"/>
              </w:rPr>
              <w:t xml:space="preserve">  Hispanic</w:t>
            </w:r>
          </w:p>
        </w:tc>
        <w:tc>
          <w:tcPr>
            <w:tcW w:w="1872"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2C626744" w14:textId="77777777" w:rsidR="00883061" w:rsidRDefault="00883061" w:rsidP="00C5352B">
            <w:pPr>
              <w:spacing w:after="0"/>
              <w:jc w:val="center"/>
            </w:pPr>
            <w:r>
              <w:rPr>
                <w:sz w:val="18"/>
              </w:rPr>
              <w:t>87,928 (39.6%)</w:t>
            </w:r>
          </w:p>
        </w:tc>
        <w:tc>
          <w:tcPr>
            <w:tcW w:w="1872"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562076BD" w14:textId="77777777" w:rsidR="00883061" w:rsidRDefault="00883061" w:rsidP="00C5352B">
            <w:pPr>
              <w:spacing w:after="0"/>
              <w:jc w:val="center"/>
            </w:pPr>
            <w:r>
              <w:rPr>
                <w:sz w:val="18"/>
              </w:rPr>
              <w:t>64,553 (40.0%)</w:t>
            </w:r>
          </w:p>
        </w:tc>
        <w:tc>
          <w:tcPr>
            <w:tcW w:w="1872"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3678251A" w14:textId="77777777" w:rsidR="00883061" w:rsidRDefault="00883061" w:rsidP="00C5352B">
            <w:pPr>
              <w:spacing w:after="0"/>
              <w:jc w:val="center"/>
            </w:pPr>
            <w:r>
              <w:rPr>
                <w:sz w:val="18"/>
              </w:rPr>
              <w:t>23,375 (38.6%)</w:t>
            </w:r>
          </w:p>
        </w:tc>
      </w:tr>
      <w:tr w:rsidR="00FC3175" w14:paraId="16A0EF79" w14:textId="77777777" w:rsidTr="00C5352B">
        <w:trPr>
          <w:cantSplit/>
          <w:jc w:val="center"/>
        </w:trPr>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7AFA228E" w14:textId="77777777" w:rsidR="00883061" w:rsidRDefault="00883061" w:rsidP="00C5352B">
            <w:pPr>
              <w:spacing w:after="0"/>
            </w:pPr>
            <w:r>
              <w:rPr>
                <w:sz w:val="18"/>
              </w:rPr>
              <w:t xml:space="preserve">  White</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690CA814" w14:textId="77777777" w:rsidR="00883061" w:rsidRDefault="00883061" w:rsidP="00C5352B">
            <w:pPr>
              <w:spacing w:after="0"/>
              <w:jc w:val="center"/>
            </w:pPr>
            <w:r>
              <w:rPr>
                <w:sz w:val="18"/>
              </w:rPr>
              <w:t>81,732 (36.8%)</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25990945" w14:textId="77777777" w:rsidR="00883061" w:rsidRDefault="00883061" w:rsidP="00C5352B">
            <w:pPr>
              <w:spacing w:after="0"/>
              <w:jc w:val="center"/>
            </w:pPr>
            <w:r>
              <w:rPr>
                <w:sz w:val="18"/>
              </w:rPr>
              <w:t>58,926 (36.5%)</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7B055529" w14:textId="77777777" w:rsidR="00883061" w:rsidRDefault="00883061" w:rsidP="00C5352B">
            <w:pPr>
              <w:spacing w:after="0"/>
              <w:jc w:val="center"/>
            </w:pPr>
            <w:r>
              <w:rPr>
                <w:sz w:val="18"/>
              </w:rPr>
              <w:t>22,806 (37.6%)</w:t>
            </w:r>
          </w:p>
        </w:tc>
      </w:tr>
      <w:tr w:rsidR="00FC3175" w14:paraId="2CE7BFA5" w14:textId="77777777" w:rsidTr="00C5352B">
        <w:trPr>
          <w:cantSplit/>
          <w:jc w:val="center"/>
        </w:trPr>
        <w:tc>
          <w:tcPr>
            <w:tcW w:w="4752"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370FA5E3" w14:textId="77777777" w:rsidR="00883061" w:rsidRDefault="00883061" w:rsidP="00C5352B">
            <w:pPr>
              <w:spacing w:after="0"/>
            </w:pPr>
            <w:r>
              <w:rPr>
                <w:sz w:val="18"/>
              </w:rPr>
              <w:t xml:space="preserve">  Asian</w:t>
            </w:r>
          </w:p>
        </w:tc>
        <w:tc>
          <w:tcPr>
            <w:tcW w:w="1872"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6E5BC064" w14:textId="77777777" w:rsidR="00883061" w:rsidRDefault="00883061" w:rsidP="00C5352B">
            <w:pPr>
              <w:spacing w:after="0"/>
              <w:jc w:val="center"/>
            </w:pPr>
            <w:r>
              <w:rPr>
                <w:sz w:val="18"/>
              </w:rPr>
              <w:t>23,109 (10.4%)</w:t>
            </w:r>
          </w:p>
        </w:tc>
        <w:tc>
          <w:tcPr>
            <w:tcW w:w="1872"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50F0AEBE" w14:textId="77777777" w:rsidR="00883061" w:rsidRDefault="00883061" w:rsidP="00C5352B">
            <w:pPr>
              <w:spacing w:after="0"/>
              <w:jc w:val="center"/>
            </w:pPr>
            <w:r>
              <w:rPr>
                <w:sz w:val="18"/>
              </w:rPr>
              <w:t>16,748 (10.4%)</w:t>
            </w:r>
          </w:p>
        </w:tc>
        <w:tc>
          <w:tcPr>
            <w:tcW w:w="1872"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3C6C96F3" w14:textId="77777777" w:rsidR="00883061" w:rsidRDefault="00883061" w:rsidP="00C5352B">
            <w:pPr>
              <w:spacing w:after="0"/>
              <w:jc w:val="center"/>
            </w:pPr>
            <w:r>
              <w:rPr>
                <w:sz w:val="18"/>
              </w:rPr>
              <w:t>6,361 (10.5%)</w:t>
            </w:r>
          </w:p>
        </w:tc>
      </w:tr>
      <w:tr w:rsidR="00FC3175" w14:paraId="5BAE12DD" w14:textId="77777777" w:rsidTr="00C5352B">
        <w:trPr>
          <w:cantSplit/>
          <w:jc w:val="center"/>
        </w:trPr>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51AFEED6" w14:textId="77777777" w:rsidR="00883061" w:rsidRDefault="00883061" w:rsidP="00C5352B">
            <w:pPr>
              <w:spacing w:after="0"/>
            </w:pPr>
            <w:r>
              <w:rPr>
                <w:sz w:val="18"/>
              </w:rPr>
              <w:t xml:space="preserve">  Black</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656A7609" w14:textId="77777777" w:rsidR="00883061" w:rsidRDefault="00883061" w:rsidP="00C5352B">
            <w:pPr>
              <w:spacing w:after="0"/>
              <w:jc w:val="center"/>
            </w:pPr>
            <w:r>
              <w:rPr>
                <w:sz w:val="18"/>
              </w:rPr>
              <w:t>18,538 (8.3%)</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403F1F7F" w14:textId="77777777" w:rsidR="00883061" w:rsidRDefault="00883061" w:rsidP="00C5352B">
            <w:pPr>
              <w:spacing w:after="0"/>
              <w:jc w:val="center"/>
            </w:pPr>
            <w:r>
              <w:rPr>
                <w:sz w:val="18"/>
              </w:rPr>
              <w:t>13,454 (8.3%)</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50A81803" w14:textId="77777777" w:rsidR="00883061" w:rsidRDefault="00883061" w:rsidP="00C5352B">
            <w:pPr>
              <w:spacing w:after="0"/>
              <w:jc w:val="center"/>
            </w:pPr>
            <w:r>
              <w:rPr>
                <w:sz w:val="18"/>
              </w:rPr>
              <w:t>5,084 (8.4%)</w:t>
            </w:r>
          </w:p>
        </w:tc>
      </w:tr>
      <w:tr w:rsidR="00FC3175" w14:paraId="6B25E9F0" w14:textId="77777777" w:rsidTr="00C5352B">
        <w:trPr>
          <w:cantSplit/>
          <w:jc w:val="center"/>
        </w:trPr>
        <w:tc>
          <w:tcPr>
            <w:tcW w:w="4752"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40169814" w14:textId="77777777" w:rsidR="00883061" w:rsidRDefault="00883061" w:rsidP="00C5352B">
            <w:pPr>
              <w:spacing w:after="0"/>
            </w:pPr>
            <w:r>
              <w:rPr>
                <w:sz w:val="18"/>
              </w:rPr>
              <w:t xml:space="preserve">  Pacific Islander</w:t>
            </w:r>
          </w:p>
        </w:tc>
        <w:tc>
          <w:tcPr>
            <w:tcW w:w="1872"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3DD51168" w14:textId="77777777" w:rsidR="00883061" w:rsidRDefault="00883061" w:rsidP="00C5352B">
            <w:pPr>
              <w:spacing w:after="0"/>
              <w:jc w:val="center"/>
            </w:pPr>
            <w:r>
              <w:rPr>
                <w:sz w:val="18"/>
              </w:rPr>
              <w:t>1,726 (0.8%)</w:t>
            </w:r>
          </w:p>
        </w:tc>
        <w:tc>
          <w:tcPr>
            <w:tcW w:w="1872"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320989F7" w14:textId="77777777" w:rsidR="00883061" w:rsidRDefault="00883061" w:rsidP="00C5352B">
            <w:pPr>
              <w:spacing w:after="0"/>
              <w:jc w:val="center"/>
            </w:pPr>
            <w:r>
              <w:rPr>
                <w:sz w:val="18"/>
              </w:rPr>
              <w:t>1,384 (0.9%)</w:t>
            </w:r>
          </w:p>
        </w:tc>
        <w:tc>
          <w:tcPr>
            <w:tcW w:w="1872"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32FE91A3" w14:textId="77777777" w:rsidR="00883061" w:rsidRDefault="00883061" w:rsidP="00C5352B">
            <w:pPr>
              <w:spacing w:after="0"/>
              <w:jc w:val="center"/>
            </w:pPr>
            <w:r>
              <w:rPr>
                <w:sz w:val="18"/>
              </w:rPr>
              <w:t>342 (0.6%)</w:t>
            </w:r>
          </w:p>
        </w:tc>
      </w:tr>
      <w:tr w:rsidR="00FC3175" w14:paraId="339C35CD" w14:textId="77777777" w:rsidTr="00C5352B">
        <w:trPr>
          <w:cantSplit/>
          <w:jc w:val="center"/>
        </w:trPr>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288C8038" w14:textId="77777777" w:rsidR="00883061" w:rsidRDefault="00883061" w:rsidP="00C5352B">
            <w:pPr>
              <w:spacing w:after="0"/>
            </w:pPr>
            <w:r>
              <w:rPr>
                <w:sz w:val="18"/>
              </w:rPr>
              <w:t xml:space="preserve">  American Indian or Alaska Native</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311FAAB4" w14:textId="77777777" w:rsidR="00883061" w:rsidRDefault="00883061" w:rsidP="00C5352B">
            <w:pPr>
              <w:spacing w:after="0"/>
              <w:jc w:val="center"/>
            </w:pPr>
            <w:r>
              <w:rPr>
                <w:sz w:val="18"/>
              </w:rPr>
              <w:t>474 (0.2%)</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26E4845F" w14:textId="77777777" w:rsidR="00883061" w:rsidRDefault="00883061" w:rsidP="00C5352B">
            <w:pPr>
              <w:spacing w:after="0"/>
              <w:jc w:val="center"/>
            </w:pPr>
            <w:r>
              <w:rPr>
                <w:sz w:val="18"/>
              </w:rPr>
              <w:t>357 (0.2%)</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27B70735" w14:textId="77777777" w:rsidR="00883061" w:rsidRDefault="00883061" w:rsidP="00C5352B">
            <w:pPr>
              <w:spacing w:after="0"/>
              <w:jc w:val="center"/>
            </w:pPr>
            <w:r>
              <w:rPr>
                <w:sz w:val="18"/>
              </w:rPr>
              <w:t>117 (0.2%)</w:t>
            </w:r>
          </w:p>
        </w:tc>
      </w:tr>
      <w:tr w:rsidR="00FC3175" w14:paraId="2C76A48D" w14:textId="77777777" w:rsidTr="00C5352B">
        <w:trPr>
          <w:cantSplit/>
          <w:jc w:val="center"/>
        </w:trPr>
        <w:tc>
          <w:tcPr>
            <w:tcW w:w="4752"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0AC8C022" w14:textId="77777777" w:rsidR="00883061" w:rsidRDefault="00883061" w:rsidP="00C5352B">
            <w:pPr>
              <w:spacing w:after="0"/>
            </w:pPr>
            <w:r>
              <w:rPr>
                <w:sz w:val="18"/>
              </w:rPr>
              <w:t xml:space="preserve">  Multiple</w:t>
            </w:r>
          </w:p>
        </w:tc>
        <w:tc>
          <w:tcPr>
            <w:tcW w:w="1872"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527F96D7" w14:textId="77777777" w:rsidR="00883061" w:rsidRDefault="00883061" w:rsidP="00C5352B">
            <w:pPr>
              <w:spacing w:after="0"/>
              <w:jc w:val="center"/>
            </w:pPr>
            <w:r>
              <w:rPr>
                <w:sz w:val="18"/>
              </w:rPr>
              <w:t>923 (0.4%)</w:t>
            </w:r>
          </w:p>
        </w:tc>
        <w:tc>
          <w:tcPr>
            <w:tcW w:w="1872"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03CAA2AE" w14:textId="77777777" w:rsidR="00883061" w:rsidRDefault="00883061" w:rsidP="00C5352B">
            <w:pPr>
              <w:spacing w:after="0"/>
              <w:jc w:val="center"/>
            </w:pPr>
            <w:r>
              <w:rPr>
                <w:sz w:val="18"/>
              </w:rPr>
              <w:t>620 (0.4%)</w:t>
            </w:r>
          </w:p>
        </w:tc>
        <w:tc>
          <w:tcPr>
            <w:tcW w:w="1872"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0FCFA842" w14:textId="77777777" w:rsidR="00883061" w:rsidRDefault="00883061" w:rsidP="00C5352B">
            <w:pPr>
              <w:spacing w:after="0"/>
              <w:jc w:val="center"/>
            </w:pPr>
            <w:r>
              <w:rPr>
                <w:sz w:val="18"/>
              </w:rPr>
              <w:t>303 (0.5%)</w:t>
            </w:r>
          </w:p>
        </w:tc>
      </w:tr>
      <w:tr w:rsidR="00FC3175" w14:paraId="34488909" w14:textId="77777777" w:rsidTr="00C5352B">
        <w:trPr>
          <w:cantSplit/>
          <w:jc w:val="center"/>
        </w:trPr>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5E936E04" w14:textId="77777777" w:rsidR="00883061" w:rsidRDefault="00883061" w:rsidP="00C5352B">
            <w:pPr>
              <w:spacing w:after="0"/>
            </w:pPr>
            <w:r>
              <w:rPr>
                <w:sz w:val="18"/>
              </w:rPr>
              <w:t xml:space="preserve">  Other</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58F08384" w14:textId="77777777" w:rsidR="00883061" w:rsidRDefault="00883061" w:rsidP="00C5352B">
            <w:pPr>
              <w:spacing w:after="0"/>
              <w:jc w:val="center"/>
            </w:pPr>
            <w:r>
              <w:rPr>
                <w:sz w:val="18"/>
              </w:rPr>
              <w:t>3,205 (1.4%)</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1DF246A8" w14:textId="77777777" w:rsidR="00883061" w:rsidRDefault="00883061" w:rsidP="00C5352B">
            <w:pPr>
              <w:spacing w:after="0"/>
              <w:jc w:val="center"/>
            </w:pPr>
            <w:r>
              <w:rPr>
                <w:sz w:val="18"/>
              </w:rPr>
              <w:t>2,227 (1.4%)</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728D5D7D" w14:textId="77777777" w:rsidR="00883061" w:rsidRDefault="00883061" w:rsidP="00C5352B">
            <w:pPr>
              <w:spacing w:after="0"/>
              <w:jc w:val="center"/>
            </w:pPr>
            <w:r>
              <w:rPr>
                <w:sz w:val="18"/>
              </w:rPr>
              <w:t>978 (1.6%)</w:t>
            </w:r>
          </w:p>
        </w:tc>
      </w:tr>
      <w:tr w:rsidR="00FC3175" w14:paraId="426B2092" w14:textId="77777777" w:rsidTr="00C5352B">
        <w:trPr>
          <w:cantSplit/>
          <w:jc w:val="center"/>
        </w:trPr>
        <w:tc>
          <w:tcPr>
            <w:tcW w:w="4752"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5DBDE53A" w14:textId="77777777" w:rsidR="00883061" w:rsidRDefault="00883061" w:rsidP="00C5352B">
            <w:pPr>
              <w:spacing w:after="0"/>
            </w:pPr>
            <w:r>
              <w:rPr>
                <w:sz w:val="18"/>
              </w:rPr>
              <w:t xml:space="preserve">  Unknown</w:t>
            </w:r>
          </w:p>
        </w:tc>
        <w:tc>
          <w:tcPr>
            <w:tcW w:w="1872"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590FBC6F" w14:textId="77777777" w:rsidR="00883061" w:rsidRDefault="00883061" w:rsidP="00C5352B">
            <w:pPr>
              <w:spacing w:after="0"/>
              <w:jc w:val="center"/>
            </w:pPr>
            <w:r>
              <w:rPr>
                <w:sz w:val="18"/>
              </w:rPr>
              <w:t>4,474 (2.0%)</w:t>
            </w:r>
          </w:p>
        </w:tc>
        <w:tc>
          <w:tcPr>
            <w:tcW w:w="1872"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4BBCCA69" w14:textId="77777777" w:rsidR="00883061" w:rsidRDefault="00883061" w:rsidP="00C5352B">
            <w:pPr>
              <w:spacing w:after="0"/>
              <w:jc w:val="center"/>
            </w:pPr>
            <w:r>
              <w:rPr>
                <w:sz w:val="18"/>
              </w:rPr>
              <w:t>3,222 (2.0%)</w:t>
            </w:r>
          </w:p>
        </w:tc>
        <w:tc>
          <w:tcPr>
            <w:tcW w:w="1872"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24AE010D" w14:textId="77777777" w:rsidR="00883061" w:rsidRDefault="00883061" w:rsidP="00C5352B">
            <w:pPr>
              <w:spacing w:after="0"/>
              <w:jc w:val="center"/>
            </w:pPr>
            <w:r>
              <w:rPr>
                <w:sz w:val="18"/>
              </w:rPr>
              <w:t>1,252 (2.1%)</w:t>
            </w:r>
          </w:p>
        </w:tc>
      </w:tr>
      <w:tr w:rsidR="00FC3175" w14:paraId="3B15DC0F" w14:textId="77777777" w:rsidTr="00C5352B">
        <w:trPr>
          <w:cantSplit/>
          <w:jc w:val="center"/>
        </w:trPr>
        <w:tc>
          <w:tcPr>
            <w:tcW w:w="1872" w:type="dxa"/>
            <w:gridSpan w:val="4"/>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22CD5A81" w14:textId="77777777" w:rsidR="00883061" w:rsidRDefault="00883061" w:rsidP="00C5352B">
            <w:pPr>
              <w:spacing w:after="0"/>
              <w:jc w:val="center"/>
            </w:pPr>
            <w:r>
              <w:rPr>
                <w:b/>
                <w:sz w:val="18"/>
              </w:rPr>
              <w:t>Smoking status, n (%)</w:t>
            </w:r>
          </w:p>
        </w:tc>
      </w:tr>
      <w:tr w:rsidR="00FC3175" w14:paraId="0734F786" w14:textId="77777777" w:rsidTr="00C5352B">
        <w:trPr>
          <w:cantSplit/>
          <w:jc w:val="center"/>
        </w:trPr>
        <w:tc>
          <w:tcPr>
            <w:tcW w:w="4752"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50A7F314" w14:textId="77777777" w:rsidR="00883061" w:rsidRDefault="00883061" w:rsidP="00C5352B">
            <w:pPr>
              <w:spacing w:after="0"/>
            </w:pPr>
            <w:r>
              <w:rPr>
                <w:sz w:val="18"/>
              </w:rPr>
              <w:t xml:space="preserve">  Never</w:t>
            </w:r>
          </w:p>
        </w:tc>
        <w:tc>
          <w:tcPr>
            <w:tcW w:w="1872"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562538FB" w14:textId="77777777" w:rsidR="00883061" w:rsidRDefault="00883061" w:rsidP="00C5352B">
            <w:pPr>
              <w:spacing w:after="0"/>
              <w:jc w:val="center"/>
            </w:pPr>
            <w:r>
              <w:rPr>
                <w:sz w:val="18"/>
              </w:rPr>
              <w:t>155,330 (69.9%)</w:t>
            </w:r>
          </w:p>
        </w:tc>
        <w:tc>
          <w:tcPr>
            <w:tcW w:w="1872"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6D07D28B" w14:textId="77777777" w:rsidR="00883061" w:rsidRDefault="00883061" w:rsidP="00C5352B">
            <w:pPr>
              <w:spacing w:after="0"/>
              <w:jc w:val="center"/>
            </w:pPr>
            <w:r>
              <w:rPr>
                <w:sz w:val="18"/>
              </w:rPr>
              <w:t>109,836 (68.0%)</w:t>
            </w:r>
          </w:p>
        </w:tc>
        <w:tc>
          <w:tcPr>
            <w:tcW w:w="1872"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602504C6" w14:textId="77777777" w:rsidR="00883061" w:rsidRDefault="00883061" w:rsidP="00C5352B">
            <w:pPr>
              <w:spacing w:after="0"/>
              <w:jc w:val="center"/>
            </w:pPr>
            <w:r>
              <w:rPr>
                <w:sz w:val="18"/>
              </w:rPr>
              <w:t>45,494 (75.1%)</w:t>
            </w:r>
          </w:p>
        </w:tc>
      </w:tr>
      <w:tr w:rsidR="00FC3175" w14:paraId="3DBE0531" w14:textId="77777777" w:rsidTr="00C5352B">
        <w:trPr>
          <w:cantSplit/>
          <w:jc w:val="center"/>
        </w:trPr>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1608901F" w14:textId="77777777" w:rsidR="00883061" w:rsidRDefault="00883061" w:rsidP="00C5352B">
            <w:pPr>
              <w:spacing w:after="0"/>
            </w:pPr>
            <w:r>
              <w:rPr>
                <w:sz w:val="18"/>
              </w:rPr>
              <w:t xml:space="preserve">  Former</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618DB0D4" w14:textId="77777777" w:rsidR="00883061" w:rsidRDefault="00883061" w:rsidP="00C5352B">
            <w:pPr>
              <w:spacing w:after="0"/>
              <w:jc w:val="center"/>
            </w:pPr>
            <w:r>
              <w:rPr>
                <w:sz w:val="18"/>
              </w:rPr>
              <w:t>40,840 (18.4%)</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13C59E5E" w14:textId="77777777" w:rsidR="00883061" w:rsidRDefault="00883061" w:rsidP="00C5352B">
            <w:pPr>
              <w:spacing w:after="0"/>
              <w:jc w:val="center"/>
            </w:pPr>
            <w:r>
              <w:rPr>
                <w:sz w:val="18"/>
              </w:rPr>
              <w:t>31,857 (19.7%)</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1F593E76" w14:textId="77777777" w:rsidR="00883061" w:rsidRDefault="00883061" w:rsidP="00C5352B">
            <w:pPr>
              <w:spacing w:after="0"/>
              <w:jc w:val="center"/>
            </w:pPr>
            <w:r>
              <w:rPr>
                <w:sz w:val="18"/>
              </w:rPr>
              <w:t>8,983 (14.8%)</w:t>
            </w:r>
          </w:p>
        </w:tc>
      </w:tr>
      <w:tr w:rsidR="00FC3175" w14:paraId="226A2D67" w14:textId="77777777" w:rsidTr="00C5352B">
        <w:trPr>
          <w:cantSplit/>
          <w:jc w:val="center"/>
        </w:trPr>
        <w:tc>
          <w:tcPr>
            <w:tcW w:w="4752"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3DD9F7DA" w14:textId="77777777" w:rsidR="00883061" w:rsidRDefault="00883061" w:rsidP="00C5352B">
            <w:pPr>
              <w:spacing w:after="0"/>
            </w:pPr>
            <w:r>
              <w:rPr>
                <w:sz w:val="18"/>
              </w:rPr>
              <w:t xml:space="preserve">  Current</w:t>
            </w:r>
          </w:p>
        </w:tc>
        <w:tc>
          <w:tcPr>
            <w:tcW w:w="1872"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6E0631DF" w14:textId="77777777" w:rsidR="00883061" w:rsidRDefault="00883061" w:rsidP="00C5352B">
            <w:pPr>
              <w:spacing w:after="0"/>
              <w:jc w:val="center"/>
            </w:pPr>
            <w:r>
              <w:rPr>
                <w:sz w:val="18"/>
              </w:rPr>
              <w:t>13,988 (6.3%)</w:t>
            </w:r>
          </w:p>
        </w:tc>
        <w:tc>
          <w:tcPr>
            <w:tcW w:w="1872"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7EB42361" w14:textId="77777777" w:rsidR="00883061" w:rsidRDefault="00883061" w:rsidP="00C5352B">
            <w:pPr>
              <w:spacing w:after="0"/>
              <w:jc w:val="center"/>
            </w:pPr>
            <w:r>
              <w:rPr>
                <w:sz w:val="18"/>
              </w:rPr>
              <w:t>10,617 (6.6%)</w:t>
            </w:r>
          </w:p>
        </w:tc>
        <w:tc>
          <w:tcPr>
            <w:tcW w:w="1872"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5FBE4BAE" w14:textId="77777777" w:rsidR="00883061" w:rsidRDefault="00883061" w:rsidP="00C5352B">
            <w:pPr>
              <w:spacing w:after="0"/>
              <w:jc w:val="center"/>
            </w:pPr>
            <w:r>
              <w:rPr>
                <w:sz w:val="18"/>
              </w:rPr>
              <w:t>3,371 (5.6%)</w:t>
            </w:r>
          </w:p>
        </w:tc>
      </w:tr>
      <w:tr w:rsidR="00FC3175" w14:paraId="0706FD5C" w14:textId="77777777" w:rsidTr="00C5352B">
        <w:trPr>
          <w:cantSplit/>
          <w:jc w:val="center"/>
        </w:trPr>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5E5C7E11" w14:textId="77777777" w:rsidR="00883061" w:rsidRDefault="00883061" w:rsidP="00C5352B">
            <w:pPr>
              <w:spacing w:after="0"/>
            </w:pPr>
            <w:r>
              <w:rPr>
                <w:sz w:val="18"/>
              </w:rPr>
              <w:t xml:space="preserve">  Unknown</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1D5D2E1E" w14:textId="77777777" w:rsidR="00883061" w:rsidRDefault="00883061" w:rsidP="00C5352B">
            <w:pPr>
              <w:spacing w:after="0"/>
              <w:jc w:val="center"/>
            </w:pPr>
            <w:r>
              <w:rPr>
                <w:sz w:val="18"/>
              </w:rPr>
              <w:t>11,951 (5.4%)</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1ABEE382" w14:textId="77777777" w:rsidR="00883061" w:rsidRDefault="00883061" w:rsidP="00C5352B">
            <w:pPr>
              <w:spacing w:after="0"/>
              <w:jc w:val="center"/>
            </w:pPr>
            <w:r>
              <w:rPr>
                <w:sz w:val="18"/>
              </w:rPr>
              <w:t>9,181 (5.7%)</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282AA4F4" w14:textId="77777777" w:rsidR="00883061" w:rsidRDefault="00883061" w:rsidP="00C5352B">
            <w:pPr>
              <w:spacing w:after="0"/>
              <w:jc w:val="center"/>
            </w:pPr>
            <w:r>
              <w:rPr>
                <w:sz w:val="18"/>
              </w:rPr>
              <w:t>2,770 (4.6%)</w:t>
            </w:r>
          </w:p>
        </w:tc>
      </w:tr>
      <w:tr w:rsidR="00FC3175" w14:paraId="52D7F616" w14:textId="77777777" w:rsidTr="00C5352B">
        <w:trPr>
          <w:cantSplit/>
          <w:jc w:val="center"/>
        </w:trPr>
        <w:tc>
          <w:tcPr>
            <w:tcW w:w="1872" w:type="dxa"/>
            <w:gridSpan w:val="4"/>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3232684C" w14:textId="77777777" w:rsidR="00883061" w:rsidRDefault="00883061" w:rsidP="00C5352B">
            <w:pPr>
              <w:spacing w:after="0"/>
              <w:jc w:val="center"/>
            </w:pPr>
            <w:r>
              <w:rPr>
                <w:b/>
                <w:sz w:val="18"/>
              </w:rPr>
              <w:t>Neighborhood income group, n (%)</w:t>
            </w:r>
          </w:p>
        </w:tc>
      </w:tr>
      <w:tr w:rsidR="00FC3175" w14:paraId="209FE0CD" w14:textId="77777777" w:rsidTr="00C5352B">
        <w:trPr>
          <w:cantSplit/>
          <w:jc w:val="center"/>
        </w:trPr>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420898F6" w14:textId="77777777" w:rsidR="00AE0B4A" w:rsidRDefault="00883061">
            <w:pPr>
              <w:spacing w:after="0"/>
            </w:pPr>
            <w:r>
              <w:rPr>
                <w:sz w:val="18"/>
              </w:rPr>
              <w:t xml:space="preserve">  High (≥$80,001)</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5EE0EF94" w14:textId="77777777" w:rsidR="00883061" w:rsidRDefault="00883061" w:rsidP="00C5352B">
            <w:pPr>
              <w:spacing w:after="0"/>
              <w:jc w:val="center"/>
            </w:pPr>
            <w:r>
              <w:rPr>
                <w:sz w:val="18"/>
              </w:rPr>
              <w:t>97,944 (44.1%)</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7653F547" w14:textId="77777777" w:rsidR="00883061" w:rsidRDefault="00883061" w:rsidP="00C5352B">
            <w:pPr>
              <w:spacing w:after="0"/>
              <w:jc w:val="center"/>
            </w:pPr>
            <w:r>
              <w:rPr>
                <w:sz w:val="18"/>
              </w:rPr>
              <w:t>70,681 (43.8%)</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0DF58FF2" w14:textId="77777777" w:rsidR="00883061" w:rsidRDefault="00883061" w:rsidP="00C5352B">
            <w:pPr>
              <w:spacing w:after="0"/>
              <w:jc w:val="center"/>
            </w:pPr>
            <w:r>
              <w:rPr>
                <w:sz w:val="18"/>
              </w:rPr>
              <w:t>27,263 (45.0%)</w:t>
            </w:r>
          </w:p>
        </w:tc>
      </w:tr>
      <w:tr w:rsidR="00FC3175" w14:paraId="025FEF90" w14:textId="77777777" w:rsidTr="00C5352B">
        <w:trPr>
          <w:cantSplit/>
          <w:jc w:val="center"/>
        </w:trPr>
        <w:tc>
          <w:tcPr>
            <w:tcW w:w="4752"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307FE08E" w14:textId="77777777" w:rsidR="00AE0B4A" w:rsidRDefault="00883061">
            <w:pPr>
              <w:spacing w:after="0"/>
            </w:pPr>
            <w:r>
              <w:rPr>
                <w:sz w:val="18"/>
              </w:rPr>
              <w:t xml:space="preserve">  Middle ($45,001–$80,000)</w:t>
            </w:r>
          </w:p>
        </w:tc>
        <w:tc>
          <w:tcPr>
            <w:tcW w:w="1872"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34D67763" w14:textId="77777777" w:rsidR="00883061" w:rsidRDefault="00883061" w:rsidP="00C5352B">
            <w:pPr>
              <w:spacing w:after="0"/>
              <w:jc w:val="center"/>
            </w:pPr>
            <w:r>
              <w:rPr>
                <w:sz w:val="18"/>
              </w:rPr>
              <w:t>58,777 (26.5%)</w:t>
            </w:r>
          </w:p>
        </w:tc>
        <w:tc>
          <w:tcPr>
            <w:tcW w:w="1872"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22AED59A" w14:textId="77777777" w:rsidR="00883061" w:rsidRDefault="00883061" w:rsidP="00C5352B">
            <w:pPr>
              <w:spacing w:after="0"/>
              <w:jc w:val="center"/>
            </w:pPr>
            <w:r>
              <w:rPr>
                <w:sz w:val="18"/>
              </w:rPr>
              <w:t>42,994 (26.6%)</w:t>
            </w:r>
          </w:p>
        </w:tc>
        <w:tc>
          <w:tcPr>
            <w:tcW w:w="1872"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2845371C" w14:textId="77777777" w:rsidR="00883061" w:rsidRDefault="00883061" w:rsidP="00C5352B">
            <w:pPr>
              <w:spacing w:after="0"/>
              <w:jc w:val="center"/>
            </w:pPr>
            <w:r>
              <w:rPr>
                <w:sz w:val="18"/>
              </w:rPr>
              <w:t>15,783 (26.0%)</w:t>
            </w:r>
          </w:p>
        </w:tc>
      </w:tr>
      <w:tr w:rsidR="00FC3175" w14:paraId="55DBD580" w14:textId="77777777" w:rsidTr="00C5352B">
        <w:trPr>
          <w:cantSplit/>
          <w:jc w:val="center"/>
        </w:trPr>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3576183E" w14:textId="77777777" w:rsidR="00AE0B4A" w:rsidRDefault="00883061">
            <w:pPr>
              <w:spacing w:after="0"/>
            </w:pPr>
            <w:r>
              <w:rPr>
                <w:sz w:val="18"/>
              </w:rPr>
              <w:t xml:space="preserve">  Low (≤$45,000)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0E8CCD75" w14:textId="77777777" w:rsidR="00883061" w:rsidRDefault="00883061" w:rsidP="00C5352B">
            <w:pPr>
              <w:spacing w:after="0"/>
              <w:jc w:val="center"/>
            </w:pPr>
            <w:r>
              <w:rPr>
                <w:sz w:val="18"/>
              </w:rPr>
              <w:t>8,179 (3.7%)</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4AB2BE32" w14:textId="77777777" w:rsidR="00883061" w:rsidRDefault="00883061" w:rsidP="00C5352B">
            <w:pPr>
              <w:spacing w:after="0"/>
              <w:jc w:val="center"/>
            </w:pPr>
            <w:r>
              <w:rPr>
                <w:sz w:val="18"/>
              </w:rPr>
              <w:t>5,969 (3.7%)</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463762F3" w14:textId="77777777" w:rsidR="00883061" w:rsidRDefault="00883061" w:rsidP="00C5352B">
            <w:pPr>
              <w:spacing w:after="0"/>
              <w:jc w:val="center"/>
            </w:pPr>
            <w:r>
              <w:rPr>
                <w:sz w:val="18"/>
              </w:rPr>
              <w:t>2,210 (3.6%)</w:t>
            </w:r>
          </w:p>
        </w:tc>
      </w:tr>
      <w:tr w:rsidR="00FC3175" w14:paraId="3E076452" w14:textId="77777777" w:rsidTr="00C5352B">
        <w:trPr>
          <w:cantSplit/>
          <w:jc w:val="center"/>
        </w:trPr>
        <w:tc>
          <w:tcPr>
            <w:tcW w:w="4752"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6D9A6571" w14:textId="77777777" w:rsidR="00883061" w:rsidRDefault="00883061" w:rsidP="00C5352B">
            <w:pPr>
              <w:spacing w:after="0"/>
            </w:pPr>
            <w:r>
              <w:rPr>
                <w:sz w:val="18"/>
              </w:rPr>
              <w:t xml:space="preserve">  Missing</w:t>
            </w:r>
          </w:p>
        </w:tc>
        <w:tc>
          <w:tcPr>
            <w:tcW w:w="1872"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57328700" w14:textId="77777777" w:rsidR="00883061" w:rsidRDefault="00883061" w:rsidP="00C5352B">
            <w:pPr>
              <w:spacing w:after="0"/>
              <w:jc w:val="center"/>
            </w:pPr>
            <w:r>
              <w:rPr>
                <w:sz w:val="18"/>
              </w:rPr>
              <w:t>57,209 (25.8%)</w:t>
            </w:r>
          </w:p>
        </w:tc>
        <w:tc>
          <w:tcPr>
            <w:tcW w:w="1872"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4871FB05" w14:textId="77777777" w:rsidR="00883061" w:rsidRDefault="00883061" w:rsidP="00C5352B">
            <w:pPr>
              <w:spacing w:after="0"/>
              <w:jc w:val="center"/>
            </w:pPr>
            <w:r>
              <w:rPr>
                <w:sz w:val="18"/>
              </w:rPr>
              <w:t>41,847 (25.9%)</w:t>
            </w:r>
          </w:p>
        </w:tc>
        <w:tc>
          <w:tcPr>
            <w:tcW w:w="1872"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57B7B77F" w14:textId="77777777" w:rsidR="00883061" w:rsidRDefault="00883061" w:rsidP="00C5352B">
            <w:pPr>
              <w:spacing w:after="0"/>
              <w:jc w:val="center"/>
            </w:pPr>
            <w:r>
              <w:rPr>
                <w:sz w:val="18"/>
              </w:rPr>
              <w:t>15,362 (25.3%)</w:t>
            </w:r>
          </w:p>
        </w:tc>
      </w:tr>
      <w:tr w:rsidR="00FC3175" w14:paraId="70BBA872" w14:textId="77777777" w:rsidTr="00C5352B">
        <w:trPr>
          <w:cantSplit/>
          <w:jc w:val="center"/>
        </w:trPr>
        <w:tc>
          <w:tcPr>
            <w:tcW w:w="1872" w:type="dxa"/>
            <w:gridSpan w:val="4"/>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3CA067D2" w14:textId="77777777" w:rsidR="00883061" w:rsidRDefault="00883061" w:rsidP="00C5352B">
            <w:pPr>
              <w:spacing w:after="0"/>
              <w:jc w:val="center"/>
            </w:pPr>
            <w:r>
              <w:rPr>
                <w:b/>
                <w:sz w:val="18"/>
              </w:rPr>
              <w:t>Neighborhood education, n (%)</w:t>
            </w:r>
          </w:p>
        </w:tc>
      </w:tr>
      <w:tr w:rsidR="00FC3175" w14:paraId="7FD4C6C8" w14:textId="77777777" w:rsidTr="00C5352B">
        <w:trPr>
          <w:cantSplit/>
          <w:jc w:val="center"/>
        </w:trPr>
        <w:tc>
          <w:tcPr>
            <w:tcW w:w="4752"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6A3A105A" w14:textId="77777777" w:rsidR="00AE0B4A" w:rsidRDefault="00883061">
            <w:pPr>
              <w:spacing w:after="0"/>
            </w:pPr>
            <w:r>
              <w:rPr>
                <w:sz w:val="18"/>
              </w:rPr>
              <w:t xml:space="preserve">  0%–50% with ≥12 years of education</w:t>
            </w:r>
          </w:p>
        </w:tc>
        <w:tc>
          <w:tcPr>
            <w:tcW w:w="1872"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50923F1C" w14:textId="77777777" w:rsidR="00AE0B4A" w:rsidRDefault="00883061">
            <w:pPr>
              <w:spacing w:after="0"/>
              <w:jc w:val="center"/>
            </w:pPr>
            <w:r>
              <w:rPr>
                <w:sz w:val="18"/>
              </w:rPr>
              <w:t>3,491 (1.6%)</w:t>
            </w:r>
          </w:p>
        </w:tc>
        <w:tc>
          <w:tcPr>
            <w:tcW w:w="1872"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158BFD07" w14:textId="77777777" w:rsidR="00AE0B4A" w:rsidRDefault="00883061">
            <w:pPr>
              <w:spacing w:after="0"/>
              <w:jc w:val="center"/>
            </w:pPr>
            <w:r>
              <w:rPr>
                <w:sz w:val="18"/>
              </w:rPr>
              <w:t>2,497 (1.5%)</w:t>
            </w:r>
          </w:p>
        </w:tc>
        <w:tc>
          <w:tcPr>
            <w:tcW w:w="1872"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36769F94" w14:textId="77777777" w:rsidR="00AE0B4A" w:rsidRDefault="00883061">
            <w:pPr>
              <w:spacing w:after="0"/>
              <w:jc w:val="center"/>
            </w:pPr>
            <w:r>
              <w:rPr>
                <w:sz w:val="18"/>
              </w:rPr>
              <w:t>994 (1.6%)</w:t>
            </w:r>
          </w:p>
        </w:tc>
      </w:tr>
      <w:tr w:rsidR="00FC3175" w14:paraId="216C567A" w14:textId="77777777" w:rsidTr="00C5352B">
        <w:trPr>
          <w:cantSplit/>
          <w:jc w:val="center"/>
        </w:trPr>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20DAD494" w14:textId="77777777" w:rsidR="00AE0B4A" w:rsidRDefault="00883061">
            <w:pPr>
              <w:spacing w:after="0"/>
            </w:pPr>
            <w:r>
              <w:rPr>
                <w:sz w:val="18"/>
              </w:rPr>
              <w:t xml:space="preserve">  51%–75% with ≥12 years of education</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0619F73A" w14:textId="77777777" w:rsidR="00AE0B4A" w:rsidRDefault="00883061">
            <w:pPr>
              <w:spacing w:after="0"/>
              <w:jc w:val="center"/>
            </w:pPr>
            <w:r>
              <w:rPr>
                <w:sz w:val="18"/>
              </w:rPr>
              <w:t>42,205 (19.0%)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2D2E2E29" w14:textId="77777777" w:rsidR="00AE0B4A" w:rsidRDefault="00883061">
            <w:pPr>
              <w:spacing w:after="0"/>
              <w:jc w:val="center"/>
            </w:pPr>
            <w:r>
              <w:rPr>
                <w:sz w:val="18"/>
              </w:rPr>
              <w:t>31,142 (19.3%)</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5FAD9650" w14:textId="77777777" w:rsidR="00AE0B4A" w:rsidRDefault="00883061">
            <w:pPr>
              <w:spacing w:after="0"/>
              <w:jc w:val="center"/>
            </w:pPr>
            <w:r>
              <w:rPr>
                <w:sz w:val="18"/>
              </w:rPr>
              <w:t>11,063 (18.3%)</w:t>
            </w:r>
          </w:p>
        </w:tc>
      </w:tr>
      <w:tr w:rsidR="00FC3175" w14:paraId="29688FC5" w14:textId="77777777" w:rsidTr="00C5352B">
        <w:trPr>
          <w:cantSplit/>
          <w:jc w:val="center"/>
        </w:trPr>
        <w:tc>
          <w:tcPr>
            <w:tcW w:w="4752"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543E50E0" w14:textId="77777777" w:rsidR="00AE0B4A" w:rsidRDefault="00883061">
            <w:pPr>
              <w:spacing w:after="0"/>
            </w:pPr>
            <w:r>
              <w:rPr>
                <w:sz w:val="18"/>
              </w:rPr>
              <w:t xml:space="preserve">  76%–100% with ≥12 years of education</w:t>
            </w:r>
          </w:p>
        </w:tc>
        <w:tc>
          <w:tcPr>
            <w:tcW w:w="1872"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75B170F2" w14:textId="77777777" w:rsidR="00AE0B4A" w:rsidRDefault="00883061">
            <w:pPr>
              <w:spacing w:after="0"/>
              <w:jc w:val="center"/>
            </w:pPr>
            <w:r>
              <w:rPr>
                <w:sz w:val="18"/>
              </w:rPr>
              <w:t>119,176 (53.7%)</w:t>
            </w:r>
          </w:p>
        </w:tc>
        <w:tc>
          <w:tcPr>
            <w:tcW w:w="1872"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3346F05F" w14:textId="77777777" w:rsidR="00AE0B4A" w:rsidRDefault="00883061">
            <w:pPr>
              <w:spacing w:after="0"/>
              <w:jc w:val="center"/>
            </w:pPr>
            <w:r>
              <w:rPr>
                <w:sz w:val="18"/>
              </w:rPr>
              <w:t>85,986 (53.2%)</w:t>
            </w:r>
          </w:p>
        </w:tc>
        <w:tc>
          <w:tcPr>
            <w:tcW w:w="1872"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43803B1D" w14:textId="77777777" w:rsidR="00AE0B4A" w:rsidRDefault="00883061">
            <w:pPr>
              <w:spacing w:after="0"/>
              <w:jc w:val="center"/>
            </w:pPr>
            <w:r>
              <w:rPr>
                <w:sz w:val="18"/>
              </w:rPr>
              <w:t>33,190 (54.8%)</w:t>
            </w:r>
          </w:p>
        </w:tc>
      </w:tr>
      <w:tr w:rsidR="00FC3175" w14:paraId="231C6FDE" w14:textId="77777777" w:rsidTr="00C5352B">
        <w:trPr>
          <w:cantSplit/>
          <w:jc w:val="center"/>
        </w:trPr>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2B602FF1" w14:textId="77777777" w:rsidR="00AE0B4A" w:rsidRDefault="00883061">
            <w:pPr>
              <w:spacing w:after="0"/>
            </w:pPr>
            <w:r>
              <w:rPr>
                <w:sz w:val="18"/>
              </w:rPr>
              <w:t xml:space="preserve">  Missing neighborhood education</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241BECF2" w14:textId="77777777" w:rsidR="00AE0B4A" w:rsidRDefault="00883061">
            <w:pPr>
              <w:spacing w:after="0"/>
              <w:jc w:val="center"/>
            </w:pPr>
            <w:r>
              <w:rPr>
                <w:sz w:val="18"/>
              </w:rPr>
              <w:t>57,237 (25.8%)</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5E5DC2D3" w14:textId="77777777" w:rsidR="00AE0B4A" w:rsidRDefault="00883061">
            <w:pPr>
              <w:spacing w:after="0"/>
              <w:jc w:val="center"/>
            </w:pPr>
            <w:r>
              <w:rPr>
                <w:sz w:val="18"/>
              </w:rPr>
              <w:t>41,866 (25.9%)</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4E07FA5C" w14:textId="77777777" w:rsidR="00AE0B4A" w:rsidRDefault="00883061">
            <w:pPr>
              <w:spacing w:after="0"/>
              <w:jc w:val="center"/>
            </w:pPr>
            <w:r>
              <w:rPr>
                <w:sz w:val="18"/>
              </w:rPr>
              <w:t>15,371 (25.4%)</w:t>
            </w:r>
          </w:p>
        </w:tc>
      </w:tr>
    </w:tbl>
    <w:p w14:paraId="14FC6653" w14:textId="77777777" w:rsidR="00AE0B4A" w:rsidRDefault="00883061">
      <w:pPr>
        <w:pStyle w:val="Caption"/>
      </w:pPr>
      <w:r>
        <w:t>Note. Values are n (%) unless otherwise indicated. OSA: AHI ≥5 events/h; No OSA: AHI &lt;5 events/h. Income denotes neighborhood median household income in US dollars. Education denotes the neighborhood share of residents with ≥12 years of schooling, not individual attainment; percentages use the full group denominator, including missing values. Charlson Comorbidity Index was newly derived for all participants from all available ICD-coded diagnoses on or before the index sleep study using Quan ICD-9/ICD-10 alg</w:t>
      </w:r>
      <w:r>
        <w:t>orithms, original Charlson weights, and severity hierarchies; age points were not added. It is a descriptive baseline measure and was not included in regression adjustment.</w:t>
      </w:r>
    </w:p>
    <w:p w14:paraId="31EE4D5A" w14:textId="77777777" w:rsidR="00AE0B4A" w:rsidRDefault="00AE0B4A">
      <w:pPr>
        <w:sectPr w:rsidR="00AE0B4A">
          <w:footerReference w:type="default" r:id="rId8"/>
          <w:pgSz w:w="12240" w:h="15840"/>
          <w:pgMar w:top="720" w:right="936" w:bottom="720" w:left="936" w:header="720" w:footer="504" w:gutter="0"/>
          <w:cols w:space="720"/>
          <w:docGrid w:linePitch="360"/>
        </w:sectPr>
      </w:pPr>
    </w:p>
    <w:p w14:paraId="1E1A4F50" w14:textId="77777777" w:rsidR="00AE0B4A" w:rsidRDefault="00883061">
      <w:pPr>
        <w:pStyle w:val="Heading2"/>
      </w:pPr>
      <w:r>
        <w:lastRenderedPageBreak/>
        <w:t>Table 2</w:t>
      </w:r>
      <w:r>
        <w:t>. Descriptive healthcare-utilization profile by OSA severity</w:t>
      </w:r>
    </w:p>
    <w:p w14:paraId="72616CD4" w14:textId="77777777" w:rsidR="00AE0B4A" w:rsidRDefault="00883061">
      <w:pPr>
        <w:pStyle w:val="Heading3"/>
      </w:pPr>
      <w:r>
        <w:t>Panel A. 1-year pre-index window</w:t>
      </w:r>
    </w:p>
    <w:tbl>
      <w:tblPr>
        <w:tblW w:w="1440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600"/>
        <w:gridCol w:w="1872"/>
        <w:gridCol w:w="1872"/>
        <w:gridCol w:w="1872"/>
        <w:gridCol w:w="1872"/>
        <w:gridCol w:w="1872"/>
        <w:gridCol w:w="1440"/>
      </w:tblGrid>
      <w:tr w:rsidR="00FF3936" w14:paraId="2AAB4C31" w14:textId="77777777">
        <w:trPr>
          <w:cantSplit/>
          <w:tblHeader/>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E7EBEF"/>
            <w:tcMar>
              <w:top w:w="55" w:type="dxa"/>
              <w:left w:w="75" w:type="dxa"/>
              <w:bottom w:w="55" w:type="dxa"/>
              <w:right w:w="75" w:type="dxa"/>
            </w:tcMar>
            <w:vAlign w:val="center"/>
          </w:tcPr>
          <w:p w14:paraId="1E98E6C5" w14:textId="77777777" w:rsidR="00883061" w:rsidRDefault="00883061">
            <w:pPr>
              <w:spacing w:after="0"/>
            </w:pPr>
            <w:r>
              <w:rPr>
                <w:rFonts w:eastAsia="Arial"/>
                <w:b/>
              </w:rPr>
              <w:t>Measure</w:t>
            </w:r>
          </w:p>
        </w:tc>
        <w:tc>
          <w:tcPr>
            <w:tcW w:w="1872" w:type="dxa"/>
            <w:tcBorders>
              <w:top w:val="single" w:sz="4" w:space="0" w:color="D9D9D9"/>
              <w:left w:val="single" w:sz="4" w:space="0" w:color="D9D9D9"/>
              <w:bottom w:val="single" w:sz="4" w:space="0" w:color="D9D9D9"/>
              <w:right w:val="single" w:sz="4" w:space="0" w:color="D9D9D9"/>
            </w:tcBorders>
            <w:shd w:val="clear" w:color="auto" w:fill="E7EBEF"/>
            <w:tcMar>
              <w:top w:w="55" w:type="dxa"/>
              <w:left w:w="75" w:type="dxa"/>
              <w:bottom w:w="55" w:type="dxa"/>
              <w:right w:w="75" w:type="dxa"/>
            </w:tcMar>
            <w:vAlign w:val="center"/>
          </w:tcPr>
          <w:p w14:paraId="6AD9E0D1" w14:textId="77777777" w:rsidR="00883061" w:rsidRDefault="00883061">
            <w:pPr>
              <w:spacing w:after="0"/>
              <w:jc w:val="center"/>
            </w:pPr>
            <w:r>
              <w:rPr>
                <w:rFonts w:eastAsia="Arial"/>
                <w:b/>
              </w:rPr>
              <w:t>Overall</w:t>
            </w:r>
            <w:r>
              <w:rPr>
                <w:rFonts w:eastAsia="Arial"/>
                <w:b/>
              </w:rPr>
              <w:br/>
              <w:t>N = 222,109</w:t>
            </w:r>
          </w:p>
        </w:tc>
        <w:tc>
          <w:tcPr>
            <w:tcW w:w="1872" w:type="dxa"/>
            <w:tcBorders>
              <w:top w:val="single" w:sz="4" w:space="0" w:color="D9D9D9"/>
              <w:left w:val="single" w:sz="4" w:space="0" w:color="D9D9D9"/>
              <w:bottom w:val="single" w:sz="4" w:space="0" w:color="D9D9D9"/>
              <w:right w:val="single" w:sz="4" w:space="0" w:color="D9D9D9"/>
            </w:tcBorders>
            <w:shd w:val="clear" w:color="auto" w:fill="E7EBEF"/>
            <w:tcMar>
              <w:top w:w="55" w:type="dxa"/>
              <w:left w:w="75" w:type="dxa"/>
              <w:bottom w:w="55" w:type="dxa"/>
              <w:right w:w="75" w:type="dxa"/>
            </w:tcMar>
            <w:vAlign w:val="center"/>
          </w:tcPr>
          <w:p w14:paraId="4392962E" w14:textId="77777777" w:rsidR="00883061" w:rsidRDefault="00883061">
            <w:pPr>
              <w:spacing w:after="0"/>
              <w:jc w:val="center"/>
            </w:pPr>
            <w:r>
              <w:rPr>
                <w:rFonts w:eastAsia="Arial"/>
                <w:b/>
              </w:rPr>
              <w:t>None</w:t>
            </w:r>
            <w:r>
              <w:rPr>
                <w:rFonts w:eastAsia="Arial"/>
                <w:b/>
              </w:rPr>
              <w:br/>
              <w:t>N = 60,618</w:t>
            </w:r>
          </w:p>
        </w:tc>
        <w:tc>
          <w:tcPr>
            <w:tcW w:w="1872" w:type="dxa"/>
            <w:tcBorders>
              <w:top w:val="single" w:sz="4" w:space="0" w:color="D9D9D9"/>
              <w:left w:val="single" w:sz="4" w:space="0" w:color="D9D9D9"/>
              <w:bottom w:val="single" w:sz="4" w:space="0" w:color="D9D9D9"/>
              <w:right w:val="single" w:sz="4" w:space="0" w:color="D9D9D9"/>
            </w:tcBorders>
            <w:shd w:val="clear" w:color="auto" w:fill="E7EBEF"/>
            <w:tcMar>
              <w:top w:w="55" w:type="dxa"/>
              <w:left w:w="75" w:type="dxa"/>
              <w:bottom w:w="55" w:type="dxa"/>
              <w:right w:w="75" w:type="dxa"/>
            </w:tcMar>
            <w:vAlign w:val="center"/>
          </w:tcPr>
          <w:p w14:paraId="69983E0C" w14:textId="77777777" w:rsidR="00883061" w:rsidRDefault="00883061">
            <w:pPr>
              <w:spacing w:after="0"/>
              <w:jc w:val="center"/>
            </w:pPr>
            <w:r>
              <w:rPr>
                <w:rFonts w:eastAsia="Arial"/>
                <w:b/>
              </w:rPr>
              <w:t>Mild</w:t>
            </w:r>
            <w:r>
              <w:rPr>
                <w:rFonts w:eastAsia="Arial"/>
                <w:b/>
              </w:rPr>
              <w:br/>
              <w:t>N = 67,040</w:t>
            </w:r>
          </w:p>
        </w:tc>
        <w:tc>
          <w:tcPr>
            <w:tcW w:w="1872" w:type="dxa"/>
            <w:tcBorders>
              <w:top w:val="single" w:sz="4" w:space="0" w:color="D9D9D9"/>
              <w:left w:val="single" w:sz="4" w:space="0" w:color="D9D9D9"/>
              <w:bottom w:val="single" w:sz="4" w:space="0" w:color="D9D9D9"/>
              <w:right w:val="single" w:sz="4" w:space="0" w:color="D9D9D9"/>
            </w:tcBorders>
            <w:shd w:val="clear" w:color="auto" w:fill="E7EBEF"/>
            <w:tcMar>
              <w:top w:w="55" w:type="dxa"/>
              <w:left w:w="75" w:type="dxa"/>
              <w:bottom w:w="55" w:type="dxa"/>
              <w:right w:w="75" w:type="dxa"/>
            </w:tcMar>
            <w:vAlign w:val="center"/>
          </w:tcPr>
          <w:p w14:paraId="10913C50" w14:textId="77777777" w:rsidR="00883061" w:rsidRDefault="00883061">
            <w:pPr>
              <w:spacing w:after="0"/>
              <w:jc w:val="center"/>
            </w:pPr>
            <w:r>
              <w:rPr>
                <w:rFonts w:eastAsia="Arial"/>
                <w:b/>
              </w:rPr>
              <w:t>Moderate</w:t>
            </w:r>
            <w:r>
              <w:rPr>
                <w:rFonts w:eastAsia="Arial"/>
                <w:b/>
              </w:rPr>
              <w:br/>
              <w:t>N = 44,957</w:t>
            </w:r>
          </w:p>
        </w:tc>
        <w:tc>
          <w:tcPr>
            <w:tcW w:w="1872" w:type="dxa"/>
            <w:tcBorders>
              <w:top w:val="single" w:sz="4" w:space="0" w:color="D9D9D9"/>
              <w:left w:val="single" w:sz="4" w:space="0" w:color="D9D9D9"/>
              <w:bottom w:val="single" w:sz="4" w:space="0" w:color="D9D9D9"/>
              <w:right w:val="single" w:sz="4" w:space="0" w:color="D9D9D9"/>
            </w:tcBorders>
            <w:shd w:val="clear" w:color="auto" w:fill="E7EBEF"/>
            <w:tcMar>
              <w:top w:w="55" w:type="dxa"/>
              <w:left w:w="75" w:type="dxa"/>
              <w:bottom w:w="55" w:type="dxa"/>
              <w:right w:w="75" w:type="dxa"/>
            </w:tcMar>
            <w:vAlign w:val="center"/>
          </w:tcPr>
          <w:p w14:paraId="2EC37665" w14:textId="77777777" w:rsidR="00883061" w:rsidRDefault="00883061">
            <w:pPr>
              <w:spacing w:after="0"/>
              <w:jc w:val="center"/>
            </w:pPr>
            <w:r>
              <w:rPr>
                <w:rFonts w:eastAsia="Arial"/>
                <w:b/>
              </w:rPr>
              <w:t>Severe</w:t>
            </w:r>
            <w:r>
              <w:rPr>
                <w:rFonts w:eastAsia="Arial"/>
                <w:b/>
              </w:rPr>
              <w:br/>
              <w:t>N = 49,494</w:t>
            </w:r>
          </w:p>
        </w:tc>
        <w:tc>
          <w:tcPr>
            <w:tcW w:w="1440" w:type="dxa"/>
            <w:tcBorders>
              <w:top w:val="single" w:sz="4" w:space="0" w:color="D9D9D9"/>
              <w:left w:val="single" w:sz="4" w:space="0" w:color="D9D9D9"/>
              <w:bottom w:val="single" w:sz="4" w:space="0" w:color="D9D9D9"/>
              <w:right w:val="single" w:sz="4" w:space="0" w:color="D9D9D9"/>
            </w:tcBorders>
            <w:shd w:val="clear" w:color="auto" w:fill="E7EBEF"/>
            <w:tcMar>
              <w:top w:w="55" w:type="dxa"/>
              <w:left w:w="75" w:type="dxa"/>
              <w:bottom w:w="55" w:type="dxa"/>
              <w:right w:w="75" w:type="dxa"/>
            </w:tcMar>
            <w:vAlign w:val="center"/>
          </w:tcPr>
          <w:p w14:paraId="1BA1D669" w14:textId="77777777" w:rsidR="00883061" w:rsidRDefault="00883061">
            <w:pPr>
              <w:spacing w:after="0"/>
              <w:jc w:val="center"/>
            </w:pPr>
            <w:r>
              <w:rPr>
                <w:rFonts w:eastAsia="Arial"/>
                <w:b/>
              </w:rPr>
              <w:t>ANOVA P value</w:t>
            </w:r>
          </w:p>
        </w:tc>
      </w:tr>
      <w:tr w:rsidR="00FF3936" w14:paraId="1BC3851B" w14:textId="77777777">
        <w:trPr>
          <w:cantSplit/>
          <w:jc w:val="center"/>
        </w:trPr>
        <w:tc>
          <w:tcPr>
            <w:tcW w:w="2016" w:type="dxa"/>
            <w:gridSpan w:val="7"/>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0896C9AC" w14:textId="77777777" w:rsidR="00883061" w:rsidRDefault="00883061">
            <w:pPr>
              <w:spacing w:after="0"/>
              <w:jc w:val="center"/>
            </w:pPr>
            <w:r>
              <w:rPr>
                <w:rFonts w:eastAsia="Arial"/>
                <w:b/>
              </w:rPr>
              <w:t>ENCOUNTER RATES</w:t>
            </w:r>
          </w:p>
        </w:tc>
      </w:tr>
      <w:tr w:rsidR="00FF3936" w14:paraId="1264C88F"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36D62A6F" w14:textId="77777777" w:rsidR="00883061" w:rsidRDefault="00883061">
            <w:pPr>
              <w:spacing w:after="0"/>
            </w:pPr>
            <w:r>
              <w:rPr>
                <w:rFonts w:eastAsia="Arial"/>
                <w:b/>
              </w:rPr>
              <w:t>Total outpatient encounter rate</w:t>
            </w:r>
            <w:r>
              <w:rPr>
                <w:rFonts w:eastAsia="Arial"/>
                <w:b/>
              </w:rPr>
              <w:br/>
            </w:r>
            <w:r>
              <w:rPr>
                <w:rFonts w:eastAsia="Arial"/>
              </w:rPr>
              <w:t>encounters/person-year</w:t>
            </w:r>
          </w:p>
        </w:tc>
        <w:tc>
          <w:tcPr>
            <w:tcW w:w="1872"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5126C50E" w14:textId="77777777" w:rsidR="00883061" w:rsidRDefault="00883061">
            <w:pPr>
              <w:spacing w:after="0"/>
              <w:jc w:val="center"/>
            </w:pPr>
            <w:r>
              <w:rPr>
                <w:rFonts w:eastAsia="Arial"/>
                <w:b/>
              </w:rPr>
              <w:t>9.61 ± 12.34</w:t>
            </w:r>
            <w:r>
              <w:rPr>
                <w:rFonts w:eastAsia="Arial"/>
                <w:b/>
              </w:rPr>
              <w:br/>
            </w:r>
            <w:r>
              <w:rPr>
                <w:rFonts w:eastAsia="Arial"/>
              </w:rPr>
              <w:t>n = 183,970</w:t>
            </w:r>
          </w:p>
        </w:tc>
        <w:tc>
          <w:tcPr>
            <w:tcW w:w="1872"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57629708" w14:textId="77777777" w:rsidR="00883061" w:rsidRDefault="00883061">
            <w:pPr>
              <w:spacing w:after="0"/>
              <w:jc w:val="center"/>
            </w:pPr>
            <w:r>
              <w:rPr>
                <w:rFonts w:eastAsia="Arial"/>
                <w:b/>
              </w:rPr>
              <w:t>10.40 ± 13.11</w:t>
            </w:r>
            <w:r>
              <w:rPr>
                <w:rFonts w:eastAsia="Arial"/>
                <w:b/>
              </w:rPr>
              <w:br/>
            </w:r>
            <w:r>
              <w:rPr>
                <w:rFonts w:eastAsia="Arial"/>
              </w:rPr>
              <w:t>n = 50,790</w:t>
            </w:r>
          </w:p>
        </w:tc>
        <w:tc>
          <w:tcPr>
            <w:tcW w:w="1872"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7C48EBCA" w14:textId="77777777" w:rsidR="00883061" w:rsidRDefault="00883061">
            <w:pPr>
              <w:spacing w:after="0"/>
              <w:jc w:val="center"/>
            </w:pPr>
            <w:r>
              <w:rPr>
                <w:rFonts w:eastAsia="Arial"/>
                <w:b/>
              </w:rPr>
              <w:t>9.88 ± 12.47</w:t>
            </w:r>
            <w:r>
              <w:rPr>
                <w:rFonts w:eastAsia="Arial"/>
                <w:b/>
              </w:rPr>
              <w:br/>
            </w:r>
            <w:r>
              <w:rPr>
                <w:rFonts w:eastAsia="Arial"/>
              </w:rPr>
              <w:t>n = 55,766</w:t>
            </w:r>
          </w:p>
        </w:tc>
        <w:tc>
          <w:tcPr>
            <w:tcW w:w="1872"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148A9514" w14:textId="77777777" w:rsidR="00883061" w:rsidRDefault="00883061">
            <w:pPr>
              <w:spacing w:after="0"/>
              <w:jc w:val="center"/>
            </w:pPr>
            <w:r>
              <w:rPr>
                <w:rFonts w:eastAsia="Arial"/>
                <w:b/>
              </w:rPr>
              <w:t>9.48 ± 11.77</w:t>
            </w:r>
            <w:r>
              <w:rPr>
                <w:rFonts w:eastAsia="Arial"/>
                <w:b/>
              </w:rPr>
              <w:br/>
            </w:r>
            <w:r>
              <w:rPr>
                <w:rFonts w:eastAsia="Arial"/>
              </w:rPr>
              <w:t>n = 36,999</w:t>
            </w:r>
          </w:p>
        </w:tc>
        <w:tc>
          <w:tcPr>
            <w:tcW w:w="1872"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2385DAF0" w14:textId="77777777" w:rsidR="00883061" w:rsidRDefault="00883061">
            <w:pPr>
              <w:spacing w:after="0"/>
              <w:jc w:val="center"/>
            </w:pPr>
            <w:r>
              <w:rPr>
                <w:rFonts w:eastAsia="Arial"/>
                <w:b/>
              </w:rPr>
              <w:t>8.40 ± 11.55</w:t>
            </w:r>
            <w:r>
              <w:rPr>
                <w:rFonts w:eastAsia="Arial"/>
                <w:b/>
              </w:rPr>
              <w:br/>
            </w:r>
            <w:r>
              <w:rPr>
                <w:rFonts w:eastAsia="Arial"/>
              </w:rPr>
              <w:t>n = 40,415</w:t>
            </w:r>
          </w:p>
        </w:tc>
        <w:tc>
          <w:tcPr>
            <w:tcW w:w="1440"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612CE547" w14:textId="77777777" w:rsidR="00883061" w:rsidRDefault="00883061">
            <w:pPr>
              <w:spacing w:after="0"/>
              <w:jc w:val="center"/>
            </w:pPr>
            <w:r>
              <w:rPr>
                <w:rFonts w:eastAsia="Arial"/>
                <w:b/>
              </w:rPr>
              <w:t>&lt;0.0001</w:t>
            </w:r>
          </w:p>
        </w:tc>
      </w:tr>
      <w:tr w:rsidR="00FF3936" w14:paraId="3495F56F"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3F6EE1C7" w14:textId="77777777" w:rsidR="00883061" w:rsidRDefault="00883061">
            <w:pPr>
              <w:spacing w:after="0"/>
            </w:pPr>
            <w:r>
              <w:rPr>
                <w:rFonts w:eastAsia="Arial"/>
                <w:b/>
              </w:rPr>
              <w:t>Inpatient encounter rate</w:t>
            </w:r>
            <w:r>
              <w:rPr>
                <w:rFonts w:eastAsia="Arial"/>
                <w:b/>
              </w:rPr>
              <w:br/>
            </w:r>
            <w:r>
              <w:rPr>
                <w:rFonts w:eastAsia="Arial"/>
              </w:rPr>
              <w:t>encounters/person-year</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1BD8623E" w14:textId="77777777" w:rsidR="00883061" w:rsidRDefault="00883061">
            <w:pPr>
              <w:spacing w:after="0"/>
              <w:jc w:val="center"/>
            </w:pPr>
            <w:r>
              <w:rPr>
                <w:rFonts w:eastAsia="Arial"/>
                <w:b/>
              </w:rPr>
              <w:t>0.093 ± 0.42</w:t>
            </w:r>
            <w:r>
              <w:rPr>
                <w:rFonts w:eastAsia="Arial"/>
                <w:b/>
              </w:rPr>
              <w:br/>
            </w:r>
            <w:r>
              <w:rPr>
                <w:rFonts w:eastAsia="Arial"/>
              </w:rPr>
              <w:t>n = 14,735</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573D9AEC" w14:textId="77777777" w:rsidR="00883061" w:rsidRDefault="00883061">
            <w:pPr>
              <w:spacing w:after="0"/>
              <w:jc w:val="center"/>
            </w:pPr>
            <w:r>
              <w:rPr>
                <w:rFonts w:eastAsia="Arial"/>
                <w:b/>
              </w:rPr>
              <w:t>0.077 ± 0.39</w:t>
            </w:r>
            <w:r>
              <w:rPr>
                <w:rFonts w:eastAsia="Arial"/>
                <w:b/>
              </w:rPr>
              <w:br/>
            </w:r>
            <w:r>
              <w:rPr>
                <w:rFonts w:eastAsia="Arial"/>
              </w:rPr>
              <w:t>n = 3,332</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716D24A0" w14:textId="77777777" w:rsidR="00883061" w:rsidRDefault="00883061">
            <w:pPr>
              <w:spacing w:after="0"/>
              <w:jc w:val="center"/>
            </w:pPr>
            <w:r>
              <w:rPr>
                <w:rFonts w:eastAsia="Arial"/>
                <w:b/>
              </w:rPr>
              <w:t>0.090 ± 0.41</w:t>
            </w:r>
            <w:r>
              <w:rPr>
                <w:rFonts w:eastAsia="Arial"/>
                <w:b/>
              </w:rPr>
              <w:br/>
            </w:r>
            <w:r>
              <w:rPr>
                <w:rFonts w:eastAsia="Arial"/>
              </w:rPr>
              <w:t>n = 4,397</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0323069D" w14:textId="77777777" w:rsidR="00883061" w:rsidRDefault="00883061">
            <w:pPr>
              <w:spacing w:after="0"/>
              <w:jc w:val="center"/>
            </w:pPr>
            <w:r>
              <w:rPr>
                <w:rFonts w:eastAsia="Arial"/>
                <w:b/>
              </w:rPr>
              <w:t>0.103 ± 0.45</w:t>
            </w:r>
            <w:r>
              <w:rPr>
                <w:rFonts w:eastAsia="Arial"/>
                <w:b/>
              </w:rPr>
              <w:br/>
            </w:r>
            <w:r>
              <w:rPr>
                <w:rFonts w:eastAsia="Arial"/>
              </w:rPr>
              <w:t>n = 3,274</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71C16B81" w14:textId="77777777" w:rsidR="00883061" w:rsidRDefault="00883061">
            <w:pPr>
              <w:spacing w:after="0"/>
              <w:jc w:val="center"/>
            </w:pPr>
            <w:r>
              <w:rPr>
                <w:rFonts w:eastAsia="Arial"/>
                <w:b/>
              </w:rPr>
              <w:t>0.106 ± 0.44</w:t>
            </w:r>
            <w:r>
              <w:rPr>
                <w:rFonts w:eastAsia="Arial"/>
                <w:b/>
              </w:rPr>
              <w:br/>
            </w:r>
            <w:r>
              <w:rPr>
                <w:rFonts w:eastAsia="Arial"/>
              </w:rPr>
              <w:t>n = 3,732</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24463618" w14:textId="77777777" w:rsidR="00883061" w:rsidRDefault="00883061">
            <w:pPr>
              <w:spacing w:after="0"/>
              <w:jc w:val="center"/>
            </w:pPr>
            <w:r>
              <w:rPr>
                <w:rFonts w:eastAsia="Arial"/>
                <w:b/>
              </w:rPr>
              <w:t>&lt;0.0001</w:t>
            </w:r>
          </w:p>
        </w:tc>
      </w:tr>
      <w:tr w:rsidR="00FF3936" w14:paraId="06242674"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77F57E6F" w14:textId="77777777" w:rsidR="00883061" w:rsidRDefault="00883061">
            <w:pPr>
              <w:spacing w:after="0"/>
            </w:pPr>
            <w:r>
              <w:rPr>
                <w:rFonts w:eastAsia="Arial"/>
                <w:b/>
              </w:rPr>
              <w:t>Emergency department encounter rate</w:t>
            </w:r>
            <w:r>
              <w:rPr>
                <w:rFonts w:eastAsia="Arial"/>
                <w:b/>
              </w:rPr>
              <w:br/>
            </w:r>
            <w:r>
              <w:rPr>
                <w:rFonts w:eastAsia="Arial"/>
              </w:rPr>
              <w:t>encounters/person-year</w:t>
            </w:r>
          </w:p>
        </w:tc>
        <w:tc>
          <w:tcPr>
            <w:tcW w:w="1872"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200063BC" w14:textId="77777777" w:rsidR="00883061" w:rsidRDefault="00883061">
            <w:pPr>
              <w:spacing w:after="0"/>
              <w:jc w:val="center"/>
            </w:pPr>
            <w:r>
              <w:rPr>
                <w:rFonts w:eastAsia="Arial"/>
                <w:b/>
              </w:rPr>
              <w:t>0.38 ± 1.11</w:t>
            </w:r>
            <w:r>
              <w:rPr>
                <w:rFonts w:eastAsia="Arial"/>
                <w:b/>
              </w:rPr>
              <w:br/>
            </w:r>
            <w:r>
              <w:rPr>
                <w:rFonts w:eastAsia="Arial"/>
              </w:rPr>
              <w:t>n = 46,979</w:t>
            </w:r>
          </w:p>
        </w:tc>
        <w:tc>
          <w:tcPr>
            <w:tcW w:w="1872"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49FEDD11" w14:textId="77777777" w:rsidR="00883061" w:rsidRDefault="00883061">
            <w:pPr>
              <w:spacing w:after="0"/>
              <w:jc w:val="center"/>
            </w:pPr>
            <w:r>
              <w:rPr>
                <w:rFonts w:eastAsia="Arial"/>
                <w:b/>
              </w:rPr>
              <w:t>0.40 ± 1.17</w:t>
            </w:r>
            <w:r>
              <w:rPr>
                <w:rFonts w:eastAsia="Arial"/>
                <w:b/>
              </w:rPr>
              <w:br/>
            </w:r>
            <w:r>
              <w:rPr>
                <w:rFonts w:eastAsia="Arial"/>
              </w:rPr>
              <w:t>n = 13,258</w:t>
            </w:r>
          </w:p>
        </w:tc>
        <w:tc>
          <w:tcPr>
            <w:tcW w:w="1872"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5173B0BD" w14:textId="77777777" w:rsidR="00883061" w:rsidRDefault="00883061">
            <w:pPr>
              <w:spacing w:after="0"/>
              <w:jc w:val="center"/>
            </w:pPr>
            <w:r>
              <w:rPr>
                <w:rFonts w:eastAsia="Arial"/>
                <w:b/>
              </w:rPr>
              <w:t>0.38 ± 1.17</w:t>
            </w:r>
            <w:r>
              <w:rPr>
                <w:rFonts w:eastAsia="Arial"/>
                <w:b/>
              </w:rPr>
              <w:br/>
            </w:r>
            <w:r>
              <w:rPr>
                <w:rFonts w:eastAsia="Arial"/>
              </w:rPr>
              <w:t>n = 14,327</w:t>
            </w:r>
          </w:p>
        </w:tc>
        <w:tc>
          <w:tcPr>
            <w:tcW w:w="1872"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5E501B26" w14:textId="77777777" w:rsidR="00883061" w:rsidRDefault="00883061">
            <w:pPr>
              <w:spacing w:after="0"/>
              <w:jc w:val="center"/>
            </w:pPr>
            <w:r>
              <w:rPr>
                <w:rFonts w:eastAsia="Arial"/>
                <w:b/>
              </w:rPr>
              <w:t>0.38 ± 1.08</w:t>
            </w:r>
            <w:r>
              <w:rPr>
                <w:rFonts w:eastAsia="Arial"/>
                <w:b/>
              </w:rPr>
              <w:br/>
            </w:r>
            <w:r>
              <w:rPr>
                <w:rFonts w:eastAsia="Arial"/>
              </w:rPr>
              <w:t>n = 9,463</w:t>
            </w:r>
          </w:p>
        </w:tc>
        <w:tc>
          <w:tcPr>
            <w:tcW w:w="1872"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422E6E80" w14:textId="77777777" w:rsidR="00883061" w:rsidRDefault="00883061">
            <w:pPr>
              <w:spacing w:after="0"/>
              <w:jc w:val="center"/>
            </w:pPr>
            <w:r>
              <w:rPr>
                <w:rFonts w:eastAsia="Arial"/>
                <w:b/>
              </w:rPr>
              <w:t>0.35 ± 1.00</w:t>
            </w:r>
            <w:r>
              <w:rPr>
                <w:rFonts w:eastAsia="Arial"/>
                <w:b/>
              </w:rPr>
              <w:br/>
            </w:r>
            <w:r>
              <w:rPr>
                <w:rFonts w:eastAsia="Arial"/>
              </w:rPr>
              <w:t>n = 9,931</w:t>
            </w:r>
          </w:p>
        </w:tc>
        <w:tc>
          <w:tcPr>
            <w:tcW w:w="1440"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0A51FB58" w14:textId="77777777" w:rsidR="00883061" w:rsidRDefault="00883061">
            <w:pPr>
              <w:spacing w:after="0"/>
              <w:jc w:val="center"/>
            </w:pPr>
            <w:r>
              <w:rPr>
                <w:rFonts w:eastAsia="Arial"/>
                <w:b/>
              </w:rPr>
              <w:t>&lt;0.0001</w:t>
            </w:r>
          </w:p>
        </w:tc>
      </w:tr>
      <w:tr w:rsidR="00FF3936" w14:paraId="5AD03A23"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33E3EE8F" w14:textId="77777777" w:rsidR="00883061" w:rsidRDefault="00883061">
            <w:pPr>
              <w:spacing w:after="0"/>
            </w:pPr>
            <w:r>
              <w:rPr>
                <w:rFonts w:eastAsia="Arial"/>
                <w:b/>
              </w:rPr>
              <w:t>Urgent-care encounter rate</w:t>
            </w:r>
            <w:r>
              <w:rPr>
                <w:rFonts w:eastAsia="Arial"/>
                <w:b/>
              </w:rPr>
              <w:br/>
            </w:r>
            <w:r>
              <w:rPr>
                <w:rFonts w:eastAsia="Arial"/>
              </w:rPr>
              <w:t>encounters/person-year</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4A43A330" w14:textId="77777777" w:rsidR="00883061" w:rsidRDefault="00883061">
            <w:pPr>
              <w:spacing w:after="0"/>
              <w:jc w:val="center"/>
            </w:pPr>
            <w:r>
              <w:rPr>
                <w:rFonts w:eastAsia="Arial"/>
                <w:b/>
              </w:rPr>
              <w:t>0.61 ± 1.32</w:t>
            </w:r>
            <w:r>
              <w:rPr>
                <w:rFonts w:eastAsia="Arial"/>
                <w:b/>
              </w:rPr>
              <w:br/>
            </w:r>
            <w:r>
              <w:rPr>
                <w:rFonts w:eastAsia="Arial"/>
              </w:rPr>
              <w:t>n = 68,596</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1FD84DF8" w14:textId="77777777" w:rsidR="00883061" w:rsidRDefault="00883061">
            <w:pPr>
              <w:spacing w:after="0"/>
              <w:jc w:val="center"/>
            </w:pPr>
            <w:r>
              <w:rPr>
                <w:rFonts w:eastAsia="Arial"/>
                <w:b/>
              </w:rPr>
              <w:t>0.66 ± 1.37</w:t>
            </w:r>
            <w:r>
              <w:rPr>
                <w:rFonts w:eastAsia="Arial"/>
                <w:b/>
              </w:rPr>
              <w:br/>
            </w:r>
            <w:r>
              <w:rPr>
                <w:rFonts w:eastAsia="Arial"/>
              </w:rPr>
              <w:t>n = 19,513</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4833DB4A" w14:textId="77777777" w:rsidR="00883061" w:rsidRDefault="00883061">
            <w:pPr>
              <w:spacing w:after="0"/>
              <w:jc w:val="center"/>
            </w:pPr>
            <w:r>
              <w:rPr>
                <w:rFonts w:eastAsia="Arial"/>
                <w:b/>
              </w:rPr>
              <w:t>0.62 ± 1.36</w:t>
            </w:r>
            <w:r>
              <w:rPr>
                <w:rFonts w:eastAsia="Arial"/>
                <w:b/>
              </w:rPr>
              <w:br/>
            </w:r>
            <w:r>
              <w:rPr>
                <w:rFonts w:eastAsia="Arial"/>
              </w:rPr>
              <w:t>n = 20,937</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08708891" w14:textId="77777777" w:rsidR="00883061" w:rsidRDefault="00883061">
            <w:pPr>
              <w:spacing w:after="0"/>
              <w:jc w:val="center"/>
            </w:pPr>
            <w:r>
              <w:rPr>
                <w:rFonts w:eastAsia="Arial"/>
                <w:b/>
              </w:rPr>
              <w:t>0.59 ± 1.27</w:t>
            </w:r>
            <w:r>
              <w:rPr>
                <w:rFonts w:eastAsia="Arial"/>
                <w:b/>
              </w:rPr>
              <w:br/>
            </w:r>
            <w:r>
              <w:rPr>
                <w:rFonts w:eastAsia="Arial"/>
              </w:rPr>
              <w:t>n = 13,496</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6033DE9E" w14:textId="77777777" w:rsidR="00883061" w:rsidRDefault="00883061">
            <w:pPr>
              <w:spacing w:after="0"/>
              <w:jc w:val="center"/>
            </w:pPr>
            <w:r>
              <w:rPr>
                <w:rFonts w:eastAsia="Arial"/>
                <w:b/>
              </w:rPr>
              <w:t>0.57 ± 1.23</w:t>
            </w:r>
            <w:r>
              <w:rPr>
                <w:rFonts w:eastAsia="Arial"/>
                <w:b/>
              </w:rPr>
              <w:br/>
            </w:r>
            <w:r>
              <w:rPr>
                <w:rFonts w:eastAsia="Arial"/>
              </w:rPr>
              <w:t>n = 14,650</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40F0393A" w14:textId="77777777" w:rsidR="00883061" w:rsidRDefault="00883061">
            <w:pPr>
              <w:spacing w:after="0"/>
              <w:jc w:val="center"/>
            </w:pPr>
            <w:r>
              <w:rPr>
                <w:rFonts w:eastAsia="Arial"/>
                <w:b/>
              </w:rPr>
              <w:t>&lt;0.0001</w:t>
            </w:r>
          </w:p>
        </w:tc>
      </w:tr>
      <w:tr w:rsidR="00FF3936" w14:paraId="5F61D5B8"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01534947" w14:textId="77777777" w:rsidR="00883061" w:rsidRDefault="00883061">
            <w:pPr>
              <w:spacing w:after="0"/>
            </w:pPr>
            <w:r>
              <w:rPr>
                <w:rFonts w:eastAsia="Arial"/>
                <w:b/>
              </w:rPr>
              <w:t>Primary-care encounter rate</w:t>
            </w:r>
            <w:r>
              <w:rPr>
                <w:rFonts w:eastAsia="Arial"/>
                <w:b/>
              </w:rPr>
              <w:br/>
            </w:r>
            <w:r>
              <w:rPr>
                <w:rFonts w:eastAsia="Arial"/>
              </w:rPr>
              <w:t>encounters/person-year</w:t>
            </w:r>
          </w:p>
        </w:tc>
        <w:tc>
          <w:tcPr>
            <w:tcW w:w="1872"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732EE63B" w14:textId="77777777" w:rsidR="00883061" w:rsidRDefault="00883061">
            <w:pPr>
              <w:spacing w:after="0"/>
              <w:jc w:val="center"/>
            </w:pPr>
            <w:r>
              <w:rPr>
                <w:rFonts w:eastAsia="Arial"/>
                <w:b/>
              </w:rPr>
              <w:t>3.69 ± 4.11</w:t>
            </w:r>
            <w:r>
              <w:rPr>
                <w:rFonts w:eastAsia="Arial"/>
                <w:b/>
              </w:rPr>
              <w:br/>
            </w:r>
            <w:r>
              <w:rPr>
                <w:rFonts w:eastAsia="Arial"/>
              </w:rPr>
              <w:t>n = 177,838</w:t>
            </w:r>
          </w:p>
        </w:tc>
        <w:tc>
          <w:tcPr>
            <w:tcW w:w="1872"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69436389" w14:textId="77777777" w:rsidR="00883061" w:rsidRDefault="00883061">
            <w:pPr>
              <w:spacing w:after="0"/>
              <w:jc w:val="center"/>
            </w:pPr>
            <w:r>
              <w:rPr>
                <w:rFonts w:eastAsia="Arial"/>
                <w:b/>
              </w:rPr>
              <w:t>3.77 ± 4.16</w:t>
            </w:r>
            <w:r>
              <w:rPr>
                <w:rFonts w:eastAsia="Arial"/>
                <w:b/>
              </w:rPr>
              <w:br/>
            </w:r>
            <w:r>
              <w:rPr>
                <w:rFonts w:eastAsia="Arial"/>
              </w:rPr>
              <w:t>n = 49,014</w:t>
            </w:r>
          </w:p>
        </w:tc>
        <w:tc>
          <w:tcPr>
            <w:tcW w:w="1872"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594E7F1F" w14:textId="77777777" w:rsidR="00883061" w:rsidRDefault="00883061">
            <w:pPr>
              <w:spacing w:after="0"/>
              <w:jc w:val="center"/>
            </w:pPr>
            <w:r>
              <w:rPr>
                <w:rFonts w:eastAsia="Arial"/>
                <w:b/>
              </w:rPr>
              <w:t>3.76 ± 4.17</w:t>
            </w:r>
            <w:r>
              <w:rPr>
                <w:rFonts w:eastAsia="Arial"/>
                <w:b/>
              </w:rPr>
              <w:br/>
            </w:r>
            <w:r>
              <w:rPr>
                <w:rFonts w:eastAsia="Arial"/>
              </w:rPr>
              <w:t>n = 53,871</w:t>
            </w:r>
          </w:p>
        </w:tc>
        <w:tc>
          <w:tcPr>
            <w:tcW w:w="1872"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336FA7DF" w14:textId="77777777" w:rsidR="00883061" w:rsidRDefault="00883061">
            <w:pPr>
              <w:spacing w:after="0"/>
              <w:jc w:val="center"/>
            </w:pPr>
            <w:r>
              <w:rPr>
                <w:rFonts w:eastAsia="Arial"/>
                <w:b/>
              </w:rPr>
              <w:t>3.71 ± 4.09</w:t>
            </w:r>
            <w:r>
              <w:rPr>
                <w:rFonts w:eastAsia="Arial"/>
                <w:b/>
              </w:rPr>
              <w:br/>
            </w:r>
            <w:r>
              <w:rPr>
                <w:rFonts w:eastAsia="Arial"/>
              </w:rPr>
              <w:t>n = 35,790</w:t>
            </w:r>
          </w:p>
        </w:tc>
        <w:tc>
          <w:tcPr>
            <w:tcW w:w="1872"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5D87E728" w14:textId="77777777" w:rsidR="00883061" w:rsidRDefault="00883061">
            <w:pPr>
              <w:spacing w:after="0"/>
              <w:jc w:val="center"/>
            </w:pPr>
            <w:r>
              <w:rPr>
                <w:rFonts w:eastAsia="Arial"/>
                <w:b/>
              </w:rPr>
              <w:t>3.48 ± 3.98</w:t>
            </w:r>
            <w:r>
              <w:rPr>
                <w:rFonts w:eastAsia="Arial"/>
                <w:b/>
              </w:rPr>
              <w:br/>
            </w:r>
            <w:r>
              <w:rPr>
                <w:rFonts w:eastAsia="Arial"/>
              </w:rPr>
              <w:t>n = 39,163</w:t>
            </w:r>
          </w:p>
        </w:tc>
        <w:tc>
          <w:tcPr>
            <w:tcW w:w="1440"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41BBDEDF" w14:textId="77777777" w:rsidR="00883061" w:rsidRDefault="00883061">
            <w:pPr>
              <w:spacing w:after="0"/>
              <w:jc w:val="center"/>
            </w:pPr>
            <w:r>
              <w:rPr>
                <w:rFonts w:eastAsia="Arial"/>
                <w:b/>
              </w:rPr>
              <w:t>&lt;0.0001</w:t>
            </w:r>
          </w:p>
        </w:tc>
      </w:tr>
      <w:tr w:rsidR="00FF3936" w14:paraId="3E3C448A"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4750E356" w14:textId="77777777" w:rsidR="00883061" w:rsidRDefault="00883061">
            <w:pPr>
              <w:spacing w:after="0"/>
            </w:pPr>
            <w:r>
              <w:rPr>
                <w:rFonts w:eastAsia="Arial"/>
                <w:b/>
              </w:rPr>
              <w:t>Specialty-care encounter rate</w:t>
            </w:r>
            <w:r>
              <w:rPr>
                <w:rFonts w:eastAsia="Arial"/>
                <w:b/>
              </w:rPr>
              <w:br/>
            </w:r>
            <w:r>
              <w:rPr>
                <w:rFonts w:eastAsia="Arial"/>
              </w:rPr>
              <w:t>encounters/person-year</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052E3EE0" w14:textId="77777777" w:rsidR="00883061" w:rsidRDefault="00883061">
            <w:pPr>
              <w:spacing w:after="0"/>
              <w:jc w:val="center"/>
            </w:pPr>
            <w:r>
              <w:rPr>
                <w:rFonts w:eastAsia="Arial"/>
                <w:b/>
              </w:rPr>
              <w:t>5.20 ± 8.79</w:t>
            </w:r>
            <w:r>
              <w:rPr>
                <w:rFonts w:eastAsia="Arial"/>
                <w:b/>
              </w:rPr>
              <w:br/>
            </w:r>
            <w:r>
              <w:rPr>
                <w:rFonts w:eastAsia="Arial"/>
              </w:rPr>
              <w:t>n = 151,480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5A2EC8AD" w14:textId="77777777" w:rsidR="00883061" w:rsidRDefault="00883061">
            <w:pPr>
              <w:spacing w:after="0"/>
              <w:jc w:val="center"/>
            </w:pPr>
            <w:r>
              <w:rPr>
                <w:rFonts w:eastAsia="Arial"/>
                <w:b/>
              </w:rPr>
              <w:t>5.69 ± 9.45</w:t>
            </w:r>
            <w:r>
              <w:rPr>
                <w:rFonts w:eastAsia="Arial"/>
                <w:b/>
              </w:rPr>
              <w:br/>
            </w:r>
            <w:r>
              <w:rPr>
                <w:rFonts w:eastAsia="Arial"/>
              </w:rPr>
              <w:t>n = 42,943</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4FD5829E" w14:textId="77777777" w:rsidR="00883061" w:rsidRDefault="00883061">
            <w:pPr>
              <w:spacing w:after="0"/>
              <w:jc w:val="center"/>
            </w:pPr>
            <w:r>
              <w:rPr>
                <w:rFonts w:eastAsia="Arial"/>
                <w:b/>
              </w:rPr>
              <w:t>5.38 ± 8.79</w:t>
            </w:r>
            <w:r>
              <w:rPr>
                <w:rFonts w:eastAsia="Arial"/>
                <w:b/>
              </w:rPr>
              <w:br/>
            </w:r>
            <w:r>
              <w:rPr>
                <w:rFonts w:eastAsia="Arial"/>
              </w:rPr>
              <w:t>n = 46,741</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4D00C535" w14:textId="77777777" w:rsidR="00883061" w:rsidRDefault="00883061">
            <w:pPr>
              <w:spacing w:after="0"/>
              <w:jc w:val="center"/>
            </w:pPr>
            <w:r>
              <w:rPr>
                <w:rFonts w:eastAsia="Arial"/>
                <w:b/>
              </w:rPr>
              <w:t>5.16 ± 8.47</w:t>
            </w:r>
            <w:r>
              <w:rPr>
                <w:rFonts w:eastAsia="Arial"/>
                <w:b/>
              </w:rPr>
              <w:br/>
            </w:r>
            <w:r>
              <w:rPr>
                <w:rFonts w:eastAsia="Arial"/>
              </w:rPr>
              <w:t>n = 30,499</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319A6BFB" w14:textId="77777777" w:rsidR="00883061" w:rsidRDefault="00883061">
            <w:pPr>
              <w:spacing w:after="0"/>
              <w:jc w:val="center"/>
            </w:pPr>
            <w:r>
              <w:rPr>
                <w:rFonts w:eastAsia="Arial"/>
                <w:b/>
              </w:rPr>
              <w:t>4.40 ± 8.17</w:t>
            </w:r>
            <w:r>
              <w:rPr>
                <w:rFonts w:eastAsia="Arial"/>
                <w:b/>
              </w:rPr>
              <w:br/>
            </w:r>
            <w:r>
              <w:rPr>
                <w:rFonts w:eastAsia="Arial"/>
              </w:rPr>
              <w:t>n = 31,297</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0C2D3AFA" w14:textId="77777777" w:rsidR="00883061" w:rsidRDefault="00883061">
            <w:pPr>
              <w:spacing w:after="0"/>
              <w:jc w:val="center"/>
            </w:pPr>
            <w:r>
              <w:rPr>
                <w:rFonts w:eastAsia="Arial"/>
                <w:b/>
              </w:rPr>
              <w:t>&lt;0.0001</w:t>
            </w:r>
          </w:p>
        </w:tc>
      </w:tr>
      <w:tr w:rsidR="00FF3936" w14:paraId="06998086" w14:textId="77777777">
        <w:trPr>
          <w:cantSplit/>
          <w:jc w:val="center"/>
        </w:trPr>
        <w:tc>
          <w:tcPr>
            <w:tcW w:w="2016" w:type="dxa"/>
            <w:gridSpan w:val="7"/>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291E330F" w14:textId="77777777" w:rsidR="00883061" w:rsidRDefault="00883061">
            <w:pPr>
              <w:spacing w:after="0"/>
              <w:jc w:val="center"/>
            </w:pPr>
            <w:r>
              <w:rPr>
                <w:rFonts w:eastAsia="Arial"/>
                <w:b/>
              </w:rPr>
              <w:t>STAY DURATION</w:t>
            </w:r>
          </w:p>
        </w:tc>
      </w:tr>
      <w:tr w:rsidR="00FF3936" w14:paraId="66513C77"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49E43F63" w14:textId="77777777" w:rsidR="00883061" w:rsidRDefault="00883061">
            <w:pPr>
              <w:spacing w:after="0"/>
            </w:pPr>
            <w:r>
              <w:rPr>
                <w:rFonts w:eastAsia="Arial"/>
                <w:b/>
              </w:rPr>
              <w:t>Hospital length of stay</w:t>
            </w:r>
            <w:r>
              <w:rPr>
                <w:rFonts w:eastAsia="Arial"/>
                <w:b/>
              </w:rPr>
              <w:br/>
            </w:r>
            <w:r>
              <w:rPr>
                <w:rFonts w:eastAsia="Arial"/>
              </w:rPr>
              <w:t>days/admission</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5460A755" w14:textId="77777777" w:rsidR="00883061" w:rsidRDefault="00883061">
            <w:pPr>
              <w:spacing w:after="0"/>
              <w:jc w:val="center"/>
            </w:pPr>
            <w:r>
              <w:rPr>
                <w:rFonts w:eastAsia="Arial"/>
                <w:b/>
              </w:rPr>
              <w:t>4.20 ± 7.60</w:t>
            </w:r>
            <w:r>
              <w:rPr>
                <w:rFonts w:eastAsia="Arial"/>
                <w:b/>
              </w:rPr>
              <w:br/>
            </w:r>
            <w:r>
              <w:rPr>
                <w:rFonts w:eastAsia="Arial"/>
              </w:rPr>
              <w:t>n = 20,626</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1B005713" w14:textId="77777777" w:rsidR="00883061" w:rsidRDefault="00883061">
            <w:pPr>
              <w:spacing w:after="0"/>
              <w:jc w:val="center"/>
            </w:pPr>
            <w:r>
              <w:rPr>
                <w:rFonts w:eastAsia="Arial"/>
                <w:b/>
              </w:rPr>
              <w:t>4.01 ± 5.04</w:t>
            </w:r>
            <w:r>
              <w:rPr>
                <w:rFonts w:eastAsia="Arial"/>
                <w:b/>
              </w:rPr>
              <w:br/>
            </w:r>
            <w:r>
              <w:rPr>
                <w:rFonts w:eastAsia="Arial"/>
              </w:rPr>
              <w:t>n = 4,676</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77193CA8" w14:textId="77777777" w:rsidR="00883061" w:rsidRDefault="00883061">
            <w:pPr>
              <w:spacing w:after="0"/>
              <w:jc w:val="center"/>
            </w:pPr>
            <w:r>
              <w:rPr>
                <w:rFonts w:eastAsia="Arial"/>
                <w:b/>
              </w:rPr>
              <w:t>3.97 ± 4.29</w:t>
            </w:r>
            <w:r>
              <w:rPr>
                <w:rFonts w:eastAsia="Arial"/>
                <w:b/>
              </w:rPr>
              <w:br/>
            </w:r>
            <w:r>
              <w:rPr>
                <w:rFonts w:eastAsia="Arial"/>
              </w:rPr>
              <w:t>n = 6,040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1E38E12F" w14:textId="77777777" w:rsidR="00883061" w:rsidRDefault="00883061">
            <w:pPr>
              <w:spacing w:after="0"/>
              <w:jc w:val="center"/>
            </w:pPr>
            <w:r>
              <w:rPr>
                <w:rFonts w:eastAsia="Arial"/>
                <w:b/>
              </w:rPr>
              <w:t>4.16 ± 4.84</w:t>
            </w:r>
            <w:r>
              <w:rPr>
                <w:rFonts w:eastAsia="Arial"/>
                <w:b/>
              </w:rPr>
              <w:br/>
            </w:r>
            <w:r>
              <w:rPr>
                <w:rFonts w:eastAsia="Arial"/>
              </w:rPr>
              <w:t>n = 4,649</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07238E23" w14:textId="77777777" w:rsidR="00883061" w:rsidRDefault="00883061">
            <w:pPr>
              <w:spacing w:after="0"/>
              <w:jc w:val="center"/>
            </w:pPr>
            <w:r>
              <w:rPr>
                <w:rFonts w:eastAsia="Arial"/>
                <w:b/>
              </w:rPr>
              <w:t>4.66 ± 12.71</w:t>
            </w:r>
            <w:r>
              <w:rPr>
                <w:rFonts w:eastAsia="Arial"/>
                <w:b/>
              </w:rPr>
              <w:br/>
            </w:r>
            <w:r>
              <w:rPr>
                <w:rFonts w:eastAsia="Arial"/>
              </w:rPr>
              <w:t>n = 5,261</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7A1081D2" w14:textId="77777777" w:rsidR="00883061" w:rsidRDefault="00883061">
            <w:pPr>
              <w:spacing w:after="0"/>
              <w:jc w:val="center"/>
            </w:pPr>
            <w:r>
              <w:rPr>
                <w:rFonts w:eastAsia="Arial"/>
                <w:b/>
              </w:rPr>
              <w:t>0.0010†</w:t>
            </w:r>
          </w:p>
        </w:tc>
      </w:tr>
    </w:tbl>
    <w:p w14:paraId="55897FB7" w14:textId="77777777" w:rsidR="00AE0B4A" w:rsidRDefault="00883061">
      <w:pPr>
        <w:pStyle w:val="Caption"/>
      </w:pPr>
      <w:r>
        <w:t>Note. Values are mean ± SD. Pre-index windows include encounters in [index date - N years, index date), with the lower bound included and the index date excluded. Encounter rates are encounters per person-year among all cohort members in each OSA-severity stratum, including patients with zero qualifying visits. Each patient's distinct-encounter count was divided by the lesser of observed pre-index time and the stated window length, with a minimum denominator of 1 day. For rate measures, contributing n is th</w:t>
      </w:r>
      <w:r>
        <w:t>e number of patients with at least one qualifying encounter. For hospital length of stay, statistics are admission-level among distinct canonical inpatient encounters with nonmissing length of stay &gt;0, and contributing n is the number of qualifying admissions.</w:t>
      </w:r>
      <w:r>
        <w:t xml:space="preserve"> P values are unadjusted omnibus Welch one-way ANOVA comparisons of None, Mild, Moderate, and Severe OSA, calculated from the released group sizes, means, and sample SDs (six-decimal source precision). Welch's method allows unequal variances. Encounter-rate tests use all patients in each severity stratum, including zero-use patients; Overall is excluded. These tests assess any difference in group means, not a severity trend or specific pairwise differences. No correction for the 14 comparisons across both p</w:t>
      </w:r>
      <w:r>
        <w:t>anels was applied. † Length-of-stay tests are exploratory admission-level comparisons that assume independent admissions and do not account for repeated admissions within patients.</w:t>
      </w:r>
    </w:p>
    <w:p w14:paraId="16F56B32" w14:textId="77777777" w:rsidR="00AE0B4A" w:rsidRDefault="00AE0B4A">
      <w:pPr>
        <w:sectPr w:rsidR="00AE0B4A">
          <w:pgSz w:w="15840" w:h="12240"/>
          <w:pgMar w:top="648" w:right="720" w:bottom="720" w:left="720" w:header="720" w:footer="288" w:gutter="0"/>
          <w:cols w:space="720"/>
          <w:docGrid w:linePitch="360"/>
        </w:sectPr>
      </w:pPr>
    </w:p>
    <w:p w14:paraId="601E1D3A" w14:textId="77777777" w:rsidR="00AE0B4A" w:rsidRDefault="00883061">
      <w:pPr>
        <w:pStyle w:val="Heading2"/>
      </w:pPr>
      <w:r>
        <w:lastRenderedPageBreak/>
        <w:t>Table 2</w:t>
      </w:r>
      <w:r>
        <w:t>. Descriptive healthcare-utilization profile by OSA severity continued</w:t>
      </w:r>
    </w:p>
    <w:p w14:paraId="7E541F85" w14:textId="77777777" w:rsidR="00AE0B4A" w:rsidRDefault="00883061">
      <w:pPr>
        <w:pStyle w:val="Heading3"/>
      </w:pPr>
      <w:r>
        <w:t>Panel B. 5-year pre-index window</w:t>
      </w:r>
    </w:p>
    <w:tbl>
      <w:tblPr>
        <w:tblW w:w="1440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600"/>
        <w:gridCol w:w="1872"/>
        <w:gridCol w:w="1872"/>
        <w:gridCol w:w="1872"/>
        <w:gridCol w:w="1872"/>
        <w:gridCol w:w="1872"/>
        <w:gridCol w:w="1440"/>
      </w:tblGrid>
      <w:tr w:rsidR="00FF3936" w14:paraId="787307AE" w14:textId="77777777">
        <w:trPr>
          <w:cantSplit/>
          <w:tblHeader/>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E7EBEF"/>
            <w:tcMar>
              <w:top w:w="55" w:type="dxa"/>
              <w:left w:w="75" w:type="dxa"/>
              <w:bottom w:w="55" w:type="dxa"/>
              <w:right w:w="75" w:type="dxa"/>
            </w:tcMar>
            <w:vAlign w:val="center"/>
          </w:tcPr>
          <w:p w14:paraId="7C4A2F44" w14:textId="77777777" w:rsidR="00883061" w:rsidRDefault="00883061">
            <w:pPr>
              <w:spacing w:after="0"/>
            </w:pPr>
            <w:r>
              <w:rPr>
                <w:rFonts w:eastAsia="Arial"/>
                <w:b/>
              </w:rPr>
              <w:t>Measure</w:t>
            </w:r>
          </w:p>
        </w:tc>
        <w:tc>
          <w:tcPr>
            <w:tcW w:w="1872" w:type="dxa"/>
            <w:tcBorders>
              <w:top w:val="single" w:sz="4" w:space="0" w:color="D9D9D9"/>
              <w:left w:val="single" w:sz="4" w:space="0" w:color="D9D9D9"/>
              <w:bottom w:val="single" w:sz="4" w:space="0" w:color="D9D9D9"/>
              <w:right w:val="single" w:sz="4" w:space="0" w:color="D9D9D9"/>
            </w:tcBorders>
            <w:shd w:val="clear" w:color="auto" w:fill="E7EBEF"/>
            <w:tcMar>
              <w:top w:w="55" w:type="dxa"/>
              <w:left w:w="75" w:type="dxa"/>
              <w:bottom w:w="55" w:type="dxa"/>
              <w:right w:w="75" w:type="dxa"/>
            </w:tcMar>
            <w:vAlign w:val="center"/>
          </w:tcPr>
          <w:p w14:paraId="450450F1" w14:textId="77777777" w:rsidR="00883061" w:rsidRDefault="00883061">
            <w:pPr>
              <w:spacing w:after="0"/>
              <w:jc w:val="center"/>
            </w:pPr>
            <w:r>
              <w:rPr>
                <w:rFonts w:eastAsia="Arial"/>
                <w:b/>
              </w:rPr>
              <w:t>Overall</w:t>
            </w:r>
            <w:r>
              <w:rPr>
                <w:rFonts w:eastAsia="Arial"/>
                <w:b/>
              </w:rPr>
              <w:br/>
              <w:t>N = 222,109</w:t>
            </w:r>
          </w:p>
        </w:tc>
        <w:tc>
          <w:tcPr>
            <w:tcW w:w="1872" w:type="dxa"/>
            <w:tcBorders>
              <w:top w:val="single" w:sz="4" w:space="0" w:color="D9D9D9"/>
              <w:left w:val="single" w:sz="4" w:space="0" w:color="D9D9D9"/>
              <w:bottom w:val="single" w:sz="4" w:space="0" w:color="D9D9D9"/>
              <w:right w:val="single" w:sz="4" w:space="0" w:color="D9D9D9"/>
            </w:tcBorders>
            <w:shd w:val="clear" w:color="auto" w:fill="E7EBEF"/>
            <w:tcMar>
              <w:top w:w="55" w:type="dxa"/>
              <w:left w:w="75" w:type="dxa"/>
              <w:bottom w:w="55" w:type="dxa"/>
              <w:right w:w="75" w:type="dxa"/>
            </w:tcMar>
            <w:vAlign w:val="center"/>
          </w:tcPr>
          <w:p w14:paraId="51A21686" w14:textId="77777777" w:rsidR="00883061" w:rsidRDefault="00883061">
            <w:pPr>
              <w:spacing w:after="0"/>
              <w:jc w:val="center"/>
            </w:pPr>
            <w:r>
              <w:rPr>
                <w:rFonts w:eastAsia="Arial"/>
                <w:b/>
              </w:rPr>
              <w:t>None</w:t>
            </w:r>
            <w:r>
              <w:rPr>
                <w:rFonts w:eastAsia="Arial"/>
                <w:b/>
              </w:rPr>
              <w:br/>
              <w:t>N = 60,618</w:t>
            </w:r>
          </w:p>
        </w:tc>
        <w:tc>
          <w:tcPr>
            <w:tcW w:w="1872" w:type="dxa"/>
            <w:tcBorders>
              <w:top w:val="single" w:sz="4" w:space="0" w:color="D9D9D9"/>
              <w:left w:val="single" w:sz="4" w:space="0" w:color="D9D9D9"/>
              <w:bottom w:val="single" w:sz="4" w:space="0" w:color="D9D9D9"/>
              <w:right w:val="single" w:sz="4" w:space="0" w:color="D9D9D9"/>
            </w:tcBorders>
            <w:shd w:val="clear" w:color="auto" w:fill="E7EBEF"/>
            <w:tcMar>
              <w:top w:w="55" w:type="dxa"/>
              <w:left w:w="75" w:type="dxa"/>
              <w:bottom w:w="55" w:type="dxa"/>
              <w:right w:w="75" w:type="dxa"/>
            </w:tcMar>
            <w:vAlign w:val="center"/>
          </w:tcPr>
          <w:p w14:paraId="5246FEE0" w14:textId="77777777" w:rsidR="00883061" w:rsidRDefault="00883061">
            <w:pPr>
              <w:spacing w:after="0"/>
              <w:jc w:val="center"/>
            </w:pPr>
            <w:r>
              <w:rPr>
                <w:rFonts w:eastAsia="Arial"/>
                <w:b/>
              </w:rPr>
              <w:t>Mild</w:t>
            </w:r>
            <w:r>
              <w:rPr>
                <w:rFonts w:eastAsia="Arial"/>
                <w:b/>
              </w:rPr>
              <w:br/>
              <w:t>N = 67,040</w:t>
            </w:r>
          </w:p>
        </w:tc>
        <w:tc>
          <w:tcPr>
            <w:tcW w:w="1872" w:type="dxa"/>
            <w:tcBorders>
              <w:top w:val="single" w:sz="4" w:space="0" w:color="D9D9D9"/>
              <w:left w:val="single" w:sz="4" w:space="0" w:color="D9D9D9"/>
              <w:bottom w:val="single" w:sz="4" w:space="0" w:color="D9D9D9"/>
              <w:right w:val="single" w:sz="4" w:space="0" w:color="D9D9D9"/>
            </w:tcBorders>
            <w:shd w:val="clear" w:color="auto" w:fill="E7EBEF"/>
            <w:tcMar>
              <w:top w:w="55" w:type="dxa"/>
              <w:left w:w="75" w:type="dxa"/>
              <w:bottom w:w="55" w:type="dxa"/>
              <w:right w:w="75" w:type="dxa"/>
            </w:tcMar>
            <w:vAlign w:val="center"/>
          </w:tcPr>
          <w:p w14:paraId="08ACBC4F" w14:textId="77777777" w:rsidR="00883061" w:rsidRDefault="00883061">
            <w:pPr>
              <w:spacing w:after="0"/>
              <w:jc w:val="center"/>
            </w:pPr>
            <w:r>
              <w:rPr>
                <w:rFonts w:eastAsia="Arial"/>
                <w:b/>
              </w:rPr>
              <w:t>Moderate</w:t>
            </w:r>
            <w:r>
              <w:rPr>
                <w:rFonts w:eastAsia="Arial"/>
                <w:b/>
              </w:rPr>
              <w:br/>
              <w:t>N = 44,957</w:t>
            </w:r>
          </w:p>
        </w:tc>
        <w:tc>
          <w:tcPr>
            <w:tcW w:w="1872" w:type="dxa"/>
            <w:tcBorders>
              <w:top w:val="single" w:sz="4" w:space="0" w:color="D9D9D9"/>
              <w:left w:val="single" w:sz="4" w:space="0" w:color="D9D9D9"/>
              <w:bottom w:val="single" w:sz="4" w:space="0" w:color="D9D9D9"/>
              <w:right w:val="single" w:sz="4" w:space="0" w:color="D9D9D9"/>
            </w:tcBorders>
            <w:shd w:val="clear" w:color="auto" w:fill="E7EBEF"/>
            <w:tcMar>
              <w:top w:w="55" w:type="dxa"/>
              <w:left w:w="75" w:type="dxa"/>
              <w:bottom w:w="55" w:type="dxa"/>
              <w:right w:w="75" w:type="dxa"/>
            </w:tcMar>
            <w:vAlign w:val="center"/>
          </w:tcPr>
          <w:p w14:paraId="65C0C983" w14:textId="77777777" w:rsidR="00883061" w:rsidRDefault="00883061">
            <w:pPr>
              <w:spacing w:after="0"/>
              <w:jc w:val="center"/>
            </w:pPr>
            <w:r>
              <w:rPr>
                <w:rFonts w:eastAsia="Arial"/>
                <w:b/>
              </w:rPr>
              <w:t>Severe</w:t>
            </w:r>
            <w:r>
              <w:rPr>
                <w:rFonts w:eastAsia="Arial"/>
                <w:b/>
              </w:rPr>
              <w:br/>
              <w:t>N = 49,494</w:t>
            </w:r>
          </w:p>
        </w:tc>
        <w:tc>
          <w:tcPr>
            <w:tcW w:w="1440" w:type="dxa"/>
            <w:tcBorders>
              <w:top w:val="single" w:sz="4" w:space="0" w:color="D9D9D9"/>
              <w:left w:val="single" w:sz="4" w:space="0" w:color="D9D9D9"/>
              <w:bottom w:val="single" w:sz="4" w:space="0" w:color="D9D9D9"/>
              <w:right w:val="single" w:sz="4" w:space="0" w:color="D9D9D9"/>
            </w:tcBorders>
            <w:shd w:val="clear" w:color="auto" w:fill="E7EBEF"/>
            <w:tcMar>
              <w:top w:w="55" w:type="dxa"/>
              <w:left w:w="75" w:type="dxa"/>
              <w:bottom w:w="55" w:type="dxa"/>
              <w:right w:w="75" w:type="dxa"/>
            </w:tcMar>
            <w:vAlign w:val="center"/>
          </w:tcPr>
          <w:p w14:paraId="2FFF83E0" w14:textId="77777777" w:rsidR="00883061" w:rsidRDefault="00883061">
            <w:pPr>
              <w:spacing w:after="0"/>
              <w:jc w:val="center"/>
            </w:pPr>
            <w:r>
              <w:rPr>
                <w:rFonts w:eastAsia="Arial"/>
                <w:b/>
              </w:rPr>
              <w:t>ANOVA P value</w:t>
            </w:r>
          </w:p>
        </w:tc>
      </w:tr>
      <w:tr w:rsidR="00FF3936" w14:paraId="7CE11726" w14:textId="77777777">
        <w:trPr>
          <w:cantSplit/>
          <w:jc w:val="center"/>
        </w:trPr>
        <w:tc>
          <w:tcPr>
            <w:tcW w:w="2016" w:type="dxa"/>
            <w:gridSpan w:val="7"/>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6FFAA035" w14:textId="77777777" w:rsidR="00883061" w:rsidRDefault="00883061">
            <w:pPr>
              <w:spacing w:after="0"/>
              <w:jc w:val="center"/>
            </w:pPr>
            <w:r>
              <w:rPr>
                <w:rFonts w:eastAsia="Arial"/>
                <w:b/>
              </w:rPr>
              <w:t>ENCOUNTER RATES</w:t>
            </w:r>
          </w:p>
        </w:tc>
      </w:tr>
      <w:tr w:rsidR="00FF3936" w14:paraId="1CB71CB9"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6241FD6C" w14:textId="77777777" w:rsidR="00883061" w:rsidRDefault="00883061">
            <w:pPr>
              <w:spacing w:after="0"/>
            </w:pPr>
            <w:r>
              <w:rPr>
                <w:rFonts w:eastAsia="Arial"/>
                <w:b/>
              </w:rPr>
              <w:t>Total outpatient encounter rate</w:t>
            </w:r>
            <w:r>
              <w:rPr>
                <w:rFonts w:eastAsia="Arial"/>
                <w:b/>
              </w:rPr>
              <w:br/>
            </w:r>
            <w:r>
              <w:rPr>
                <w:rFonts w:eastAsia="Arial"/>
              </w:rPr>
              <w:t>encounters/person-year</w:t>
            </w:r>
          </w:p>
        </w:tc>
        <w:tc>
          <w:tcPr>
            <w:tcW w:w="1872"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18A3F260" w14:textId="77777777" w:rsidR="00883061" w:rsidRDefault="00883061">
            <w:pPr>
              <w:spacing w:after="0"/>
              <w:jc w:val="center"/>
            </w:pPr>
            <w:r>
              <w:rPr>
                <w:rFonts w:eastAsia="Arial"/>
                <w:b/>
              </w:rPr>
              <w:t>8.34 ± 8.62</w:t>
            </w:r>
            <w:r>
              <w:rPr>
                <w:rFonts w:eastAsia="Arial"/>
                <w:b/>
              </w:rPr>
              <w:br/>
            </w:r>
            <w:r>
              <w:rPr>
                <w:rFonts w:eastAsia="Arial"/>
              </w:rPr>
              <w:t>n = 219,706</w:t>
            </w:r>
          </w:p>
        </w:tc>
        <w:tc>
          <w:tcPr>
            <w:tcW w:w="1872"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6496140E" w14:textId="77777777" w:rsidR="00883061" w:rsidRDefault="00883061">
            <w:pPr>
              <w:spacing w:after="0"/>
              <w:jc w:val="center"/>
            </w:pPr>
            <w:r>
              <w:rPr>
                <w:rFonts w:eastAsia="Arial"/>
                <w:b/>
              </w:rPr>
              <w:t>8.98 ± 9.06</w:t>
            </w:r>
            <w:r>
              <w:rPr>
                <w:rFonts w:eastAsia="Arial"/>
                <w:b/>
              </w:rPr>
              <w:br/>
            </w:r>
            <w:r>
              <w:rPr>
                <w:rFonts w:eastAsia="Arial"/>
              </w:rPr>
              <w:t>n = 60,101</w:t>
            </w:r>
          </w:p>
        </w:tc>
        <w:tc>
          <w:tcPr>
            <w:tcW w:w="1872"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6C8C4C5A" w14:textId="77777777" w:rsidR="00883061" w:rsidRDefault="00883061">
            <w:pPr>
              <w:spacing w:after="0"/>
              <w:jc w:val="center"/>
            </w:pPr>
            <w:r>
              <w:rPr>
                <w:rFonts w:eastAsia="Arial"/>
                <w:b/>
              </w:rPr>
              <w:t>8.67 ± 8.84</w:t>
            </w:r>
            <w:r>
              <w:rPr>
                <w:rFonts w:eastAsia="Arial"/>
                <w:b/>
              </w:rPr>
              <w:br/>
            </w:r>
            <w:r>
              <w:rPr>
                <w:rFonts w:eastAsia="Arial"/>
              </w:rPr>
              <w:t>n = 66,424</w:t>
            </w:r>
          </w:p>
        </w:tc>
        <w:tc>
          <w:tcPr>
            <w:tcW w:w="1872"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5D5A0EC8" w14:textId="77777777" w:rsidR="00883061" w:rsidRDefault="00883061">
            <w:pPr>
              <w:spacing w:after="0"/>
              <w:jc w:val="center"/>
            </w:pPr>
            <w:r>
              <w:rPr>
                <w:rFonts w:eastAsia="Arial"/>
                <w:b/>
              </w:rPr>
              <w:t>8.27 ± 8.22</w:t>
            </w:r>
            <w:r>
              <w:rPr>
                <w:rFonts w:eastAsia="Arial"/>
                <w:b/>
              </w:rPr>
              <w:br/>
            </w:r>
            <w:r>
              <w:rPr>
                <w:rFonts w:eastAsia="Arial"/>
              </w:rPr>
              <w:t>n = 44,484</w:t>
            </w:r>
          </w:p>
        </w:tc>
        <w:tc>
          <w:tcPr>
            <w:tcW w:w="1872"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62F5F2AF" w14:textId="77777777" w:rsidR="00883061" w:rsidRDefault="00883061">
            <w:pPr>
              <w:spacing w:after="0"/>
              <w:jc w:val="center"/>
            </w:pPr>
            <w:r>
              <w:rPr>
                <w:rFonts w:eastAsia="Arial"/>
                <w:b/>
              </w:rPr>
              <w:t>7.19 ± 7.98</w:t>
            </w:r>
            <w:r>
              <w:rPr>
                <w:rFonts w:eastAsia="Arial"/>
                <w:b/>
              </w:rPr>
              <w:br/>
            </w:r>
            <w:r>
              <w:rPr>
                <w:rFonts w:eastAsia="Arial"/>
              </w:rPr>
              <w:t>n = 48,697</w:t>
            </w:r>
          </w:p>
        </w:tc>
        <w:tc>
          <w:tcPr>
            <w:tcW w:w="1440"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106C1039" w14:textId="77777777" w:rsidR="00883061" w:rsidRDefault="00883061">
            <w:pPr>
              <w:spacing w:after="0"/>
              <w:jc w:val="center"/>
            </w:pPr>
            <w:r>
              <w:rPr>
                <w:rFonts w:eastAsia="Arial"/>
                <w:b/>
              </w:rPr>
              <w:t>&lt;0.0001</w:t>
            </w:r>
          </w:p>
        </w:tc>
      </w:tr>
      <w:tr w:rsidR="00FF3936" w14:paraId="06DF7CC4"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37D599A8" w14:textId="77777777" w:rsidR="00883061" w:rsidRDefault="00883061">
            <w:pPr>
              <w:spacing w:after="0"/>
            </w:pPr>
            <w:r>
              <w:rPr>
                <w:rFonts w:eastAsia="Arial"/>
                <w:b/>
              </w:rPr>
              <w:t>Inpatient encounter rate</w:t>
            </w:r>
            <w:r>
              <w:rPr>
                <w:rFonts w:eastAsia="Arial"/>
                <w:b/>
              </w:rPr>
              <w:br/>
            </w:r>
            <w:r>
              <w:rPr>
                <w:rFonts w:eastAsia="Arial"/>
              </w:rPr>
              <w:t>encounters/person-year</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1874A191" w14:textId="77777777" w:rsidR="00883061" w:rsidRDefault="00883061">
            <w:pPr>
              <w:spacing w:after="0"/>
              <w:jc w:val="center"/>
            </w:pPr>
            <w:r>
              <w:rPr>
                <w:rFonts w:eastAsia="Arial"/>
                <w:b/>
              </w:rPr>
              <w:t>0.066 ± 0.21</w:t>
            </w:r>
            <w:r>
              <w:rPr>
                <w:rFonts w:eastAsia="Arial"/>
                <w:b/>
              </w:rPr>
              <w:br/>
            </w:r>
            <w:r>
              <w:rPr>
                <w:rFonts w:eastAsia="Arial"/>
              </w:rPr>
              <w:t>n = 38,793</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4D6701DB" w14:textId="77777777" w:rsidR="00883061" w:rsidRDefault="00883061">
            <w:pPr>
              <w:spacing w:after="0"/>
              <w:jc w:val="center"/>
            </w:pPr>
            <w:r>
              <w:rPr>
                <w:rFonts w:eastAsia="Arial"/>
                <w:b/>
              </w:rPr>
              <w:t>0.058 ± 0.20</w:t>
            </w:r>
            <w:r>
              <w:rPr>
                <w:rFonts w:eastAsia="Arial"/>
                <w:b/>
              </w:rPr>
              <w:br/>
            </w:r>
            <w:r>
              <w:rPr>
                <w:rFonts w:eastAsia="Arial"/>
              </w:rPr>
              <w:t>n = 9,315</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03BF01A8" w14:textId="77777777" w:rsidR="00883061" w:rsidRDefault="00883061">
            <w:pPr>
              <w:spacing w:after="0"/>
              <w:jc w:val="center"/>
            </w:pPr>
            <w:r>
              <w:rPr>
                <w:rFonts w:eastAsia="Arial"/>
                <w:b/>
              </w:rPr>
              <w:t>0.065 ± 0.21</w:t>
            </w:r>
            <w:r>
              <w:rPr>
                <w:rFonts w:eastAsia="Arial"/>
                <w:b/>
              </w:rPr>
              <w:br/>
            </w:r>
            <w:r>
              <w:rPr>
                <w:rFonts w:eastAsia="Arial"/>
              </w:rPr>
              <w:t>n = 11,792</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51AF4E5D" w14:textId="77777777" w:rsidR="00883061" w:rsidRDefault="00883061">
            <w:pPr>
              <w:spacing w:after="0"/>
              <w:jc w:val="center"/>
            </w:pPr>
            <w:r>
              <w:rPr>
                <w:rFonts w:eastAsia="Arial"/>
                <w:b/>
              </w:rPr>
              <w:t>0.072 ± 0.22</w:t>
            </w:r>
            <w:r>
              <w:rPr>
                <w:rFonts w:eastAsia="Arial"/>
                <w:b/>
              </w:rPr>
              <w:br/>
            </w:r>
            <w:r>
              <w:rPr>
                <w:rFonts w:eastAsia="Arial"/>
              </w:rPr>
              <w:t>n = 8,501</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4D5E38CD" w14:textId="77777777" w:rsidR="00883061" w:rsidRDefault="00883061">
            <w:pPr>
              <w:spacing w:after="0"/>
              <w:jc w:val="center"/>
            </w:pPr>
            <w:r>
              <w:rPr>
                <w:rFonts w:eastAsia="Arial"/>
                <w:b/>
              </w:rPr>
              <w:t>0.072 ± 0.22</w:t>
            </w:r>
            <w:r>
              <w:rPr>
                <w:rFonts w:eastAsia="Arial"/>
                <w:b/>
              </w:rPr>
              <w:br/>
            </w:r>
            <w:r>
              <w:rPr>
                <w:rFonts w:eastAsia="Arial"/>
              </w:rPr>
              <w:t>n = 9,185</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32B5E358" w14:textId="77777777" w:rsidR="00883061" w:rsidRDefault="00883061">
            <w:pPr>
              <w:spacing w:after="0"/>
              <w:jc w:val="center"/>
            </w:pPr>
            <w:r>
              <w:rPr>
                <w:rFonts w:eastAsia="Arial"/>
                <w:b/>
              </w:rPr>
              <w:t>&lt;0.0001</w:t>
            </w:r>
          </w:p>
        </w:tc>
      </w:tr>
      <w:tr w:rsidR="00FF3936" w14:paraId="0AA7F587"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46C21DDB" w14:textId="77777777" w:rsidR="00883061" w:rsidRDefault="00883061">
            <w:pPr>
              <w:spacing w:after="0"/>
            </w:pPr>
            <w:r>
              <w:rPr>
                <w:rFonts w:eastAsia="Arial"/>
                <w:b/>
              </w:rPr>
              <w:t>Emergency department encounter rate</w:t>
            </w:r>
            <w:r>
              <w:rPr>
                <w:rFonts w:eastAsia="Arial"/>
                <w:b/>
              </w:rPr>
              <w:br/>
            </w:r>
            <w:r>
              <w:rPr>
                <w:rFonts w:eastAsia="Arial"/>
              </w:rPr>
              <w:t>encounters/person-year</w:t>
            </w:r>
          </w:p>
        </w:tc>
        <w:tc>
          <w:tcPr>
            <w:tcW w:w="1872"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20002C4F" w14:textId="77777777" w:rsidR="00883061" w:rsidRDefault="00883061">
            <w:pPr>
              <w:spacing w:after="0"/>
              <w:jc w:val="center"/>
            </w:pPr>
            <w:r>
              <w:rPr>
                <w:rFonts w:eastAsia="Arial"/>
                <w:b/>
              </w:rPr>
              <w:t>0.30 ± 0.70</w:t>
            </w:r>
            <w:r>
              <w:rPr>
                <w:rFonts w:eastAsia="Arial"/>
                <w:b/>
              </w:rPr>
              <w:br/>
            </w:r>
            <w:r>
              <w:rPr>
                <w:rFonts w:eastAsia="Arial"/>
              </w:rPr>
              <w:t>n = 110,050</w:t>
            </w:r>
          </w:p>
        </w:tc>
        <w:tc>
          <w:tcPr>
            <w:tcW w:w="1872"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41B08CB2" w14:textId="77777777" w:rsidR="00883061" w:rsidRDefault="00883061">
            <w:pPr>
              <w:spacing w:after="0"/>
              <w:jc w:val="center"/>
            </w:pPr>
            <w:r>
              <w:rPr>
                <w:rFonts w:eastAsia="Arial"/>
                <w:b/>
              </w:rPr>
              <w:t>0.32 ± 0.70</w:t>
            </w:r>
            <w:r>
              <w:rPr>
                <w:rFonts w:eastAsia="Arial"/>
                <w:b/>
              </w:rPr>
              <w:br/>
            </w:r>
            <w:r>
              <w:rPr>
                <w:rFonts w:eastAsia="Arial"/>
              </w:rPr>
              <w:t>n = 30,327</w:t>
            </w:r>
          </w:p>
        </w:tc>
        <w:tc>
          <w:tcPr>
            <w:tcW w:w="1872"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2D1252C5" w14:textId="77777777" w:rsidR="00883061" w:rsidRDefault="00883061">
            <w:pPr>
              <w:spacing w:after="0"/>
              <w:jc w:val="center"/>
            </w:pPr>
            <w:r>
              <w:rPr>
                <w:rFonts w:eastAsia="Arial"/>
                <w:b/>
              </w:rPr>
              <w:t>0.31 ± 0.82</w:t>
            </w:r>
            <w:r>
              <w:rPr>
                <w:rFonts w:eastAsia="Arial"/>
                <w:b/>
              </w:rPr>
              <w:br/>
            </w:r>
            <w:r>
              <w:rPr>
                <w:rFonts w:eastAsia="Arial"/>
              </w:rPr>
              <w:t>n = 33,735</w:t>
            </w:r>
          </w:p>
        </w:tc>
        <w:tc>
          <w:tcPr>
            <w:tcW w:w="1872"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32FE1BB2" w14:textId="77777777" w:rsidR="00883061" w:rsidRDefault="00883061">
            <w:pPr>
              <w:spacing w:after="0"/>
              <w:jc w:val="center"/>
            </w:pPr>
            <w:r>
              <w:rPr>
                <w:rFonts w:eastAsia="Arial"/>
                <w:b/>
              </w:rPr>
              <w:t>0.30 ± 0.66</w:t>
            </w:r>
            <w:r>
              <w:rPr>
                <w:rFonts w:eastAsia="Arial"/>
                <w:b/>
              </w:rPr>
              <w:br/>
            </w:r>
            <w:r>
              <w:rPr>
                <w:rFonts w:eastAsia="Arial"/>
              </w:rPr>
              <w:t>n = 22,520</w:t>
            </w:r>
          </w:p>
        </w:tc>
        <w:tc>
          <w:tcPr>
            <w:tcW w:w="1872"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5979441E" w14:textId="77777777" w:rsidR="00883061" w:rsidRDefault="00883061">
            <w:pPr>
              <w:spacing w:after="0"/>
              <w:jc w:val="center"/>
            </w:pPr>
            <w:r>
              <w:rPr>
                <w:rFonts w:eastAsia="Arial"/>
                <w:b/>
              </w:rPr>
              <w:t>0.28 ± 0.57</w:t>
            </w:r>
            <w:r>
              <w:rPr>
                <w:rFonts w:eastAsia="Arial"/>
                <w:b/>
              </w:rPr>
              <w:br/>
            </w:r>
            <w:r>
              <w:rPr>
                <w:rFonts w:eastAsia="Arial"/>
              </w:rPr>
              <w:t>n = 23,468</w:t>
            </w:r>
          </w:p>
        </w:tc>
        <w:tc>
          <w:tcPr>
            <w:tcW w:w="1440"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1C37258B" w14:textId="77777777" w:rsidR="00883061" w:rsidRDefault="00883061">
            <w:pPr>
              <w:spacing w:after="0"/>
              <w:jc w:val="center"/>
            </w:pPr>
            <w:r>
              <w:rPr>
                <w:rFonts w:eastAsia="Arial"/>
                <w:b/>
              </w:rPr>
              <w:t>&lt;0.0001</w:t>
            </w:r>
          </w:p>
        </w:tc>
      </w:tr>
      <w:tr w:rsidR="00FF3936" w14:paraId="30A02653"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68830013" w14:textId="77777777" w:rsidR="00883061" w:rsidRDefault="00883061">
            <w:pPr>
              <w:spacing w:after="0"/>
            </w:pPr>
            <w:r>
              <w:rPr>
                <w:rFonts w:eastAsia="Arial"/>
                <w:b/>
              </w:rPr>
              <w:t>Urgent-care encounter rate</w:t>
            </w:r>
            <w:r>
              <w:rPr>
                <w:rFonts w:eastAsia="Arial"/>
                <w:b/>
              </w:rPr>
              <w:br/>
            </w:r>
            <w:r>
              <w:rPr>
                <w:rFonts w:eastAsia="Arial"/>
              </w:rPr>
              <w:t>encounters/person-year</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04A6D669" w14:textId="77777777" w:rsidR="00883061" w:rsidRDefault="00883061">
            <w:pPr>
              <w:spacing w:after="0"/>
              <w:jc w:val="center"/>
            </w:pPr>
            <w:r>
              <w:rPr>
                <w:rFonts w:eastAsia="Arial"/>
                <w:b/>
              </w:rPr>
              <w:t>0.57 ± 0.86</w:t>
            </w:r>
            <w:r>
              <w:rPr>
                <w:rFonts w:eastAsia="Arial"/>
                <w:b/>
              </w:rPr>
              <w:br/>
            </w:r>
            <w:r>
              <w:rPr>
                <w:rFonts w:eastAsia="Arial"/>
              </w:rPr>
              <w:t>n = 147,970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0F7C3724" w14:textId="77777777" w:rsidR="00883061" w:rsidRDefault="00883061">
            <w:pPr>
              <w:spacing w:after="0"/>
              <w:jc w:val="center"/>
            </w:pPr>
            <w:r>
              <w:rPr>
                <w:rFonts w:eastAsia="Arial"/>
                <w:b/>
              </w:rPr>
              <w:t>0.61 ± 0.90</w:t>
            </w:r>
            <w:r>
              <w:rPr>
                <w:rFonts w:eastAsia="Arial"/>
                <w:b/>
              </w:rPr>
              <w:br/>
            </w:r>
            <w:r>
              <w:rPr>
                <w:rFonts w:eastAsia="Arial"/>
              </w:rPr>
              <w:t>n = 41,107</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2B5C0E03" w14:textId="77777777" w:rsidR="00883061" w:rsidRDefault="00883061">
            <w:pPr>
              <w:spacing w:after="0"/>
              <w:jc w:val="center"/>
            </w:pPr>
            <w:r>
              <w:rPr>
                <w:rFonts w:eastAsia="Arial"/>
                <w:b/>
              </w:rPr>
              <w:t>0.58 ± 0.86</w:t>
            </w:r>
            <w:r>
              <w:rPr>
                <w:rFonts w:eastAsia="Arial"/>
                <w:b/>
              </w:rPr>
              <w:br/>
            </w:r>
            <w:r>
              <w:rPr>
                <w:rFonts w:eastAsia="Arial"/>
              </w:rPr>
              <w:t>n = 45,146</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059249D5" w14:textId="77777777" w:rsidR="00883061" w:rsidRDefault="00883061">
            <w:pPr>
              <w:spacing w:after="0"/>
              <w:jc w:val="center"/>
            </w:pPr>
            <w:r>
              <w:rPr>
                <w:rFonts w:eastAsia="Arial"/>
                <w:b/>
              </w:rPr>
              <w:t>0.56 ± 0.86</w:t>
            </w:r>
            <w:r>
              <w:rPr>
                <w:rFonts w:eastAsia="Arial"/>
                <w:b/>
              </w:rPr>
              <w:br/>
            </w:r>
            <w:r>
              <w:rPr>
                <w:rFonts w:eastAsia="Arial"/>
              </w:rPr>
              <w:t>n = 29,827</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58272175" w14:textId="77777777" w:rsidR="00883061" w:rsidRDefault="00883061">
            <w:pPr>
              <w:spacing w:after="0"/>
              <w:jc w:val="center"/>
            </w:pPr>
            <w:r>
              <w:rPr>
                <w:rFonts w:eastAsia="Arial"/>
                <w:b/>
              </w:rPr>
              <w:t>0.53 ± 0.80</w:t>
            </w:r>
            <w:r>
              <w:rPr>
                <w:rFonts w:eastAsia="Arial"/>
                <w:b/>
              </w:rPr>
              <w:br/>
            </w:r>
            <w:r>
              <w:rPr>
                <w:rFonts w:eastAsia="Arial"/>
              </w:rPr>
              <w:t>n = 31,890</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703B5E5E" w14:textId="77777777" w:rsidR="00883061" w:rsidRDefault="00883061">
            <w:pPr>
              <w:spacing w:after="0"/>
              <w:jc w:val="center"/>
            </w:pPr>
            <w:r>
              <w:rPr>
                <w:rFonts w:eastAsia="Arial"/>
                <w:b/>
              </w:rPr>
              <w:t>&lt;0.0001</w:t>
            </w:r>
          </w:p>
        </w:tc>
      </w:tr>
      <w:tr w:rsidR="00FF3936" w14:paraId="6E0744C1"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0AEB0078" w14:textId="77777777" w:rsidR="00883061" w:rsidRDefault="00883061">
            <w:pPr>
              <w:spacing w:after="0"/>
            </w:pPr>
            <w:r>
              <w:rPr>
                <w:rFonts w:eastAsia="Arial"/>
                <w:b/>
              </w:rPr>
              <w:t>Primary-care encounter rate</w:t>
            </w:r>
            <w:r>
              <w:rPr>
                <w:rFonts w:eastAsia="Arial"/>
                <w:b/>
              </w:rPr>
              <w:br/>
            </w:r>
            <w:r>
              <w:rPr>
                <w:rFonts w:eastAsia="Arial"/>
              </w:rPr>
              <w:t>encounters/person-year</w:t>
            </w:r>
          </w:p>
        </w:tc>
        <w:tc>
          <w:tcPr>
            <w:tcW w:w="1872"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747DA58D" w14:textId="77777777" w:rsidR="00883061" w:rsidRDefault="00883061">
            <w:pPr>
              <w:spacing w:after="0"/>
              <w:jc w:val="center"/>
            </w:pPr>
            <w:r>
              <w:rPr>
                <w:rFonts w:eastAsia="Arial"/>
                <w:b/>
              </w:rPr>
              <w:t>3.22 ± 2.78</w:t>
            </w:r>
            <w:r>
              <w:rPr>
                <w:rFonts w:eastAsia="Arial"/>
                <w:b/>
              </w:rPr>
              <w:br/>
            </w:r>
            <w:r>
              <w:rPr>
                <w:rFonts w:eastAsia="Arial"/>
              </w:rPr>
              <w:t>n = 218,914</w:t>
            </w:r>
          </w:p>
        </w:tc>
        <w:tc>
          <w:tcPr>
            <w:tcW w:w="1872"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134507A3" w14:textId="77777777" w:rsidR="00883061" w:rsidRDefault="00883061">
            <w:pPr>
              <w:spacing w:after="0"/>
              <w:jc w:val="center"/>
            </w:pPr>
            <w:r>
              <w:rPr>
                <w:rFonts w:eastAsia="Arial"/>
                <w:b/>
              </w:rPr>
              <w:t>3.29 ± 2.76</w:t>
            </w:r>
            <w:r>
              <w:rPr>
                <w:rFonts w:eastAsia="Arial"/>
                <w:b/>
              </w:rPr>
              <w:br/>
            </w:r>
            <w:r>
              <w:rPr>
                <w:rFonts w:eastAsia="Arial"/>
              </w:rPr>
              <w:t>n = 59,922</w:t>
            </w:r>
          </w:p>
        </w:tc>
        <w:tc>
          <w:tcPr>
            <w:tcW w:w="1872"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5A42C3F7" w14:textId="77777777" w:rsidR="00883061" w:rsidRDefault="00883061">
            <w:pPr>
              <w:spacing w:after="0"/>
              <w:jc w:val="center"/>
            </w:pPr>
            <w:r>
              <w:rPr>
                <w:rFonts w:eastAsia="Arial"/>
                <w:b/>
              </w:rPr>
              <w:t>3.32 ± 2.85</w:t>
            </w:r>
            <w:r>
              <w:rPr>
                <w:rFonts w:eastAsia="Arial"/>
                <w:b/>
              </w:rPr>
              <w:br/>
            </w:r>
            <w:r>
              <w:rPr>
                <w:rFonts w:eastAsia="Arial"/>
              </w:rPr>
              <w:t>n = 66,184</w:t>
            </w:r>
          </w:p>
        </w:tc>
        <w:tc>
          <w:tcPr>
            <w:tcW w:w="1872"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4E64CD12" w14:textId="77777777" w:rsidR="00883061" w:rsidRDefault="00883061">
            <w:pPr>
              <w:spacing w:after="0"/>
              <w:jc w:val="center"/>
            </w:pPr>
            <w:r>
              <w:rPr>
                <w:rFonts w:eastAsia="Arial"/>
                <w:b/>
              </w:rPr>
              <w:t>3.28 ± 2.80</w:t>
            </w:r>
            <w:r>
              <w:rPr>
                <w:rFonts w:eastAsia="Arial"/>
                <w:b/>
              </w:rPr>
              <w:br/>
            </w:r>
            <w:r>
              <w:rPr>
                <w:rFonts w:eastAsia="Arial"/>
              </w:rPr>
              <w:t>n = 44,337</w:t>
            </w:r>
          </w:p>
        </w:tc>
        <w:tc>
          <w:tcPr>
            <w:tcW w:w="1872"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0C1C0C6D" w14:textId="77777777" w:rsidR="00883061" w:rsidRDefault="00883061">
            <w:pPr>
              <w:spacing w:after="0"/>
              <w:jc w:val="center"/>
            </w:pPr>
            <w:r>
              <w:rPr>
                <w:rFonts w:eastAsia="Arial"/>
                <w:b/>
              </w:rPr>
              <w:t>2.97 ± 2.67</w:t>
            </w:r>
            <w:r>
              <w:rPr>
                <w:rFonts w:eastAsia="Arial"/>
                <w:b/>
              </w:rPr>
              <w:br/>
            </w:r>
            <w:r>
              <w:rPr>
                <w:rFonts w:eastAsia="Arial"/>
              </w:rPr>
              <w:t>n = 48,471</w:t>
            </w:r>
          </w:p>
        </w:tc>
        <w:tc>
          <w:tcPr>
            <w:tcW w:w="1440" w:type="dxa"/>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2B155FC1" w14:textId="77777777" w:rsidR="00883061" w:rsidRDefault="00883061">
            <w:pPr>
              <w:spacing w:after="0"/>
              <w:jc w:val="center"/>
            </w:pPr>
            <w:r>
              <w:rPr>
                <w:rFonts w:eastAsia="Arial"/>
                <w:b/>
              </w:rPr>
              <w:t>&lt;0.0001</w:t>
            </w:r>
          </w:p>
        </w:tc>
      </w:tr>
      <w:tr w:rsidR="00FF3936" w14:paraId="50D8C182"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27E5918E" w14:textId="77777777" w:rsidR="00883061" w:rsidRDefault="00883061">
            <w:pPr>
              <w:spacing w:after="0"/>
            </w:pPr>
            <w:r>
              <w:rPr>
                <w:rFonts w:eastAsia="Arial"/>
                <w:b/>
              </w:rPr>
              <w:t>Specialty-care encounter rate</w:t>
            </w:r>
            <w:r>
              <w:rPr>
                <w:rFonts w:eastAsia="Arial"/>
                <w:b/>
              </w:rPr>
              <w:br/>
            </w:r>
            <w:r>
              <w:rPr>
                <w:rFonts w:eastAsia="Arial"/>
              </w:rPr>
              <w:t>encounters/person-year</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2D0DCEBA" w14:textId="77777777" w:rsidR="00883061" w:rsidRDefault="00883061">
            <w:pPr>
              <w:spacing w:after="0"/>
              <w:jc w:val="center"/>
            </w:pPr>
            <w:r>
              <w:rPr>
                <w:rFonts w:eastAsia="Arial"/>
                <w:b/>
              </w:rPr>
              <w:t>4.54 ± 6.17</w:t>
            </w:r>
            <w:r>
              <w:rPr>
                <w:rFonts w:eastAsia="Arial"/>
                <w:b/>
              </w:rPr>
              <w:br/>
            </w:r>
            <w:r>
              <w:rPr>
                <w:rFonts w:eastAsia="Arial"/>
              </w:rPr>
              <w:t>n = 204,152</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05C07CC2" w14:textId="77777777" w:rsidR="00883061" w:rsidRDefault="00883061">
            <w:pPr>
              <w:spacing w:after="0"/>
              <w:jc w:val="center"/>
            </w:pPr>
            <w:r>
              <w:rPr>
                <w:rFonts w:eastAsia="Arial"/>
                <w:b/>
              </w:rPr>
              <w:t>4.96 ± 6.57</w:t>
            </w:r>
            <w:r>
              <w:rPr>
                <w:rFonts w:eastAsia="Arial"/>
                <w:b/>
              </w:rPr>
              <w:br/>
            </w:r>
            <w:r>
              <w:rPr>
                <w:rFonts w:eastAsia="Arial"/>
              </w:rPr>
              <w:t>n = 56,733</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447EC105" w14:textId="77777777" w:rsidR="00883061" w:rsidRDefault="00883061">
            <w:pPr>
              <w:spacing w:after="0"/>
              <w:jc w:val="center"/>
            </w:pPr>
            <w:r>
              <w:rPr>
                <w:rFonts w:eastAsia="Arial"/>
                <w:b/>
              </w:rPr>
              <w:t>4.74 ± 6.23</w:t>
            </w:r>
            <w:r>
              <w:rPr>
                <w:rFonts w:eastAsia="Arial"/>
                <w:b/>
              </w:rPr>
              <w:br/>
            </w:r>
            <w:r>
              <w:rPr>
                <w:rFonts w:eastAsia="Arial"/>
              </w:rPr>
              <w:t>n = 62,426</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4DBFAC8A" w14:textId="77777777" w:rsidR="00883061" w:rsidRDefault="00883061">
            <w:pPr>
              <w:spacing w:after="0"/>
              <w:jc w:val="center"/>
            </w:pPr>
            <w:r>
              <w:rPr>
                <w:rFonts w:eastAsia="Arial"/>
                <w:b/>
              </w:rPr>
              <w:t>4.50 ± 5.95</w:t>
            </w:r>
            <w:r>
              <w:rPr>
                <w:rFonts w:eastAsia="Arial"/>
                <w:b/>
              </w:rPr>
              <w:br/>
            </w:r>
            <w:r>
              <w:rPr>
                <w:rFonts w:eastAsia="Arial"/>
              </w:rPr>
              <w:t>n = 41,404</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4D4B0E29" w14:textId="77777777" w:rsidR="00883061" w:rsidRDefault="00883061">
            <w:pPr>
              <w:spacing w:after="0"/>
              <w:jc w:val="center"/>
            </w:pPr>
            <w:r>
              <w:rPr>
                <w:rFonts w:eastAsia="Arial"/>
                <w:b/>
              </w:rPr>
              <w:t>3.79 ± 5.68</w:t>
            </w:r>
            <w:r>
              <w:rPr>
                <w:rFonts w:eastAsia="Arial"/>
                <w:b/>
              </w:rPr>
              <w:br/>
            </w:r>
            <w:r>
              <w:rPr>
                <w:rFonts w:eastAsia="Arial"/>
              </w:rPr>
              <w:t>n = 43,589</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536B278A" w14:textId="77777777" w:rsidR="00883061" w:rsidRDefault="00883061">
            <w:pPr>
              <w:spacing w:after="0"/>
              <w:jc w:val="center"/>
            </w:pPr>
            <w:r>
              <w:rPr>
                <w:rFonts w:eastAsia="Arial"/>
                <w:b/>
              </w:rPr>
              <w:t>&lt;0.0001</w:t>
            </w:r>
          </w:p>
        </w:tc>
      </w:tr>
      <w:tr w:rsidR="00FF3936" w14:paraId="423E262B" w14:textId="77777777">
        <w:trPr>
          <w:cantSplit/>
          <w:jc w:val="center"/>
        </w:trPr>
        <w:tc>
          <w:tcPr>
            <w:tcW w:w="2016" w:type="dxa"/>
            <w:gridSpan w:val="7"/>
            <w:tcBorders>
              <w:top w:val="single" w:sz="4" w:space="0" w:color="D9D9D9"/>
              <w:left w:val="single" w:sz="4" w:space="0" w:color="D9D9D9"/>
              <w:bottom w:val="single" w:sz="4" w:space="0" w:color="D9D9D9"/>
              <w:right w:val="single" w:sz="4" w:space="0" w:color="D9D9D9"/>
            </w:tcBorders>
            <w:shd w:val="clear" w:color="auto" w:fill="F7F8F9"/>
            <w:tcMar>
              <w:top w:w="55" w:type="dxa"/>
              <w:left w:w="75" w:type="dxa"/>
              <w:bottom w:w="55" w:type="dxa"/>
              <w:right w:w="75" w:type="dxa"/>
            </w:tcMar>
            <w:vAlign w:val="center"/>
          </w:tcPr>
          <w:p w14:paraId="2684730B" w14:textId="77777777" w:rsidR="00883061" w:rsidRDefault="00883061">
            <w:pPr>
              <w:spacing w:after="0"/>
              <w:jc w:val="center"/>
            </w:pPr>
            <w:r>
              <w:rPr>
                <w:rFonts w:eastAsia="Arial"/>
                <w:b/>
              </w:rPr>
              <w:t>STAY DURATION</w:t>
            </w:r>
          </w:p>
        </w:tc>
      </w:tr>
      <w:tr w:rsidR="00FF3936" w14:paraId="2F288129"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654B09CC" w14:textId="77777777" w:rsidR="00883061" w:rsidRDefault="00883061">
            <w:pPr>
              <w:spacing w:after="0"/>
            </w:pPr>
            <w:r>
              <w:rPr>
                <w:rFonts w:eastAsia="Arial"/>
                <w:b/>
              </w:rPr>
              <w:t>Hospital length of stay</w:t>
            </w:r>
            <w:r>
              <w:rPr>
                <w:rFonts w:eastAsia="Arial"/>
                <w:b/>
              </w:rPr>
              <w:br/>
            </w:r>
            <w:r>
              <w:rPr>
                <w:rFonts w:eastAsia="Arial"/>
              </w:rPr>
              <w:t>days/admission</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0AC3D092" w14:textId="77777777" w:rsidR="00883061" w:rsidRDefault="00883061">
            <w:pPr>
              <w:spacing w:after="0"/>
              <w:jc w:val="center"/>
            </w:pPr>
            <w:r>
              <w:rPr>
                <w:rFonts w:eastAsia="Arial"/>
                <w:b/>
              </w:rPr>
              <w:t>4.24 ± 6.72</w:t>
            </w:r>
            <w:r>
              <w:rPr>
                <w:rFonts w:eastAsia="Arial"/>
                <w:b/>
              </w:rPr>
              <w:br/>
            </w:r>
            <w:r>
              <w:rPr>
                <w:rFonts w:eastAsia="Arial"/>
              </w:rPr>
              <w:t>n = 67,718</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15253560" w14:textId="77777777" w:rsidR="00883061" w:rsidRDefault="00883061">
            <w:pPr>
              <w:spacing w:after="0"/>
              <w:jc w:val="center"/>
            </w:pPr>
            <w:r>
              <w:rPr>
                <w:rFonts w:eastAsia="Arial"/>
                <w:b/>
              </w:rPr>
              <w:t>4.10 ± 5.76</w:t>
            </w:r>
            <w:r>
              <w:rPr>
                <w:rFonts w:eastAsia="Arial"/>
                <w:b/>
              </w:rPr>
              <w:br/>
            </w:r>
            <w:r>
              <w:rPr>
                <w:rFonts w:eastAsia="Arial"/>
              </w:rPr>
              <w:t>n = 16,088</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4F7D7087" w14:textId="77777777" w:rsidR="00883061" w:rsidRDefault="00883061">
            <w:pPr>
              <w:spacing w:after="0"/>
              <w:jc w:val="center"/>
            </w:pPr>
            <w:r>
              <w:rPr>
                <w:rFonts w:eastAsia="Arial"/>
                <w:b/>
              </w:rPr>
              <w:t>4.17 ± 5.52</w:t>
            </w:r>
            <w:r>
              <w:rPr>
                <w:rFonts w:eastAsia="Arial"/>
                <w:b/>
              </w:rPr>
              <w:br/>
            </w:r>
            <w:r>
              <w:rPr>
                <w:rFonts w:eastAsia="Arial"/>
              </w:rPr>
              <w:t>n = 20,230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1A52BDEB" w14:textId="77777777" w:rsidR="00883061" w:rsidRDefault="00883061">
            <w:pPr>
              <w:spacing w:after="0"/>
              <w:jc w:val="center"/>
            </w:pPr>
            <w:r>
              <w:rPr>
                <w:rFonts w:eastAsia="Arial"/>
                <w:b/>
              </w:rPr>
              <w:t>4.27 ± 6.35</w:t>
            </w:r>
            <w:r>
              <w:rPr>
                <w:rFonts w:eastAsia="Arial"/>
                <w:b/>
              </w:rPr>
              <w:br/>
            </w:r>
            <w:r>
              <w:rPr>
                <w:rFonts w:eastAsia="Arial"/>
              </w:rPr>
              <w:t>n = 14,896</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734C8FCC" w14:textId="77777777" w:rsidR="00883061" w:rsidRDefault="00883061">
            <w:pPr>
              <w:spacing w:after="0"/>
              <w:jc w:val="center"/>
            </w:pPr>
            <w:r>
              <w:rPr>
                <w:rFonts w:eastAsia="Arial"/>
                <w:b/>
              </w:rPr>
              <w:t>4.46 ± 8.89</w:t>
            </w:r>
            <w:r>
              <w:rPr>
                <w:rFonts w:eastAsia="Arial"/>
                <w:b/>
              </w:rPr>
              <w:br/>
            </w:r>
            <w:r>
              <w:rPr>
                <w:rFonts w:eastAsia="Arial"/>
              </w:rPr>
              <w:t>n = 16,504</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5B35847C" w14:textId="77777777" w:rsidR="00883061" w:rsidRDefault="00883061">
            <w:pPr>
              <w:spacing w:after="0"/>
              <w:jc w:val="center"/>
            </w:pPr>
            <w:r>
              <w:rPr>
                <w:rFonts w:eastAsia="Arial"/>
                <w:b/>
              </w:rPr>
              <w:t>&lt;0.0001†</w:t>
            </w:r>
          </w:p>
        </w:tc>
      </w:tr>
    </w:tbl>
    <w:p w14:paraId="3FEFBBE4" w14:textId="77777777" w:rsidR="00AE0B4A" w:rsidRDefault="00883061">
      <w:pPr>
        <w:pStyle w:val="Caption"/>
      </w:pPr>
      <w:r>
        <w:t>Definitions. Total outpatient encounters are the distinct union of encounters with care type CLINIC or VIRTUAL and care subtype OFFICE VISIT, TAV, or VIDEO; physician and allied-health subcounts were not added because they overlap. Primary care includes Family Practice, Internal Medicine, and Pediatrics. Specialty care includes other nonblank canonical outpatient specialties and excludes exact Urgent Care. Emergency-department and inpatient categories intentionally overlap on shared ED-to-inpatient encounte</w:t>
      </w:r>
      <w:r>
        <w:t>r subtypes and therefore are not mutually exclusive or additive.</w:t>
      </w:r>
      <w:r>
        <w:t xml:space="preserve"> P values are unadjusted omnibus Welch one-way ANOVA comparisons of None, Mild, Moderate, and Severe OSA, calculated from the released group sizes, means, and sample SDs (six-decimal source precision). Welch's method allows unequal variances. Encounter-rate tests use all patients in each severity stratum, including zero-use patients; Overall is excluded. These tests assess any difference in group means, not a severity trend or specific pairwise differences. No correction for the 14 comparisons across both p</w:t>
      </w:r>
      <w:r>
        <w:t>anels was applied. † Length-of-stay tests are exploratory admission-level comparisons that assume independent admissions and do not account for repeated admissions within patients.</w:t>
      </w:r>
    </w:p>
    <w:p w14:paraId="6B07E3EE" w14:textId="77777777" w:rsidR="00AE0B4A" w:rsidRDefault="00AE0B4A">
      <w:pPr>
        <w:sectPr w:rsidR="00AE0B4A">
          <w:pgSz w:w="15840" w:h="12240"/>
          <w:pgMar w:top="648" w:right="720" w:bottom="720" w:left="720" w:header="720" w:footer="288" w:gutter="0"/>
          <w:cols w:space="720"/>
          <w:docGrid w:linePitch="360"/>
        </w:sectPr>
      </w:pPr>
    </w:p>
    <w:p w14:paraId="28C013F4" w14:textId="77777777" w:rsidR="00AE0B4A" w:rsidRDefault="00883061">
      <w:pPr>
        <w:keepNext/>
        <w:spacing w:after="120"/>
        <w:jc w:val="center"/>
      </w:pPr>
      <w:r>
        <w:rPr>
          <w:noProof/>
        </w:rPr>
        <w:lastRenderedPageBreak/>
        <w:drawing>
          <wp:inline distT="0" distB="0" distL="0" distR="0" wp14:anchorId="3C663933" wp14:editId="38AD2821">
            <wp:extent cx="11887200" cy="105369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panel.png"/>
                    <pic:cNvPicPr/>
                  </pic:nvPicPr>
                  <pic:blipFill>
                    <a:blip r:embed="rId9"/>
                    <a:stretch>
                      <a:fillRect/>
                    </a:stretch>
                  </pic:blipFill>
                  <pic:spPr>
                    <a:xfrm>
                      <a:off x="0" y="0"/>
                      <a:ext cx="11887200" cy="10536936"/>
                    </a:xfrm>
                    <a:prstGeom prst="rect">
                      <a:avLst/>
                    </a:prstGeom>
                  </pic:spPr>
                </pic:pic>
              </a:graphicData>
            </a:graphic>
          </wp:inline>
        </w:drawing>
      </w:r>
    </w:p>
    <w:p w14:paraId="6BCA4018" w14:textId="77777777" w:rsidR="00AE0B4A" w:rsidRDefault="00883061">
      <w:pPr>
        <w:pStyle w:val="Caption"/>
        <w:keepLines/>
      </w:pPr>
      <w:r>
        <w:rPr>
          <w:b/>
        </w:rPr>
        <w:t>Figure 1</w:t>
      </w:r>
      <w:r>
        <w:t xml:space="preserve">. PheDAS Prevalence. A, Manhattan plot; B, volcano plot; C1/C2, positive/inverse forests. Fully adjusted m4_bmi primary AHI ≥5 versus &lt;5 estimates for 1,779 phecodes, excluding sleep apnea and subcodes. Panel B additionally labels essential hypertension, elevated blood pressure, obesity, hyperlipidemia, and symptomatic menopause. Complete results: </w:t>
      </w:r>
      <w:r>
        <w:rPr>
          <w:b/>
        </w:rPr>
        <w:t>Supplementary Atlas, PheDAS Prevalence tab</w:t>
      </w:r>
      <w:r>
        <w:t>. Colors identify body systems or established study domains. Upward/downward triangles indicate positive/inverse effects; size reflects absolute effect magnitude, and dark outlines mark Bonferroni-significant results. Manhattan plots label up to ten positive Bonferroni-significant associations ranked by smallest P value. Volcano plots retain all features: solid symbols indicate FDR-significant features (Benjamini–Hochberg q&lt;0.05), and faint symbols indicate features that do not meet FDR significance. Volcan</w:t>
      </w:r>
      <w:r>
        <w:t xml:space="preserve">o plots label up to five positive Bonferroni-significant associations ranked by largest effect size (OR, HR, IRR, or positive β), with ties resolved by smallest P value and then label. Inverse associations are not labeled. All qualifying labels are shown when fewer than the limit exist. −log10(P) is capped at 50. Forests show up to three Bonferroni-significant features per body system or established domain, selected across both directions by descending absolute log2 ratio (OR, HR or IRR), or absolute β for </w:t>
      </w:r>
      <w:r>
        <w:t>continuous outcomes. Ranking is within each domain; selection precedes splitting into positive/inverse panels where shown. Whiskers are 95% CIs; ratio axes use a null of 1 and β axes a null of 0. Original multiplicity flags are retained. C1 contains seven of the 29 positive Bonferroni-significant primary associations. The per-system cap is applied across both directions, so omitted positive findings can be significant; the forests are selected summaries, not exhaustive lists.</w:t>
      </w:r>
    </w:p>
    <w:p w14:paraId="4909CB5C" w14:textId="77777777" w:rsidR="00AE0B4A" w:rsidRDefault="00AE0B4A">
      <w:pPr>
        <w:sectPr w:rsidR="00AE0B4A">
          <w:pgSz w:w="20160" w:h="21204"/>
          <w:pgMar w:top="648" w:right="720" w:bottom="720" w:left="720" w:header="720" w:footer="288" w:gutter="0"/>
          <w:cols w:space="720"/>
          <w:docGrid w:linePitch="360"/>
        </w:sectPr>
      </w:pPr>
    </w:p>
    <w:p w14:paraId="17CB5EF8" w14:textId="77777777" w:rsidR="00AE0B4A" w:rsidRDefault="00883061">
      <w:pPr>
        <w:keepNext/>
        <w:spacing w:after="120"/>
        <w:jc w:val="center"/>
      </w:pPr>
      <w:r>
        <w:rPr>
          <w:noProof/>
        </w:rPr>
        <w:lastRenderedPageBreak/>
        <w:drawing>
          <wp:inline distT="0" distB="0" distL="0" distR="0" wp14:anchorId="65E94238" wp14:editId="409E3C14">
            <wp:extent cx="11887200" cy="122590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A_panel.png"/>
                    <pic:cNvPicPr/>
                  </pic:nvPicPr>
                  <pic:blipFill>
                    <a:blip r:embed="rId10"/>
                    <a:stretch>
                      <a:fillRect/>
                    </a:stretch>
                  </pic:blipFill>
                  <pic:spPr>
                    <a:xfrm>
                      <a:off x="0" y="0"/>
                      <a:ext cx="11887200" cy="12259056"/>
                    </a:xfrm>
                    <a:prstGeom prst="rect">
                      <a:avLst/>
                    </a:prstGeom>
                  </pic:spPr>
                </pic:pic>
              </a:graphicData>
            </a:graphic>
          </wp:inline>
        </w:drawing>
      </w:r>
    </w:p>
    <w:p w14:paraId="7006FBB3" w14:textId="77777777" w:rsidR="00AE0B4A" w:rsidRDefault="00883061">
      <w:pPr>
        <w:pStyle w:val="Caption"/>
        <w:keepLines/>
      </w:pPr>
      <w:r>
        <w:rPr>
          <w:b/>
        </w:rPr>
        <w:t>Figure 2A</w:t>
      </w:r>
      <w:r>
        <w:t xml:space="preserve">. Five-year LabWAS median laboratory values. A, Manhattan plot; B, volcano plot; C1/C2, positive/inverse forests. 185 analytes with estimable fully adjusted m4 rank-inverse-normal β estimates among measured patients. All contrasts compare AHI ≥5 versus &lt;5. Colors identify laboratory categories. Laboratory values and ordering outcomes are separate estimands and retain their original multiplicity flags. Complete 1- and 5-year results: </w:t>
      </w:r>
      <w:r>
        <w:rPr>
          <w:b/>
        </w:rPr>
        <w:t>Supplementary Atlas, LabWAS tab</w:t>
      </w:r>
      <w:r>
        <w:t>. Colors identify body systems or established study domains. Upward/downward triangles indicate positive/inverse effects; size reflects absolute effect magnitude, and dark outlines mark Bonferroni-significant results. Manhattan plots label up to ten positive Bonferroni-significant associations ranked by smallest P value. Volcano plots retain all features: solid symbols indicate FDR-significant features (Benjamini–Hochberg q&lt;0.05), and faint symbols indicate features that do not meet FDR significance. Volcan</w:t>
      </w:r>
      <w:r>
        <w:t xml:space="preserve">o plots label up to five positive Bonferroni-significant associations ranked by largest effect size (OR, HR, IRR, or positive β), with ties resolved by smallest P value and then label. Inverse associations are not labeled. All qualifying labels are shown when fewer than the limit exist. −log10(P) is capped at 50. Forests show up to three Bonferroni-significant features per body system or established domain, selected across both directions by descending absolute log2 ratio (OR, HR or IRR), or absolute β for </w:t>
      </w:r>
      <w:r>
        <w:t>continuous outcomes. Ranking is within each domain; selection precedes splitting into positive/inverse panels where shown. Whiskers are 95% CIs; ratio axes use a null of 1 and β axes a null of 0. Original multiplicity flags are retained.</w:t>
      </w:r>
    </w:p>
    <w:p w14:paraId="56F2F74A" w14:textId="77777777" w:rsidR="00AE0B4A" w:rsidRDefault="00AE0B4A">
      <w:pPr>
        <w:sectPr w:rsidR="00AE0B4A">
          <w:pgSz w:w="20160" w:h="23917"/>
          <w:pgMar w:top="648" w:right="720" w:bottom="720" w:left="720" w:header="720" w:footer="288" w:gutter="0"/>
          <w:cols w:space="720"/>
          <w:docGrid w:linePitch="360"/>
        </w:sectPr>
      </w:pPr>
    </w:p>
    <w:p w14:paraId="4205B610" w14:textId="77777777" w:rsidR="00AE0B4A" w:rsidRDefault="00883061">
      <w:pPr>
        <w:keepNext/>
        <w:spacing w:after="120"/>
        <w:jc w:val="center"/>
      </w:pPr>
      <w:r>
        <w:rPr>
          <w:noProof/>
        </w:rPr>
        <w:lastRenderedPageBreak/>
        <w:drawing>
          <wp:inline distT="0" distB="0" distL="0" distR="0" wp14:anchorId="1173AE06" wp14:editId="1DE7DF18">
            <wp:extent cx="11887200" cy="100218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B_panel.png"/>
                    <pic:cNvPicPr/>
                  </pic:nvPicPr>
                  <pic:blipFill>
                    <a:blip r:embed="rId11"/>
                    <a:stretch>
                      <a:fillRect/>
                    </a:stretch>
                  </pic:blipFill>
                  <pic:spPr>
                    <a:xfrm>
                      <a:off x="0" y="0"/>
                      <a:ext cx="11887200" cy="10021824"/>
                    </a:xfrm>
                    <a:prstGeom prst="rect">
                      <a:avLst/>
                    </a:prstGeom>
                  </pic:spPr>
                </pic:pic>
              </a:graphicData>
            </a:graphic>
          </wp:inline>
        </w:drawing>
      </w:r>
    </w:p>
    <w:p w14:paraId="70265807" w14:textId="77777777" w:rsidR="00AE0B4A" w:rsidRDefault="00883061">
      <w:pPr>
        <w:pStyle w:val="Caption"/>
        <w:keepLines/>
      </w:pPr>
      <w:r>
        <w:rPr>
          <w:b/>
        </w:rPr>
        <w:t>Figure 2B</w:t>
      </w:r>
      <w:r>
        <w:t xml:space="preserve">. Five-year LabWAS laboratory ordering rates. A, Manhattan plot; B, volcano plot; C1/C2, positive/inverse forests. 186 analytes with estimable fully adjusted m4 ordering-rate IRRs among patients with laboratory observations. All contrasts compare AHI ≥5 versus &lt;5. Colors identify laboratory categories. Laboratory values and ordering outcomes are separate estimands and retain their original multiplicity flags. Complete 1- and 5-year results: </w:t>
      </w:r>
      <w:r>
        <w:rPr>
          <w:b/>
        </w:rPr>
        <w:t>Supplementary Atlas, LabWAS tab</w:t>
      </w:r>
      <w:r>
        <w:t>. Colors identify body systems or established study domains. Upward/downward triangles indicate positive/inverse effects; size reflects absolute effect magnitude, and dark outlines mark Bonferroni-significant results. Manhattan plots label up to ten positive Bonferroni-significant associations ranked by smallest P value. Volcano plots retain all features: solid symbols indicate FDR-significant features (Benjamini–Hochberg q&lt;0.05), and faint symbols indicate features that do not meet FDR significance. Volcan</w:t>
      </w:r>
      <w:r>
        <w:t xml:space="preserve">o plots label up to five positive Bonferroni-significant associations ranked by largest effect size (OR, HR, IRR, or positive β), with ties resolved by smallest P value and then label. Inverse associations are not labeled. All qualifying labels are shown when fewer than the limit exist. −log10(P) is capped at 50. Forests show up to three Bonferroni-significant features per body system or established domain, selected across both directions by descending absolute log2 ratio (OR, HR or IRR), or absolute β for </w:t>
      </w:r>
      <w:r>
        <w:t>continuous outcomes. Ranking is within each domain; selection precedes splitting into positive/inverse panels where shown. Whiskers are 95% CIs; ratio axes use a null of 1 and β axes a null of 0. Original multiplicity flags are retained.</w:t>
      </w:r>
    </w:p>
    <w:p w14:paraId="0A0C0B0B" w14:textId="77777777" w:rsidR="00AE0B4A" w:rsidRDefault="00AE0B4A">
      <w:pPr>
        <w:sectPr w:rsidR="00AE0B4A">
          <w:pgSz w:w="20160" w:h="20392"/>
          <w:pgMar w:top="648" w:right="720" w:bottom="720" w:left="720" w:header="720" w:footer="288" w:gutter="0"/>
          <w:cols w:space="720"/>
          <w:docGrid w:linePitch="360"/>
        </w:sectPr>
      </w:pPr>
    </w:p>
    <w:p w14:paraId="0B105A46" w14:textId="77777777" w:rsidR="00AE0B4A" w:rsidRDefault="00883061">
      <w:pPr>
        <w:keepNext/>
        <w:spacing w:after="120"/>
        <w:jc w:val="center"/>
      </w:pPr>
      <w:r>
        <w:rPr>
          <w:noProof/>
        </w:rPr>
        <w:lastRenderedPageBreak/>
        <w:drawing>
          <wp:inline distT="0" distB="0" distL="0" distR="0" wp14:anchorId="6366570F" wp14:editId="6826D541">
            <wp:extent cx="11887200" cy="1157935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C_panel.png"/>
                    <pic:cNvPicPr/>
                  </pic:nvPicPr>
                  <pic:blipFill>
                    <a:blip r:embed="rId12"/>
                    <a:stretch>
                      <a:fillRect/>
                    </a:stretch>
                  </pic:blipFill>
                  <pic:spPr>
                    <a:xfrm>
                      <a:off x="0" y="0"/>
                      <a:ext cx="11887200" cy="11579352"/>
                    </a:xfrm>
                    <a:prstGeom prst="rect">
                      <a:avLst/>
                    </a:prstGeom>
                  </pic:spPr>
                </pic:pic>
              </a:graphicData>
            </a:graphic>
          </wp:inline>
        </w:drawing>
      </w:r>
    </w:p>
    <w:p w14:paraId="0D63E887" w14:textId="77777777" w:rsidR="00AE0B4A" w:rsidRDefault="00883061">
      <w:pPr>
        <w:pStyle w:val="Caption"/>
        <w:keepLines/>
      </w:pPr>
      <w:r>
        <w:rPr>
          <w:b/>
        </w:rPr>
        <w:t>Figure 2C</w:t>
      </w:r>
      <w:r>
        <w:t xml:space="preserve">. Five-year LabWAS any-order probability. A, Manhattan plot; B, volcano plot; C1/C2, positive/inverse forests. 143 analytes with estimable fully adjusted m4 odds ratios for any laboratory order; four non-estimable rows are omitted. All contrasts compare AHI ≥5 versus &lt;5. Colors identify laboratory categories. Laboratory values and ordering outcomes are separate estimands and retain their original multiplicity flags. Complete 1- and 5-year results: </w:t>
      </w:r>
      <w:r>
        <w:rPr>
          <w:b/>
        </w:rPr>
        <w:t>Supplementary Atlas, LabWAS tab</w:t>
      </w:r>
      <w:r>
        <w:t>. Colors identify body systems or established study domains. Upward/downward triangles indicate positive/inverse effects; size reflects absolute effect magnitude, and dark outlines mark Bonferroni-significant results. Manhattan plots label up to ten positive Bonferroni-significant associations ranked by smallest P value. Volcano plots retain all features: solid symbols indicate FDR-significant features (Benjamini–Hochberg q&lt;0.05), and faint symbols indicate features that do not meet FDR significance. Volcan</w:t>
      </w:r>
      <w:r>
        <w:t xml:space="preserve">o plots label up to five positive Bonferroni-significant associations ranked by largest effect size (OR, HR, IRR, or positive β), with ties resolved by smallest P value and then label. Inverse associations are not labeled. All qualifying labels are shown when fewer than the limit exist. −log10(P) is capped at 50. Forests show up to three Bonferroni-significant features per body system or established domain, selected across both directions by descending absolute log2 ratio (OR, HR or IRR), or absolute β for </w:t>
      </w:r>
      <w:r>
        <w:t>continuous outcomes. Ranking is within each domain; selection precedes splitting into positive/inverse panels where shown. Whiskers are 95% CIs; ratio axes use a null of 1 and β axes a null of 0. Original multiplicity flags are retained.</w:t>
      </w:r>
    </w:p>
    <w:p w14:paraId="4CDC4641" w14:textId="77777777" w:rsidR="00AE0B4A" w:rsidRDefault="00AE0B4A">
      <w:pPr>
        <w:sectPr w:rsidR="00AE0B4A">
          <w:pgSz w:w="20160" w:h="22847"/>
          <w:pgMar w:top="648" w:right="720" w:bottom="720" w:left="720" w:header="720" w:footer="288" w:gutter="0"/>
          <w:cols w:space="720"/>
          <w:docGrid w:linePitch="360"/>
        </w:sectPr>
      </w:pPr>
    </w:p>
    <w:p w14:paraId="398002D5" w14:textId="77777777" w:rsidR="00AE0B4A" w:rsidRDefault="00883061">
      <w:pPr>
        <w:keepNext/>
        <w:spacing w:after="120"/>
        <w:jc w:val="center"/>
      </w:pPr>
      <w:r>
        <w:rPr>
          <w:noProof/>
        </w:rPr>
        <w:lastRenderedPageBreak/>
        <w:drawing>
          <wp:inline distT="0" distB="0" distL="0" distR="0" wp14:anchorId="34D013A7" wp14:editId="2D8EBCDE">
            <wp:extent cx="11887200" cy="946099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panel.png"/>
                    <pic:cNvPicPr/>
                  </pic:nvPicPr>
                  <pic:blipFill>
                    <a:blip r:embed="rId13"/>
                    <a:stretch>
                      <a:fillRect/>
                    </a:stretch>
                  </pic:blipFill>
                  <pic:spPr>
                    <a:xfrm>
                      <a:off x="0" y="0"/>
                      <a:ext cx="11887200" cy="9460992"/>
                    </a:xfrm>
                    <a:prstGeom prst="rect">
                      <a:avLst/>
                    </a:prstGeom>
                  </pic:spPr>
                </pic:pic>
              </a:graphicData>
            </a:graphic>
          </wp:inline>
        </w:drawing>
      </w:r>
    </w:p>
    <w:p w14:paraId="7EF96956" w14:textId="77777777" w:rsidR="00AE0B4A" w:rsidRDefault="00883061">
      <w:pPr>
        <w:pStyle w:val="Caption"/>
        <w:keepLines/>
      </w:pPr>
      <w:r>
        <w:rPr>
          <w:b/>
        </w:rPr>
        <w:t>Figure 3</w:t>
      </w:r>
      <w:r>
        <w:t xml:space="preserve">. Five-year MedWAS. A, Manhattan plot; B, volcano plot; C1/C2, positive/inverse forests. All 218 medication classes; fully adjusted m4 AHI ≥5 versus &lt;5. Complete results: </w:t>
      </w:r>
      <w:r>
        <w:rPr>
          <w:b/>
        </w:rPr>
        <w:t>Supplementary Atlas, MedWAS tab</w:t>
      </w:r>
      <w:r>
        <w:t>. Colors identify body systems or established study domains. Upward/downward triangles indicate positive/inverse effects; size reflects absolute effect magnitude, and dark outlines mark Bonferroni-significant results. Manhattan plots label up to ten positive Bonferroni-significant associations ranked by smallest P value. Volcano plots retain all features: solid symbols indicate FDR-significant features (Benjamini–Hochberg q&lt;0.05), and faint symbols indicate features that do not meet FDR significance. Volcan</w:t>
      </w:r>
      <w:r>
        <w:t xml:space="preserve">o plots label up to five positive Bonferroni-significant associations ranked by largest effect size (OR, HR, IRR, or positive β), with ties resolved by smallest P value and then label. Inverse associations are not labeled. All qualifying labels are shown when fewer than the limit exist. −log10(P) is capped at 50. Forests show up to three Bonferroni-significant features per body system or established domain, selected across both directions by descending absolute log2 ratio (OR, HR or IRR), or absolute β for </w:t>
      </w:r>
      <w:r>
        <w:t>continuous outcomes. Ranking is within each domain; selection precedes splitting into positive/inverse panels where shown. Whiskers are 95% CIs; ratio axes use a null of 1 and β axes a null of 0. Original multiplicity flags are retained.</w:t>
      </w:r>
    </w:p>
    <w:p w14:paraId="414AFEC7" w14:textId="77777777" w:rsidR="00AE0B4A" w:rsidRDefault="00AE0B4A">
      <w:pPr>
        <w:sectPr w:rsidR="00AE0B4A">
          <w:pgSz w:w="20160" w:h="19508"/>
          <w:pgMar w:top="648" w:right="720" w:bottom="720" w:left="720" w:header="720" w:footer="288" w:gutter="0"/>
          <w:cols w:space="720"/>
          <w:docGrid w:linePitch="360"/>
        </w:sectPr>
      </w:pPr>
    </w:p>
    <w:p w14:paraId="751CFFEA" w14:textId="77777777" w:rsidR="00AE0B4A" w:rsidRDefault="00883061">
      <w:pPr>
        <w:keepNext/>
        <w:spacing w:after="120"/>
        <w:jc w:val="center"/>
      </w:pPr>
      <w:r>
        <w:rPr>
          <w:noProof/>
        </w:rPr>
        <w:lastRenderedPageBreak/>
        <w:drawing>
          <wp:inline distT="0" distB="0" distL="0" distR="0" wp14:anchorId="57F06A43" wp14:editId="3D296F78">
            <wp:extent cx="11887200" cy="772667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panel.png"/>
                    <pic:cNvPicPr/>
                  </pic:nvPicPr>
                  <pic:blipFill>
                    <a:blip r:embed="rId14"/>
                    <a:stretch>
                      <a:fillRect/>
                    </a:stretch>
                  </pic:blipFill>
                  <pic:spPr>
                    <a:xfrm>
                      <a:off x="0" y="0"/>
                      <a:ext cx="11887200" cy="7726679"/>
                    </a:xfrm>
                    <a:prstGeom prst="rect">
                      <a:avLst/>
                    </a:prstGeom>
                  </pic:spPr>
                </pic:pic>
              </a:graphicData>
            </a:graphic>
          </wp:inline>
        </w:drawing>
      </w:r>
    </w:p>
    <w:p w14:paraId="7492BC39" w14:textId="77777777" w:rsidR="00AE0B4A" w:rsidRDefault="00883061">
      <w:pPr>
        <w:pStyle w:val="Caption"/>
        <w:keepLines/>
      </w:pPr>
      <w:r>
        <w:rPr>
          <w:b/>
        </w:rPr>
        <w:t>Figure 4</w:t>
      </w:r>
      <w:r>
        <w:t xml:space="preserve">. Five-year ProcWAS. A, Manhattan plot; B, volcano plot; C1/C2, positive/inverse forests. All 67 procedures; fully adjusted m4 AHI ≥5 versus &lt;5. Complete results: </w:t>
      </w:r>
      <w:r>
        <w:rPr>
          <w:b/>
        </w:rPr>
        <w:t>Supplementary Atlas, ProcWAS tab</w:t>
      </w:r>
      <w:r>
        <w:t>. Colors identify body systems or established study domains. Upward/downward triangles indicate positive/inverse effects; size reflects absolute effect magnitude, and dark outlines mark Bonferroni-significant results. Manhattan plots label up to ten positive Bonferroni-significant associations ranked by smallest P value. Volcano plots retain all features: solid symbols indicate FDR-significant features (Benjamini–Hochberg q&lt;0.05), and faint symbols indicate features that do not meet FDR significance. Volcan</w:t>
      </w:r>
      <w:r>
        <w:t xml:space="preserve">o plots label up to five positive Bonferroni-significant associations ranked by largest effect size (OR, HR, IRR, or positive β), with ties resolved by smallest P value and then label. Inverse associations are not labeled. All qualifying labels are shown when fewer than the limit exist. −log10(P) is capped at 50. Forests show up to three Bonferroni-significant features per body system or established domain, selected across both directions by descending absolute log2 ratio (OR, HR or IRR), or absolute β for </w:t>
      </w:r>
      <w:r>
        <w:t>continuous outcomes. Ranking is within each domain; selection precedes splitting into positive/inverse panels where shown. Whiskers are 95% CIs; ratio axes use a null of 1 and β axes a null of 0. Original multiplicity flags are retained.</w:t>
      </w:r>
    </w:p>
    <w:p w14:paraId="3C4BDF9A" w14:textId="77777777" w:rsidR="00AE0B4A" w:rsidRDefault="00AE0B4A">
      <w:pPr>
        <w:sectPr w:rsidR="00AE0B4A">
          <w:pgSz w:w="20160" w:h="16776"/>
          <w:pgMar w:top="648" w:right="720" w:bottom="720" w:left="720" w:header="720" w:footer="288" w:gutter="0"/>
          <w:cols w:space="720"/>
          <w:docGrid w:linePitch="360"/>
        </w:sectPr>
      </w:pPr>
    </w:p>
    <w:p w14:paraId="45CDEB64" w14:textId="77777777" w:rsidR="00AE0B4A" w:rsidRDefault="00883061">
      <w:pPr>
        <w:keepNext/>
        <w:spacing w:after="120"/>
        <w:jc w:val="center"/>
      </w:pPr>
      <w:r>
        <w:rPr>
          <w:noProof/>
        </w:rPr>
        <w:lastRenderedPageBreak/>
        <w:drawing>
          <wp:inline distT="0" distB="0" distL="0" distR="0" wp14:anchorId="79A63458" wp14:editId="7833076E">
            <wp:extent cx="11677868" cy="1719042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panel.png"/>
                    <pic:cNvPicPr/>
                  </pic:nvPicPr>
                  <pic:blipFill>
                    <a:blip r:embed="rId15"/>
                    <a:stretch>
                      <a:fillRect/>
                    </a:stretch>
                  </pic:blipFill>
                  <pic:spPr>
                    <a:xfrm>
                      <a:off x="0" y="0"/>
                      <a:ext cx="11677868" cy="17190421"/>
                    </a:xfrm>
                    <a:prstGeom prst="rect">
                      <a:avLst/>
                    </a:prstGeom>
                  </pic:spPr>
                </pic:pic>
              </a:graphicData>
            </a:graphic>
          </wp:inline>
        </w:drawing>
      </w:r>
    </w:p>
    <w:p w14:paraId="07CC2A02" w14:textId="77777777" w:rsidR="00AE0B4A" w:rsidRDefault="00883061">
      <w:pPr>
        <w:pStyle w:val="Caption"/>
        <w:keepLines/>
      </w:pPr>
      <w:r>
        <w:rPr>
          <w:b/>
        </w:rPr>
        <w:t>Figure 5</w:t>
      </w:r>
      <w:r>
        <w:t>. Five-year UtilWAS. A–C combine Manhattan, volcano, and forest plots; D and E show volcano and forest plots only. Five-year fully adjusted m4 estimates compare AHI ≥5 versus &lt;5. A/B, ED-primary/secondary diagnosis presence; C, primary diagnoses associated with outpatient physician encounters; D/E, physician/allied-health encounter rates by specialty. Diagnosis-presence odds ratios use the full cohort. Specialty IRRs describe encounters per person-time and are not diagnosis-conditional rates. Outpatient phy</w:t>
      </w:r>
      <w:r>
        <w:t>sician encounters are not restricted to Family Practice, Internal Medicine, or Pediatrics. Diagnosis colors use Phecode body systems; specialty panels retain the source physician and allied-health groups. ED conditional rates are omitted. Original analysis-specific multiplicity flags are retained. Colors identify body systems or established study domains. Upward/downward triangles indicate positive/inverse effects; size reflects absolute effect magnitude, and dark outlines mark Bonferroni-significant result</w:t>
      </w:r>
      <w:r>
        <w:t>s. Manhattan plots label up to ten positive Bonferroni-significant associations ranked by smallest P value. Volcano plots retain all features: solid symbols indicate FDR-significant features (Benjamini–Hochberg q&lt;0.05), and faint symbols indicate features that do not meet FDR significance. Volcano plots label up to five positive Bonferroni-significant associations ranked by largest effect size (OR, HR, IRR, or positive β), with ties resolved by smallest P value and then label. Inverse associations are not l</w:t>
      </w:r>
      <w:r>
        <w:t>abeled. All qualifying labels are shown when fewer than the limit exist. −log10(P) is capped at 50. Forests show up to three Bonferroni-significant features per body system or established domain, selected across both directions by descending absolute log2 ratio (OR, HR or IRR), or absolute β for continuous outcomes. Ranking is within each domain; selection precedes splitting into positive/inverse panels where shown. Whiskers are 95% CIs; ratio axes use a null of 1 and β axes a null of 0. Original multiplici</w:t>
      </w:r>
      <w:r>
        <w:t xml:space="preserve">ty flags are retained. Complete results: </w:t>
      </w:r>
      <w:r>
        <w:rPr>
          <w:b/>
        </w:rPr>
        <w:t>Supplementary Atlas, UtilWAS tab</w:t>
      </w:r>
      <w:r>
        <w:t>. Specialty Manhattan plots were omitted because the source exports did not include a validated surgical, obstetric/gynecologic, and nonsurgical domain classification.</w:t>
      </w:r>
    </w:p>
    <w:p w14:paraId="3E743790" w14:textId="77777777" w:rsidR="00AE0B4A" w:rsidRDefault="00AE0B4A">
      <w:pPr>
        <w:sectPr w:rsidR="00AE0B4A">
          <w:pgSz w:w="20160" w:h="31680"/>
          <w:pgMar w:top="648" w:right="720" w:bottom="720" w:left="720" w:header="720" w:footer="288" w:gutter="0"/>
          <w:cols w:space="720"/>
          <w:docGrid w:linePitch="360"/>
        </w:sectPr>
      </w:pPr>
    </w:p>
    <w:p w14:paraId="0B8468EE" w14:textId="77777777" w:rsidR="00AE0B4A" w:rsidRDefault="00883061">
      <w:pPr>
        <w:keepNext/>
        <w:spacing w:after="120"/>
        <w:jc w:val="center"/>
      </w:pPr>
      <w:r>
        <w:rPr>
          <w:noProof/>
        </w:rPr>
        <w:lastRenderedPageBreak/>
        <w:drawing>
          <wp:inline distT="0" distB="0" distL="0" distR="0" wp14:anchorId="58B103B7" wp14:editId="19E86DF5">
            <wp:extent cx="11887200" cy="142189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_panel.png"/>
                    <pic:cNvPicPr/>
                  </pic:nvPicPr>
                  <pic:blipFill>
                    <a:blip r:embed="rId16"/>
                    <a:stretch>
                      <a:fillRect/>
                    </a:stretch>
                  </pic:blipFill>
                  <pic:spPr>
                    <a:xfrm>
                      <a:off x="0" y="0"/>
                      <a:ext cx="11887200" cy="14218920"/>
                    </a:xfrm>
                    <a:prstGeom prst="rect">
                      <a:avLst/>
                    </a:prstGeom>
                  </pic:spPr>
                </pic:pic>
              </a:graphicData>
            </a:graphic>
          </wp:inline>
        </w:drawing>
      </w:r>
    </w:p>
    <w:p w14:paraId="71BA2F3A" w14:textId="77777777" w:rsidR="00AE0B4A" w:rsidRDefault="00883061">
      <w:pPr>
        <w:pStyle w:val="Caption"/>
        <w:keepLines/>
      </w:pPr>
      <w:r>
        <w:rPr>
          <w:b/>
        </w:rPr>
        <w:t>Figure 6</w:t>
      </w:r>
      <w:r>
        <w:t xml:space="preserve">. QWAS. A, binary outcomes; B, continuous outcomes. Each section combines Manhattan, volcano, and forest plots. All 83 binary and 49 continuous rows; fully adjusted m4 AHI ≥5 versus &lt;5. Complete results: </w:t>
      </w:r>
      <w:r>
        <w:rPr>
          <w:b/>
        </w:rPr>
        <w:t>Supplementary Atlas, QWAS tab</w:t>
      </w:r>
      <w:r>
        <w:t>. Colors identify body systems or established study domains. Upward/downward triangles indicate positive/inverse effects; size reflects absolute effect magnitude, and dark outlines mark Bonferroni-significant results. Manhattan plots label up to ten positive Bonferroni-significant associations ranked by smallest P value. Volcano plots retain all features: solid symbols indicate FDR-significant features (Benjamini–Hochberg q&lt;0.05), and faint symbols indicate features that do not meet FDR significance. Volcan</w:t>
      </w:r>
      <w:r>
        <w:t>o plots label up to three positive Bonferroni-significant associations ranked by largest effect size (OR, HR, IRR, or positive β), with ties resolved by smallest P value and then label. Inverse associations are not labeled. All qualifying labels are shown when fewer than the limit exist. −log10(P) is capped at 50. Forests show up to three Bonferroni-significant features per body system or established domain, selected across both directions by descending absolute log2 ratio (OR, HR or IRR), or absolute β for</w:t>
      </w:r>
      <w:r>
        <w:t xml:space="preserve"> continuous outcomes. Ranking is within each domain; selection precedes splitting into positive/inverse panels where shown. Whiskers are 95% CIs; ratio axes use a null of 1 and β axes a null of 0. Original multiplicity flags are retained. * Referral-driving symptoms. Higher FOSQ scores indicate better function.</w:t>
      </w:r>
    </w:p>
    <w:p w14:paraId="0EB2A9D4" w14:textId="77777777" w:rsidR="00AE0B4A" w:rsidRDefault="00AE0B4A">
      <w:pPr>
        <w:sectPr w:rsidR="00AE0B4A">
          <w:pgSz w:w="20160" w:h="27000"/>
          <w:pgMar w:top="648" w:right="720" w:bottom="720" w:left="720" w:header="720" w:footer="288" w:gutter="0"/>
          <w:cols w:space="720"/>
          <w:docGrid w:linePitch="360"/>
        </w:sectPr>
      </w:pPr>
    </w:p>
    <w:p w14:paraId="7729D0E6" w14:textId="77777777" w:rsidR="00AE0B4A" w:rsidRDefault="00883061">
      <w:pPr>
        <w:keepNext/>
        <w:spacing w:after="120"/>
        <w:jc w:val="center"/>
      </w:pPr>
      <w:r>
        <w:rPr>
          <w:noProof/>
        </w:rPr>
        <w:lastRenderedPageBreak/>
        <w:drawing>
          <wp:inline distT="0" distB="0" distL="0" distR="0" wp14:anchorId="04CF07C1" wp14:editId="15692FFD">
            <wp:extent cx="11887200" cy="291998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7_panel.png"/>
                    <pic:cNvPicPr/>
                  </pic:nvPicPr>
                  <pic:blipFill>
                    <a:blip r:embed="rId17"/>
                    <a:stretch>
                      <a:fillRect/>
                    </a:stretch>
                  </pic:blipFill>
                  <pic:spPr>
                    <a:xfrm>
                      <a:off x="0" y="0"/>
                      <a:ext cx="11887200" cy="2919984"/>
                    </a:xfrm>
                    <a:prstGeom prst="rect">
                      <a:avLst/>
                    </a:prstGeom>
                  </pic:spPr>
                </pic:pic>
              </a:graphicData>
            </a:graphic>
          </wp:inline>
        </w:drawing>
      </w:r>
    </w:p>
    <w:p w14:paraId="1A40122D" w14:textId="77777777" w:rsidR="00AE0B4A" w:rsidRDefault="00883061">
      <w:pPr>
        <w:pStyle w:val="Caption"/>
        <w:keepLines/>
      </w:pPr>
      <w:r>
        <w:rPr>
          <w:b/>
        </w:rPr>
        <w:t>Figure 7</w:t>
      </w:r>
      <w:r>
        <w:t xml:space="preserve">. BehWAS. A, binary-outcome forest plot (OR); B, continuous-outcome forest plot (β). Fully adjusted m4 estimates compare AHI ≥5 versus &lt;5. Five-year estimates are used for windowed outcomes and lifetime estimates for undated outcomes. Colors identify medication adherence, vaccination, attendance, and work-leave domains. Forests show selected Bonferroni-significant associations. Medication adherence and PDC are among users. BehWAS remains preliminary. Forests show up to three Bonferroni-significant features </w:t>
      </w:r>
      <w:r>
        <w:t xml:space="preserve">per body system or established domain, selected across both directions by descending absolute log2 ratio (OR, HR or IRR), or absolute β for continuous outcomes. Ranking is within each domain; selection precedes splitting into positive/inverse panels where shown. Whiskers are 95% CIs; ratio axes use a null of 1 and β axes a null of 0. Original multiplicity flags are retained. Complete results: </w:t>
      </w:r>
      <w:r>
        <w:rPr>
          <w:b/>
        </w:rPr>
        <w:t>Supplementary Atlas, BehWAS tab</w:t>
      </w:r>
      <w:r>
        <w:t>.</w:t>
      </w:r>
    </w:p>
    <w:p w14:paraId="2705FD53" w14:textId="77777777" w:rsidR="00AE0B4A" w:rsidRDefault="00AE0B4A">
      <w:pPr>
        <w:sectPr w:rsidR="00AE0B4A">
          <w:pgSz w:w="20160" w:h="12240"/>
          <w:pgMar w:top="648" w:right="720" w:bottom="720" w:left="720" w:header="720" w:footer="288" w:gutter="0"/>
          <w:cols w:space="720"/>
          <w:docGrid w:linePitch="360"/>
        </w:sectPr>
      </w:pPr>
    </w:p>
    <w:p w14:paraId="2BD41CBD" w14:textId="77777777" w:rsidR="00AE0B4A" w:rsidRDefault="00883061">
      <w:pPr>
        <w:keepNext/>
        <w:spacing w:after="120"/>
        <w:jc w:val="center"/>
      </w:pPr>
      <w:r>
        <w:rPr>
          <w:noProof/>
        </w:rPr>
        <w:lastRenderedPageBreak/>
        <w:drawing>
          <wp:inline distT="0" distB="0" distL="0" distR="0" wp14:anchorId="7F62AB36" wp14:editId="074F4090">
            <wp:extent cx="11887200" cy="87782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8_panel.png"/>
                    <pic:cNvPicPr/>
                  </pic:nvPicPr>
                  <pic:blipFill>
                    <a:blip r:embed="rId18"/>
                    <a:stretch>
                      <a:fillRect/>
                    </a:stretch>
                  </pic:blipFill>
                  <pic:spPr>
                    <a:xfrm>
                      <a:off x="0" y="0"/>
                      <a:ext cx="11887200" cy="8778240"/>
                    </a:xfrm>
                    <a:prstGeom prst="rect">
                      <a:avLst/>
                    </a:prstGeom>
                  </pic:spPr>
                </pic:pic>
              </a:graphicData>
            </a:graphic>
          </wp:inline>
        </w:drawing>
      </w:r>
    </w:p>
    <w:p w14:paraId="035F525C" w14:textId="77777777" w:rsidR="00AE0B4A" w:rsidRDefault="00883061">
      <w:pPr>
        <w:pStyle w:val="Caption"/>
        <w:keepLines/>
      </w:pPr>
      <w:r>
        <w:rPr>
          <w:b/>
        </w:rPr>
        <w:t>Figure 8</w:t>
      </w:r>
      <w:r>
        <w:t xml:space="preserve">. PheDAS Incidence. A, Manhattan plot; B, volcano plot; C1/C2, positive/inverse forests. Fully adjusted m4 primary AHI ≥5 versus &lt;5 estimates for 1,012 phecodes, excluding sleep apnea and subcodes. Complete results: </w:t>
      </w:r>
      <w:r>
        <w:rPr>
          <w:b/>
        </w:rPr>
        <w:t>Supplementary Atlas, PheDAS Incidence tab</w:t>
      </w:r>
      <w:r>
        <w:t>. Colors identify body systems or established study domains. Upward/downward triangles indicate positive/inverse effects; size reflects absolute effect magnitude, and dark outlines mark Bonferroni-significant results. Manhattan plots label up to ten positive Bonferroni-significant associations ranked by smallest P value. Volcano plots retain all features: solid symbols indicate FDR-significant features (Benjamini–Hochberg q&lt;0.05), and faint symbols indicate features that do not meet FDR significance. Volcan</w:t>
      </w:r>
      <w:r>
        <w:t xml:space="preserve">o plots label up to five positive Bonferroni-significant associations ranked by largest effect size (OR, HR, IRR, or positive β), with ties resolved by smallest P value and then label. Inverse associations are not labeled. All qualifying labels are shown when fewer than the limit exist. −log10(P) is capped at 50. Forests show up to three Bonferroni-significant features per body system or established domain, selected across both directions by descending absolute log2 ratio (OR, HR or IRR), or absolute β for </w:t>
      </w:r>
      <w:r>
        <w:t>continuous outcomes. Ranking is within each domain; selection precedes splitting into positive/inverse panels where shown. Whiskers are 95% CIs; ratio axes use a null of 1 and β axes a null of 0. Original multiplicity flags are retained.</w:t>
      </w:r>
    </w:p>
    <w:p w14:paraId="7AE742C6" w14:textId="77777777" w:rsidR="00AE0B4A" w:rsidRDefault="00AE0B4A">
      <w:pPr>
        <w:sectPr w:rsidR="00AE0B4A">
          <w:pgSz w:w="20160" w:h="18432"/>
          <w:pgMar w:top="648" w:right="720" w:bottom="720" w:left="720" w:header="720" w:footer="288" w:gutter="0"/>
          <w:cols w:space="720"/>
          <w:docGrid w:linePitch="360"/>
        </w:sectPr>
      </w:pPr>
    </w:p>
    <w:p w14:paraId="14F99E58" w14:textId="77777777" w:rsidR="00AE0B4A" w:rsidRDefault="00883061">
      <w:pPr>
        <w:keepNext/>
        <w:spacing w:after="120"/>
        <w:jc w:val="center"/>
      </w:pPr>
      <w:r>
        <w:rPr>
          <w:noProof/>
        </w:rPr>
        <w:lastRenderedPageBreak/>
        <w:drawing>
          <wp:inline distT="0" distB="0" distL="0" distR="0" wp14:anchorId="066C973A" wp14:editId="0EF2476B">
            <wp:extent cx="16459200" cy="168249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9_panel.png"/>
                    <pic:cNvPicPr/>
                  </pic:nvPicPr>
                  <pic:blipFill>
                    <a:blip r:embed="rId19"/>
                    <a:stretch>
                      <a:fillRect/>
                    </a:stretch>
                  </pic:blipFill>
                  <pic:spPr>
                    <a:xfrm>
                      <a:off x="0" y="0"/>
                      <a:ext cx="16459200" cy="16824960"/>
                    </a:xfrm>
                    <a:prstGeom prst="rect">
                      <a:avLst/>
                    </a:prstGeom>
                  </pic:spPr>
                </pic:pic>
              </a:graphicData>
            </a:graphic>
          </wp:inline>
        </w:drawing>
      </w:r>
    </w:p>
    <w:p w14:paraId="473C458C" w14:textId="77777777" w:rsidR="00AE0B4A" w:rsidRDefault="00883061">
      <w:pPr>
        <w:pStyle w:val="Caption"/>
        <w:keepLines/>
      </w:pPr>
      <w:r>
        <w:rPr>
          <w:b/>
        </w:rPr>
        <w:t>Figure 9</w:t>
      </w:r>
      <w:r>
        <w:t xml:space="preserve">. Aalen–Johansen cumulative incidence with death as a competing event. A, incidence stratified by OSA severity; A1–A4 show essential hypertension (401.1), type 2 diabetes (250.2), heart failure NOS (428.2), and atrial fibrillation/flutter (427.2), respectively. Numbers at risk at 0, 1, 2, and 3 years are shown below each severity plot. B, incidence for the same outcomes (B1–B4, respectively) after the 180-day landmark among patients with OSA, stratified by PAP-use category; unknown adherence is dotted. The </w:t>
      </w:r>
      <w:r>
        <w:t>PAP legends show numbers at risk at the landmark. Curves retain every incident-event step over the displayed three-year horizon and are crude, descriptive estimates. The fully adjusted PAP-use comparisons for these four outcomes were not significant after Bonferroni correction or the secondary FDR correction. All eight plots use a common 0–10% y-axis. Pairwise p values are unadjusted, two-sided cause-specific log-rank tests through three years, with competing deaths censored; they are not multiplicity-adjus</w:t>
      </w:r>
      <w:r>
        <w:t>ted or Gray tests of cumulative-incidence equality. All six severity and all ten PAP-use group pairs are shown per outcome. Pairwise-table abbreviations: None, No OSA; Mod, moderate; Sev, severe; h, hours/night; Never, never started; Unk, unknown adherence.</w:t>
      </w:r>
    </w:p>
    <w:p w14:paraId="6E44F2CF" w14:textId="77777777" w:rsidR="00AE0B4A" w:rsidRDefault="00AE0B4A">
      <w:pPr>
        <w:sectPr w:rsidR="00AE0B4A">
          <w:pgSz w:w="27360" w:h="31104"/>
          <w:pgMar w:top="648" w:right="720" w:bottom="720" w:left="720" w:header="720" w:footer="288" w:gutter="0"/>
          <w:cols w:space="720"/>
          <w:docGrid w:linePitch="360"/>
        </w:sectPr>
      </w:pPr>
    </w:p>
    <w:p w14:paraId="6623DF11" w14:textId="77777777" w:rsidR="00AE0B4A" w:rsidRDefault="00883061">
      <w:pPr>
        <w:keepNext/>
        <w:spacing w:after="120"/>
        <w:jc w:val="center"/>
      </w:pPr>
      <w:r>
        <w:rPr>
          <w:noProof/>
        </w:rPr>
        <w:lastRenderedPageBreak/>
        <w:drawing>
          <wp:inline distT="0" distB="0" distL="0" distR="0" wp14:anchorId="7FAA81F3" wp14:editId="4B483C51">
            <wp:extent cx="6400800" cy="820615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0_panel.png"/>
                    <pic:cNvPicPr/>
                  </pic:nvPicPr>
                  <pic:blipFill>
                    <a:blip r:embed="rId20"/>
                    <a:stretch>
                      <a:fillRect/>
                    </a:stretch>
                  </pic:blipFill>
                  <pic:spPr>
                    <a:xfrm>
                      <a:off x="0" y="0"/>
                      <a:ext cx="6400800" cy="8206154"/>
                    </a:xfrm>
                    <a:prstGeom prst="rect">
                      <a:avLst/>
                    </a:prstGeom>
                  </pic:spPr>
                </pic:pic>
              </a:graphicData>
            </a:graphic>
          </wp:inline>
        </w:drawing>
      </w:r>
    </w:p>
    <w:p w14:paraId="0931705D" w14:textId="77777777" w:rsidR="00AE0B4A" w:rsidRDefault="00883061">
      <w:pPr>
        <w:pStyle w:val="Caption"/>
        <w:keepLines/>
      </w:pPr>
      <w:r>
        <w:rPr>
          <w:b/>
        </w:rPr>
        <w:t>Figure 10</w:t>
      </w:r>
      <w:r>
        <w:t>. Clinical signature of the eight cross-domain phenotype octants. All 26 release-audited aggregate measures are shown across the eight octants. Cell values are native-unit means or percentages; color shows standardized difference from the shared cohort, and each cell lists its feature-specific n. Denominators are 70,880 for most phenotype measures, 53,012 for demographics, and 25,380 for follow-up and encounter measures. The octants are regions of continuous burden gradients, not discrete biological classes</w:t>
      </w:r>
      <w:r>
        <w:t>.</w:t>
      </w:r>
    </w:p>
    <w:p w14:paraId="48B04373" w14:textId="77777777" w:rsidR="00AE0B4A" w:rsidRDefault="00AE0B4A">
      <w:pPr>
        <w:sectPr w:rsidR="00AE0B4A">
          <w:pgSz w:w="12240" w:h="17531"/>
          <w:pgMar w:top="648" w:right="720" w:bottom="720" w:left="720" w:header="720" w:footer="288" w:gutter="0"/>
          <w:cols w:space="720"/>
          <w:docGrid w:linePitch="360"/>
        </w:sectPr>
      </w:pPr>
    </w:p>
    <w:p w14:paraId="2D187E4D" w14:textId="77777777" w:rsidR="00AE0B4A" w:rsidRDefault="00883061">
      <w:pPr>
        <w:keepNext/>
        <w:spacing w:after="120"/>
        <w:jc w:val="center"/>
      </w:pPr>
      <w:r>
        <w:rPr>
          <w:noProof/>
        </w:rPr>
        <w:lastRenderedPageBreak/>
        <w:drawing>
          <wp:inline distT="0" distB="0" distL="0" distR="0" wp14:anchorId="2D3EBEC7" wp14:editId="5B29997B">
            <wp:extent cx="11887200" cy="65836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1_panel.png"/>
                    <pic:cNvPicPr/>
                  </pic:nvPicPr>
                  <pic:blipFill>
                    <a:blip r:embed="rId21"/>
                    <a:stretch>
                      <a:fillRect/>
                    </a:stretch>
                  </pic:blipFill>
                  <pic:spPr>
                    <a:xfrm>
                      <a:off x="0" y="0"/>
                      <a:ext cx="11887200" cy="6583680"/>
                    </a:xfrm>
                    <a:prstGeom prst="rect">
                      <a:avLst/>
                    </a:prstGeom>
                  </pic:spPr>
                </pic:pic>
              </a:graphicData>
            </a:graphic>
          </wp:inline>
        </w:drawing>
      </w:r>
    </w:p>
    <w:p w14:paraId="1FB21C8D" w14:textId="77777777" w:rsidR="00AE0B4A" w:rsidRDefault="00883061">
      <w:pPr>
        <w:pStyle w:val="Caption"/>
        <w:keepLines/>
      </w:pPr>
      <w:r>
        <w:rPr>
          <w:b/>
        </w:rPr>
        <w:t>Figure 11</w:t>
      </w:r>
      <w:r>
        <w:t>. Phenotype-associated disease incidence. All six Bonferroni-significant fully adjusted m4 cause-specific Cox contrasts are shown with 95% CIs. Of 368 eligible phecodes, 15 passed the nominal 7-df omnibus gate (P&lt;0.05), generating 120 one-versus-rest contrasts. Each focal phenotype is compared with its pooled other seven phenotypes. Benjamini–Hochberg FDR and Bonferroni corrections were applied within each focal-phenotype family across the 15 gated outcomes. Filled diamonds identify Bonferroni-significant c</w:t>
      </w:r>
      <w:r>
        <w:t xml:space="preserve">ontrasts. Fourteen contrasts met the secondary FDR criterion and remain available in the </w:t>
      </w:r>
      <w:r>
        <w:rPr>
          <w:b/>
        </w:rPr>
        <w:t>Supplementary Atlas</w:t>
      </w:r>
      <w:r>
        <w:t xml:space="preserve">. The dashed line marks HR=1; daggers identify fewer than ten events per model parameter. Estimates are observational and do not establish causal effects. All 120 contrasts are in the </w:t>
      </w:r>
      <w:r>
        <w:rPr>
          <w:b/>
        </w:rPr>
        <w:t>Supplementary Atlas, PheDAS Incidence tab</w:t>
      </w:r>
      <w:r>
        <w:t xml:space="preserve"> (phenotype analyses).</w:t>
      </w:r>
    </w:p>
    <w:p w14:paraId="0EFE1921" w14:textId="77777777" w:rsidR="00AE0B4A" w:rsidRDefault="00AE0B4A">
      <w:pPr>
        <w:sectPr w:rsidR="00AE0B4A">
          <w:pgSz w:w="20160" w:h="14976"/>
          <w:pgMar w:top="648" w:right="720" w:bottom="720" w:left="720" w:header="720" w:footer="288" w:gutter="0"/>
          <w:cols w:space="720"/>
          <w:docGrid w:linePitch="360"/>
        </w:sectPr>
      </w:pPr>
    </w:p>
    <w:p w14:paraId="4516BA8A" w14:textId="77777777" w:rsidR="00AE0B4A" w:rsidRDefault="00883061">
      <w:pPr>
        <w:keepNext/>
        <w:spacing w:after="120"/>
        <w:jc w:val="center"/>
      </w:pPr>
      <w:r>
        <w:rPr>
          <w:noProof/>
        </w:rPr>
        <w:lastRenderedPageBreak/>
        <w:drawing>
          <wp:inline distT="0" distB="0" distL="0" distR="0" wp14:anchorId="65F1DE92" wp14:editId="0AF46D8B">
            <wp:extent cx="11887200" cy="82296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2_panel.png"/>
                    <pic:cNvPicPr/>
                  </pic:nvPicPr>
                  <pic:blipFill>
                    <a:blip r:embed="rId22"/>
                    <a:stretch>
                      <a:fillRect/>
                    </a:stretch>
                  </pic:blipFill>
                  <pic:spPr>
                    <a:xfrm>
                      <a:off x="0" y="0"/>
                      <a:ext cx="11887200" cy="8229600"/>
                    </a:xfrm>
                    <a:prstGeom prst="rect">
                      <a:avLst/>
                    </a:prstGeom>
                  </pic:spPr>
                </pic:pic>
              </a:graphicData>
            </a:graphic>
          </wp:inline>
        </w:drawing>
      </w:r>
    </w:p>
    <w:p w14:paraId="13FF18C7" w14:textId="77777777" w:rsidR="00AE0B4A" w:rsidRDefault="00883061">
      <w:pPr>
        <w:pStyle w:val="Caption"/>
        <w:keepLines/>
      </w:pPr>
      <w:r>
        <w:rPr>
          <w:b/>
        </w:rPr>
        <w:t>Figure 12</w:t>
      </w:r>
      <w:r>
        <w:t xml:space="preserve">. Heart failure NOS (Phecode 428.2) cumulative incidence across eight OSA phenotypes and No OSA. Each OSA phenotype is compared with its pooled other seven OSA phenotypes; No OSA (AHI &lt;5) is compared with all eight OSA phenotypes pooled. The same No OSA curve is added as a blue dotted reference in each OSA phenotype panel, with shading for its pointwise 95% confidence interval. The No OSA panel uses the same blue dotted style without duplicating its curve; all original focal and pooled confidence intervals </w:t>
      </w:r>
      <w:r>
        <w:t>and statistical comparators are unchanged. Unadjusted, tie-aware Aalen–Johansen curves treat death as a competing risk. Shading denotes pointwise 95% confidence intervals from infinitesimal-jackknife variance with a log-log transformation. Panel p values are unadjusted cause-specific log-rank tests through three years, censoring competing deaths; they are not multiplicity-adjusted or Gray tests of cumulative-incidence equality. The OSA curve cohort excludes 154 original phenotype-cohort participants with in</w:t>
      </w:r>
      <w:r>
        <w:t>dex AHI &lt;5, retaining the original phenotype assignments and cutpoints. No OSA uses eligible participants from the full incidence follow-up cohort. Median AHI describes each focal baseline risk set after outcome-specific exclusions. M4 HRs (95% CIs) are existing adjusted one-versus-rest estimates from the original phenotype cohort and have EPV&lt;10. No matching M4 estimate is available for No OSA versus the pooled eight phenotypes. The three-year tail is sparse; comparisons are descriptive and do not establis</w:t>
      </w:r>
      <w:r>
        <w:t>h causal effects.</w:t>
      </w:r>
    </w:p>
    <w:sectPr w:rsidR="00AE0B4A" w:rsidSect="00034616">
      <w:pgSz w:w="20160" w:h="17568"/>
      <w:pgMar w:top="648" w:right="720" w:bottom="720" w:left="72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3B59B" w14:textId="77777777" w:rsidR="00883061" w:rsidRDefault="00883061">
      <w:pPr>
        <w:spacing w:after="0"/>
      </w:pPr>
      <w:r>
        <w:separator/>
      </w:r>
    </w:p>
  </w:endnote>
  <w:endnote w:type="continuationSeparator" w:id="0">
    <w:p w14:paraId="6E3A8628" w14:textId="77777777" w:rsidR="00883061" w:rsidRDefault="0088306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25C2A" w14:textId="77777777" w:rsidR="00AE0B4A" w:rsidRDefault="00883061">
    <w:pPr>
      <w:pStyle w:val="Footer"/>
      <w:jc w:val="right"/>
    </w:pPr>
    <w:r>
      <w:fldChar w:fldCharType="begin"/>
    </w:r>
    <w:r>
      <w:instrText>PAGE</w:instrText>
    </w:r>
    <w:r>
      <w:fldChar w:fldCharType="separate"/>
    </w:r>
    <w:r w:rsidR="007B467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137AF" w14:textId="77777777" w:rsidR="00883061" w:rsidRDefault="00883061">
      <w:pPr>
        <w:spacing w:after="0"/>
      </w:pPr>
      <w:r>
        <w:separator/>
      </w:r>
    </w:p>
  </w:footnote>
  <w:footnote w:type="continuationSeparator" w:id="0">
    <w:p w14:paraId="43BD1BF8" w14:textId="77777777" w:rsidR="00883061" w:rsidRDefault="0088306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1763667">
    <w:abstractNumId w:val="8"/>
  </w:num>
  <w:num w:numId="2" w16cid:durableId="1673874959">
    <w:abstractNumId w:val="6"/>
  </w:num>
  <w:num w:numId="3" w16cid:durableId="572855633">
    <w:abstractNumId w:val="5"/>
  </w:num>
  <w:num w:numId="4" w16cid:durableId="1151872978">
    <w:abstractNumId w:val="4"/>
  </w:num>
  <w:num w:numId="5" w16cid:durableId="216745924">
    <w:abstractNumId w:val="7"/>
  </w:num>
  <w:num w:numId="6" w16cid:durableId="169682004">
    <w:abstractNumId w:val="3"/>
  </w:num>
  <w:num w:numId="7" w16cid:durableId="60564061">
    <w:abstractNumId w:val="2"/>
  </w:num>
  <w:num w:numId="8" w16cid:durableId="1838958142">
    <w:abstractNumId w:val="1"/>
  </w:num>
  <w:num w:numId="9" w16cid:durableId="1277983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B4672"/>
    <w:rsid w:val="00883061"/>
    <w:rsid w:val="00AA1D8D"/>
    <w:rsid w:val="00AE0B4A"/>
    <w:rsid w:val="00B47730"/>
    <w:rsid w:val="00CB0664"/>
    <w:rsid w:val="00E408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A0899A"/>
  <w14:defaultImageDpi w14:val="300"/>
  <w15:docId w15:val="{F8F3374B-954B-4290-95A5-58D192181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40" w:lineRule="auto"/>
    </w:pPr>
    <w:rPr>
      <w:rFonts w:ascii="Arial" w:hAnsi="Arial"/>
      <w:color w:val="000000"/>
      <w:sz w:val="19"/>
    </w:rPr>
  </w:style>
  <w:style w:type="paragraph" w:styleId="Heading1">
    <w:name w:val="heading 1"/>
    <w:basedOn w:val="Normal"/>
    <w:next w:val="Normal"/>
    <w:link w:val="Heading1Char"/>
    <w:uiPriority w:val="9"/>
    <w:qFormat/>
    <w:rsid w:val="00FC693F"/>
    <w:pPr>
      <w:keepNext/>
      <w:keepLines/>
      <w:spacing w:before="240"/>
      <w:outlineLvl w:val="0"/>
    </w:pPr>
    <w:rPr>
      <w:rFonts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contextualSpacing/>
    </w:pPr>
    <w:rPr>
      <w:rFonts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20" w:line="252" w:lineRule="auto"/>
    </w:pPr>
    <w:rPr>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4327</Words>
  <Characters>24668</Characters>
  <Application>Microsoft Office Word</Application>
  <DocSecurity>4</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28938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PheWAS tables and figures</dc:title>
  <dc:subject>Coauthor review draft</dc:subject>
  <dc:creator>python-docx</dc:creator>
  <cp:keywords/>
  <dc:description>generated by python-docx</dc:description>
  <cp:lastModifiedBy>T402425</cp:lastModifiedBy>
  <cp:revision>2</cp:revision>
  <dcterms:created xsi:type="dcterms:W3CDTF">2026-10-02T04:08:00Z</dcterms:created>
  <dcterms:modified xsi:type="dcterms:W3CDTF">2026-10-02T04:08:00Z</dcterms:modified>
  <cp:category/>
</cp:coreProperties>
</file>