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Possible Funding Initiatives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CVUO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AETSA (not officially a recognized Telfer club as of yet)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RBC Sponsorship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RBC Future Launch Program (must be registered as a charity under CRA)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TD Community Sponsorship Program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Due Aug 14 for the September Review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CIBC Community Sponsorship Program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Scotiabank Sponsorship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Bell Let’s Talk Diversity Fund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Due June 19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Ottawa Community Foundation (must be registered as a charity under CRA)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Laid Law Foundation - Youth Action Fund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Due June 25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Canadian Race Relations Foundation (closed currently)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