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Phase 2 Study Withdrawal / Pause Survey (Qualtrics) â€” DRAFT for IRB review</w:t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Administered online, on demand (approximately 1 minute). Linked from the participant's account page ("Leaving the study or need a break?"). Participation is voluntary and all questions may be skipped; submitting the survey updates the participant's study status (paused or withdrawn) and notifies the study coordinator. Participants enter their study ID (auto-filled when arriving from the personalized link).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What is the main reason you are stepping away? (It takes too much time / It was not helpful to me / It made me feel worse or uncomfortable / I have privacy concerns / I had technical problems / My life circumstances changed / Other)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Is there anything you would like the research team to know? (free text, optional). </w:t>
      </w:r>
      <w:r>
        <w:rPr>
          <w:rFonts w:ascii="Times" w:hAnsi="Times" w:cs="Times"/>
          <w:sz w:val="24"/>
          <w:sz-cs w:val="24"/>
          <w:i/>
          <w:spacing w:val="0"/>
        </w:rPr>
        <w:t xml:space="preserve">Responses describing distress are reviewed by the study team within one business day and follow the same adverse-experience review procedure as the weekly check-in.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Would you like to fully withdraw from the study, or take a break with the option to return? (Withdraw fully / Pause - I may return later)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What should happen to the information collected about you so far? (Keep my information for the research / Please also delete my information where possible). </w:t>
      </w:r>
      <w:r>
        <w:rPr>
          <w:rFonts w:ascii="Times" w:hAnsi="Times" w:cs="Times"/>
          <w:sz w:val="24"/>
          <w:sz-cs w:val="24"/>
          <w:i/>
          <w:spacing w:val="0"/>
        </w:rPr>
        <w:t xml:space="preserve">Per the consent form, data already included in analyses cannot always be removed; deletion requests are honored wherever possible and logged.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Rationale: structured withdrawal-reason capture addresses digital mental health's "law of attrition" â€” reasons for dropout are themselves study data, and a distress-driven withdrawal is surfaced to the team as a reportable adverse experience.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