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Crisis Notification and Admin Dashboard Examples</w:t>
      </w:r>
    </w:p>
    <w:p>
      <w:r>
        <w:rPr>
          <w:b w:val="0"/>
          <w:i/>
        </w:rPr>
        <w:t>Human + AI Therapy: Better For Everyone (Phase 2: Longitudinal Use) - referencing protocol 2025-519-BYU</w:t>
      </w:r>
    </w:p>
    <w:p>
      <w:r>
        <w:rPr>
          <w:b w:val="0"/>
          <w:i w:val="0"/>
        </w:rPr>
        <w:t>Prepared September 7, 2026. This document shows (1) the verbatim on-call crisis notification messages the system sends, and (2) current screenshots of the researcher-facing monitoring dashboards referenced in the Research Procedures and Confidentiality of Data sections. All screenshots were captured September 2, 2026 from the study application's demonstration environment; all names, sessions, and data shown are synthetic demonstration data, not participant data.</w:t>
      </w:r>
    </w:p>
    <w:p>
      <w:pPr>
        <w:pStyle w:val="Heading1"/>
      </w:pPr>
      <w:r>
        <w:t>1. On-call crisis notification messages (verbatim templates)</w:t>
      </w:r>
    </w:p>
    <w:p>
      <w:r>
        <w:rPr>
          <w:b w:val="0"/>
          <w:i w:val="0"/>
        </w:rPr>
        <w:t>When the automated risk pipeline flags a high-severity event, the system pages the on-call researcher's phone by SMS before any database write (a deliberate ordering so a storage failure can never suppress an alert). The two message templates, verbatim from the production code:</w:t>
      </w:r>
    </w:p>
    <w:p>
      <w:r>
        <w:rPr>
          <w:b/>
          <w:i w:val="0"/>
        </w:rPr>
        <w:t>High-severity flag during a live session (crisisIntervention.service.ts) - includes a deep link that opens the session directly in the admin dashboard:</w:t>
      </w:r>
    </w:p>
    <w:p>
      <w:r>
        <w:rPr>
          <w:rFonts w:ascii="Courier New" w:hAnsi="Courier New"/>
          <w:sz w:val="19"/>
        </w:rPr>
        <w:t>URGENT: AI-Therapist HIGH crisis flag</w:t>
        <w:br/>
        <w:t>Session &lt;session-id&gt;... - risk &lt;score&gt;/100</w:t>
        <w:br/>
        <w:t>&lt;admin-url&gt;/admin#session=&lt;session-id&gt;</w:t>
      </w:r>
    </w:p>
    <w:p>
      <w:r>
        <w:rPr>
          <w:b/>
          <w:i w:val="0"/>
        </w:rPr>
        <w:t>High-severity flag in an asynchronous (chat/thread) message (messageSafety.service.ts):</w:t>
      </w:r>
    </w:p>
    <w:p>
      <w:r>
        <w:rPr>
          <w:rFonts w:ascii="Courier New" w:hAnsi="Courier New"/>
          <w:sz w:val="19"/>
        </w:rPr>
        <w:t>CRISIS MESSAGE ALERT: high-severity risk flagged in a client message (score &lt;score&gt;/100). Review the crisis dashboard.</w:t>
      </w:r>
    </w:p>
    <w:p>
      <w:r>
        <w:rPr>
          <w:b w:val="0"/>
          <w:i w:val="0"/>
        </w:rPr>
        <w:t>Every page is followed by an intervention-action audit record. In parallel with the SMS page, the event raises a real-time alert on the Live Monitoring dashboard (WebSocket) and, at high severity, auto-drafts an adverse event report for sign-off.</w:t>
      </w:r>
    </w:p>
    <w:p>
      <w:pPr>
        <w:pStyle w:val="Heading1"/>
      </w:pPr>
      <w:r>
        <w:t>2. Admin dashboard screenshots</w:t>
      </w:r>
    </w:p>
    <w:p>
      <w:r>
        <w:rPr>
          <w:b/>
          <w:i w:val="0"/>
        </w:rPr>
        <w:t>Crisis Management overview - central queue of flagged events with severity, status, and review workflow.</w:t>
      </w:r>
    </w:p>
    <w:p>
      <w:r>
        <w:drawing>
          <wp:inline xmlns:a="http://schemas.openxmlformats.org/drawingml/2006/main" xmlns:pic="http://schemas.openxmlformats.org/drawingml/2006/picture">
            <wp:extent cx="5943600" cy="4873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sis-management-overvie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3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Crisis event detail - per-event timeline: detection, risk score, actions taken, and human review trail.</w:t>
      </w:r>
    </w:p>
    <w:p>
      <w:r>
        <w:drawing>
          <wp:inline xmlns:a="http://schemas.openxmlformats.org/drawingml/2006/main" xmlns:pic="http://schemas.openxmlformats.org/drawingml/2006/picture">
            <wp:extent cx="5943600" cy="4873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sis-event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3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Live Monitoring - real-time view of active sessions with risk indicators; high-severity flags raise an immediate on-screen alert in addition to the SMS page.</w:t>
      </w:r>
    </w:p>
    <w:p>
      <w:r>
        <w:drawing>
          <wp:inline xmlns:a="http://schemas.openxmlformats.org/drawingml/2006/main" xmlns:pic="http://schemas.openxmlformats.org/drawingml/2006/picture">
            <wp:extent cx="5943600" cy="29633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monitoring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Analytics dashboard - aggregate engagement and safety metrics used for study oversight.</w:t>
      </w:r>
    </w:p>
    <w:p>
      <w:r>
        <w:drawing>
          <wp:inline xmlns:a="http://schemas.openxmlformats.org/drawingml/2006/main" xmlns:pic="http://schemas.openxmlformats.org/drawingml/2006/picture">
            <wp:extent cx="5943600" cy="48737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-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3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Session history - redacted transcript review view used by authorized researchers; original unredacted content is inaccessible here.</w:t>
      </w:r>
    </w:p>
    <w:p>
      <w:r>
        <w:drawing>
          <wp:inline xmlns:a="http://schemas.openxmlformats.org/drawingml/2006/main" xmlns:pic="http://schemas.openxmlformats.org/drawingml/2006/picture">
            <wp:extent cx="5943600" cy="29633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ion-histor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3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