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03"/>
      </w:pPr>
      <w:r>
        <w:rPr>
          <w:rFonts w:ascii="Georgia" w:hAnsi="Georgia" w:cs="Georgia"/>
          <w:sz w:val="45"/>
          <w:sz-cs w:val="45"/>
          <w:b/>
          <w:spacing w:val="0"/>
          <w:color w:val="141414"/>
        </w:rPr>
        <w:t xml:space="preserve">Items Needing PI Review — AI Support Agent Longitudinal Study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Prepared by: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Nathan Blatter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Date: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September 14, 2026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For: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Dr. James Gaskin, Principal Investigator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This is the consolidated list of everything currently waiting on your review, decision, or signature, organized by the kind of input needed. Items A1–A3 are the critical path to Phase 2 launch.</w:t>
      </w:r>
    </w:p>
    <w:p>
      <w:pPr/>
      <w:r>
        <w:rPr>
          <w:rFonts w:ascii="Georgia" w:hAnsi="Georgia" w:cs="Georgia"/>
          <w:sz w:val="32"/>
          <w:sz-cs w:val="32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A. Phase 2 IRB signature path (your signature is the gate)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Phase 2 longitudinal IRB application (in OneAegis, validation clean).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Needs your end-to-end read of the protocol design — measures (PHQ-2/GAD-2, WAI-SR), 8-week schedule, study arms, safety-monitoring plan — then signature. An open-questions list is drafted for you, notably the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study budget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(Q6) and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study framing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(Q14), plus the Sagers supervisor-permission question.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2.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OneAegis re-paste before signing.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The September 9 telemetry expansion changed the Data Collection / Confidentiality text after the form was first filled. What you sign needs to be the re-pasted version declaring the full behavioral-telemetry set and its non-collection boundary.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3.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Consent v3.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Consent gained a "What the App Records and Analyzes" section and an indefinite-retention/embeddings sentence. Needs your review of the new language before the v3 document is attached and signed.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B. Compliance decisions only the PI / BYU can make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4.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No OpenAI BAA, no zero-data-retention (top compliance blocker).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Phase 1's approved text claims both. Decision needed: (a) pursue a BAA + ZDR through OpenAI sales — which requires the real university org, see next item — or (b) have the IRB explicitly bless the current data flow and correct Phase 1's language.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5.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The OpenAI org is a self-serve account merely named "Brigham Young University,"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not an institutional org. Decision needed: who at BYU owns standing up or connecting the real university-controlled org, and on what timeline. This gates the BAA path above.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6.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The $120/month hard OpenAI spend cap will rate-limit the crisis-detection path when hit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and is undersized for Phase 2. Needs the real study budget (your Q6 answer) so the cap can be raised safely above projected spend.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C. Study-design decisions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7.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Recording retention (90 days) vs. prosody research aims.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The 90-day window erodes the participant-audio corpus the prosody analysis (eGeMAPS) needs. Decision: the Phase 2 retention window — and it must match the consent language.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8.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Almost no human ground truth.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Current state: 1 human rating vs. 76 LLM evaluations and ~700 automated risk scores — the system's safety evidence is largely a model judging a model. Decision: a human-rating/adjudication protocol (who rates, sampling plan, instrument).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9.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Pre-registered analysis plan.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The LLM-as-second-coder qualitative methodology must be named in the pre-registration, and primary outcome models plus power analysis need PI sign-off before unblinding. Decision: approve the analysis-plan approach so it can be written down as the pre-registration artifact.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D. Decisions already made that should be ratified by the PI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10.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GPT-Live model cutover and "Phase 1 is done, no amendment needed"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(Nathan's call, September 11): the voice backend was fully replaced between phases. Needs your confirmation that Phase 1 enrollment is closed and the cutover lands cleanly between phases.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11.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Privacy incident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(15,949 raw pre-redaction transcripts retained at OpenAI; fixed, purged, IRB write-up filed September 10). Needs: confirmation you have seen the report and agree with the disposition. Root-cause remediation is items 4–5 above.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12.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Phase 2 telemetry expansion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(acoustic features, engagement events — feature-flagged OFF until approval). You are effectively signing this in items 1–2; flagging it explicitly rather than letting it ride in the paste.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E. Study ops and personnel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13.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Research team needs to be told old accounts are void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(production database fresh start August 28; participants get re-created). Needs you or the study coordinator to communicate re-onboarding to the team.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14.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New collaborator (from our September 14 meeting):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needs a name and start date from you. Before they touch participant data: IRB personnel amendment, CITI training, and data-access scoping. A ready-to-hand-off lane of self-contained, non-safety-critical work is already prepared.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F. Intellectual property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15.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Developer allocation settled in writing while still hypothetical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(per the conception-record / TTO plan). Needs: a short written-agreement conversation.</w:t>
      </w:r>
    </w:p>
    <w:p>
      <w:pPr/>
      <w:r>
        <w:rPr>
          <w:rFonts w:ascii="Georgia" w:hAnsi="Georgia" w:cs="Georgia"/>
          <w:sz w:val="32"/>
          <w:sz-cs w:val="32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Additions from the September 14 meeting follow-through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16.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Exit Survey question X3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("What did you use the AI support agent for most?") is arguably computable from session topic analysis. Your call under the "measure objectively where we can" rule: keep it as a perception measure, or remove it.</w:t>
      </w:r>
    </w:p>
    <w:p>
      <w:pPr>
        <w:ind w:left="480" w:first-line="-480"/>
        <w:spacing w:after="223"/>
      </w:pP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17.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</w:t>
      </w:r>
      <w:r>
        <w:rPr>
          <w:rFonts w:ascii="Georgia" w:hAnsi="Georgia" w:cs="Georgia"/>
          <w:sz w:val="32"/>
          <w:sz-cs w:val="32"/>
          <w:b/>
          <w:spacing w:val="0"/>
          <w:color w:val="141414"/>
        </w:rPr>
        <w:t xml:space="preserve">FYI for the next IRB touchpoint: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per your direction, the two self-report usage questions (times used, voice/text) were removed from the live Weekly Check-in survey on September 14 — usage and modality are now measured from app telemetry. This is a reduction in data collected, but worth noting in the next amendment or continuing-review report.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Already executed from that meeting (no action needed): removal of the computable weekly survey questions, removal of orange from the app and survey styling, and the caseworker catch-up view.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