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1151" w14:textId="21B7B6C5" w:rsidR="001A0C1E" w:rsidRPr="001A0C1E" w:rsidRDefault="001A0C1E" w:rsidP="007453C0">
      <w:pPr>
        <w:rPr>
          <w:b/>
          <w:bCs/>
        </w:rPr>
      </w:pPr>
      <w:r w:rsidRPr="001A0C1E">
        <w:rPr>
          <w:b/>
          <w:bCs/>
        </w:rPr>
        <w:t xml:space="preserve">CEJM : </w:t>
      </w:r>
      <w:r w:rsidRPr="001A0C1E">
        <w:rPr>
          <w:b/>
          <w:bCs/>
        </w:rPr>
        <w:t>"Évolution de l'inflation en France : Analyse des fluctuations économiques de 1991 à 2022</w:t>
      </w:r>
    </w:p>
    <w:p w14:paraId="0F3607F9" w14:textId="77777777" w:rsidR="001A0C1E" w:rsidRDefault="001A0C1E" w:rsidP="007453C0"/>
    <w:p w14:paraId="3C403460" w14:textId="003BC855" w:rsidR="007453C0" w:rsidRDefault="007453C0" w:rsidP="007453C0">
      <w:r>
        <w:t>Entre 1991 et 1999, le taux d’inflation en France a globalement diminué, malgré une hausse enregistrée entre 1994 et 1996. Cette période reflète une phase de désinflation (ralentissement de la hausse des prix). De 1999 à 2003, les prix ont augmenté, avant de diminuer jusqu’en 2007. Entre 2007 et 2008, l’inflation est passée de 1,5 % à 2,7 %. La grande récession a ensuite marqué une forte chute de l’inflation, passant de 2,7 % en 2008 à 0,1 % en 2009, ce qui a fait craindre un risque de déflation.</w:t>
      </w:r>
    </w:p>
    <w:p w14:paraId="7D54FA15" w14:textId="00EC2B75" w:rsidR="007453C0" w:rsidRDefault="007453C0" w:rsidP="007453C0">
      <w:r>
        <w:t>Entre 2009 et 2011, l’inflation a atteint 2,1 % en 2011. La crise de la dette souveraine de l’Union européenne en 2012 a mis un coup d’arrêt à la hausse des prix, entraînant un taux d’inflation proche de 0 % entre 2011 et 2015.</w:t>
      </w:r>
    </w:p>
    <w:p w14:paraId="3263B780" w14:textId="400AFF2D" w:rsidR="007453C0" w:rsidRDefault="007453C0" w:rsidP="007453C0">
      <w:r>
        <w:t>En dépit d’un ralentissement de l’inflation en 2020, dû à la pandémie de COVID-19 (baisse des ventes et de la demande), la reprise post-COVID, la guerre, et les effets du réchauffement climatique ont contribué à une forte hausse des prix, atteignant 5,2 % en 2022.</w:t>
      </w:r>
    </w:p>
    <w:sectPr w:rsidR="007453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62"/>
    <w:rsid w:val="001A0C1E"/>
    <w:rsid w:val="007453C0"/>
    <w:rsid w:val="009576B7"/>
    <w:rsid w:val="00AB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82232"/>
  <w15:chartTrackingRefBased/>
  <w15:docId w15:val="{1E764C0E-1118-4E8E-8C98-DA8A67AC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4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4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4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4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4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4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4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43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43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43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43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43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43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4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43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43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43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43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4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Castro</dc:creator>
  <cp:keywords/>
  <dc:description/>
  <cp:lastModifiedBy>Nathan Castro</cp:lastModifiedBy>
  <cp:revision>1</cp:revision>
  <dcterms:created xsi:type="dcterms:W3CDTF">2025-03-21T12:50:00Z</dcterms:created>
  <dcterms:modified xsi:type="dcterms:W3CDTF">2025-03-21T13:12:00Z</dcterms:modified>
</cp:coreProperties>
</file>