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widowControl/>
      </w:pPr>
      <w:r>
        <w:t>A.E  ReasoningFlow annotation guide: Tool calls and web search</w:t>
      </w:r>
    </w:p>
    <w:p>
      <w:pPr>
        <w:keepNext w:val="0"/>
        <w:widowControl/>
        <w:spacing w:after="200" w:before="0" w:line="257" w:lineRule="auto"/>
      </w:pPr>
      <w:r>
        <w:rPr>
          <w:rFonts w:ascii="Times New Roman" w:hAnsi="Times New Roman" w:cs="Times New Roman"/>
          <w:i/>
          <w:sz w:val="18"/>
        </w:rPr>
        <w:t>Proposed ReasoningFlow annotation supplement | Nathan Conklin | Version 0.2 | 12 October 2026</w:t>
      </w:r>
    </w:p>
    <w:p>
      <w:pPr>
        <w:pStyle w:val="Heading1"/>
        <w:keepNext/>
        <w:pageBreakBefore w:val="0"/>
        <w:widowControl/>
      </w:pPr>
      <w:r>
        <w:t>A.E0  Implementation update: Client-side annotation without an LLM</w:t>
      </w:r>
    </w:p>
    <w:p>
      <w:pPr>
        <w:pStyle w:val="Heading2"/>
        <w:keepNext/>
        <w:pageBreakBefore w:val="0"/>
        <w:widowControl/>
      </w:pPr>
      <w:r>
        <w:t>Design decision and OMI rationale</w:t>
      </w:r>
    </w:p>
    <w:p>
      <w:pPr>
        <w:keepNext w:val="0"/>
        <w:pageBreakBefore w:val="0"/>
        <w:widowControl/>
        <w:spacing w:before="0" w:after="120" w:line="257" w:lineRule="auto"/>
      </w:pPr>
      <w:r>
        <w:rPr>
          <w:rFonts w:ascii="Times New Roman" w:hAnsi="Times New Roman"/>
          <w:color w:val="000000"/>
          <w:sz w:val="21"/>
        </w:rPr>
        <w:t>The revised implementation computes ReasoningFlow entirely on the client, without an LLM or any other model inference for annotation. The reason for this change is faster OMI feedback: the user should receive node-type coloring and selection feedback without the interface waiting on additional LLM calls. Local processing removes the annotation-request dependency while the primary chat continues to stream. Text rendering remains independent of annotation readiness, and hover and selection read the annotations already held in memory. Faster feedback is the design objective; no measured latency improvement is claimed here.</w:t>
      </w:r>
    </w:p>
    <w:p>
      <w:pPr>
        <w:keepNext w:val="0"/>
        <w:pageBreakBefore w:val="0"/>
        <w:widowControl/>
        <w:spacing w:before="0" w:after="120" w:line="257" w:lineRule="auto"/>
      </w:pPr>
      <w:r>
        <w:rPr>
          <w:rFonts w:ascii="Times New Roman" w:hAnsi="Times New Roman"/>
          <w:color w:val="000000"/>
          <w:sz w:val="21"/>
        </w:rPr>
        <w:t>The original ReasoningFlow automatic pipeline uses rule-based coarse segmentation followed by LLM-based fine segmentation, node classification, a separate Conclusion update, and incoming-edge annotation for each destination node. This implementation retains the paper's vocabulary but replaces that automated annotation mechanism with deterministic parsing and conservative rules. The paper's annotation results do not validate this replacement. [1, §4.2; Appendix C.1; Appendix I]</w:t>
      </w:r>
    </w:p>
    <w:p>
      <w:pPr>
        <w:pStyle w:val="Heading2"/>
        <w:keepNext/>
        <w:pageBreakBefore w:val="0"/>
        <w:widowControl/>
      </w:pPr>
      <w:r>
        <w:t>Processing boundary and unchanged interface</w:t>
      </w:r>
    </w:p>
    <w:p>
      <w:pPr>
        <w:keepNext w:val="0"/>
        <w:pageBreakBefore w:val="0"/>
        <w:widowControl/>
        <w:spacing w:before="0" w:after="120" w:line="257" w:lineRule="auto"/>
      </w:pPr>
      <w:r>
        <w:rPr>
          <w:rFonts w:ascii="Times New Roman" w:hAnsi="Times New Roman"/>
          <w:color w:val="000000"/>
          <w:sz w:val="21"/>
        </w:rPr>
        <w:t xml:space="preserve">Only ReasoningFlow annotation loses model inference. The application's primary chat generation, streamed </w:t>
      </w:r>
      <w:r>
        <w:rPr>
          <w:rFonts w:ascii="Courier New" w:hAnsi="Courier New"/>
          <w:color w:val="000000"/>
          <w:sz w:val="18"/>
        </w:rPr>
        <w:t>reasoning_content</w:t>
      </w:r>
      <w:r>
        <w:rPr>
          <w:rFonts w:ascii="Times New Roman" w:hAnsi="Times New Roman"/>
          <w:color w:val="000000"/>
          <w:sz w:val="21"/>
        </w:rPr>
        <w:t>, tool execution, and web-search behavior remain unchanged. Annotation uses ordinary text parsing, lexical comparisons, source mappings, and recorded execution events. It has no LLM fallback, embedding model, learned local classifier, or extra analysis request. Normal loading of saved conversation records is allowed; annotation must not rerun tools or retrieve missing pages.</w:t>
      </w:r>
    </w:p>
    <w:p>
      <w:pPr>
        <w:keepNext w:val="0"/>
        <w:pageBreakBefore w:val="0"/>
        <w:widowControl/>
        <w:spacing w:before="0" w:after="120" w:line="257" w:lineRule="auto"/>
      </w:pPr>
      <w:r>
        <w:rPr>
          <w:rFonts w:ascii="Times New Roman" w:hAnsi="Times New Roman"/>
          <w:color w:val="000000"/>
          <w:sz w:val="21"/>
        </w:rPr>
        <w:t>The refactor preserves the existing Reasoning Card, its hover highlights, persistent sentence and multi-paragraph selections, mixed-type red outline, synchronized Legend readouts, and approved legend image. All 11 node types and 20 edge labels remain available. Their meanings, colors, box shapes, and line patterns do not change. Different rules may produce different labels or leave more text unclassified; this changes annotation coverage, not the interaction design. The in-memory structure remains named ReasoningFlow and remains reusable by the future Reasoning Tree view.</w:t>
      </w:r>
    </w:p>
    <w:p>
      <w:pPr>
        <w:pStyle w:val="Heading2"/>
        <w:keepNext/>
        <w:pageBreakBefore w:val="0"/>
        <w:widowControl/>
      </w:pPr>
      <w:r>
        <w:t>Deterministic node and relationship annotation</w:t>
      </w:r>
    </w:p>
    <w:p>
      <w:pPr>
        <w:keepNext w:val="0"/>
        <w:pageBreakBefore w:val="0"/>
        <w:widowControl/>
        <w:spacing w:before="0" w:after="120" w:line="257" w:lineRule="auto"/>
      </w:pPr>
      <w:r>
        <w:rPr>
          <w:rFonts w:ascii="Times New Roman" w:hAnsi="Times New Roman"/>
          <w:color w:val="000000"/>
          <w:sz w:val="21"/>
        </w:rPr>
        <w:t xml:space="preserve">Known source identity establishes </w:t>
      </w:r>
      <w:r>
        <w:rPr>
          <w:rFonts w:ascii="Courier New" w:hAnsi="Courier New"/>
          <w:color w:val="000000"/>
          <w:sz w:val="18"/>
          <w:shd w:val="clear" w:fill="CDEFEF"/>
        </w:rPr>
        <w:t>ToolCall</w:t>
      </w:r>
      <w:r>
        <w:rPr>
          <w:rFonts w:ascii="Times New Roman" w:hAnsi="Times New Roman"/>
          <w:color w:val="000000"/>
          <w:sz w:val="21"/>
        </w:rPr>
        <w:t xml:space="preserve"> for a recorded request, </w:t>
      </w:r>
      <w:r>
        <w:rPr>
          <w:rFonts w:ascii="Courier New" w:hAnsi="Courier New"/>
          <w:color w:val="000000"/>
          <w:sz w:val="18"/>
          <w:shd w:val="clear" w:fill="D9E7FC"/>
        </w:rPr>
        <w:t>ToolResult</w:t>
      </w:r>
      <w:r>
        <w:rPr>
          <w:rFonts w:ascii="Times New Roman" w:hAnsi="Times New Roman"/>
          <w:color w:val="000000"/>
          <w:sz w:val="21"/>
        </w:rPr>
        <w:t xml:space="preserve"> for its observed response, and </w:t>
      </w:r>
      <w:r>
        <w:rPr>
          <w:rFonts w:ascii="Courier New" w:hAnsi="Courier New"/>
          <w:color w:val="000000"/>
          <w:sz w:val="18"/>
          <w:shd w:val="clear" w:fill="E0E0E0"/>
        </w:rPr>
        <w:t>Context</w:t>
      </w:r>
      <w:r>
        <w:rPr>
          <w:rFonts w:ascii="Times New Roman" w:hAnsi="Times New Roman"/>
          <w:color w:val="000000"/>
          <w:sz w:val="21"/>
        </w:rPr>
        <w:t xml:space="preserve"> for traceable supplied evidence. Generated reasoning text is classified separately using guarded rules for intentions, evaluations, assumptions, answer assertions, and narrowly recognized restatements or derivations. Rules must account for context, exclusions, and quoted text. A keyword alone does not establish a role; for example, “I think the answer is 17” is not automatically </w:t>
      </w:r>
      <w:r>
        <w:rPr>
          <w:rFonts w:ascii="Courier New" w:hAnsi="Courier New"/>
          <w:color w:val="000000"/>
          <w:sz w:val="18"/>
          <w:shd w:val="clear" w:fill="A0C4FF"/>
        </w:rPr>
        <w:t>Reflection</w:t>
      </w:r>
      <w:r>
        <w:rPr>
          <w:rFonts w:ascii="Times New Roman" w:hAnsi="Times New Roman"/>
          <w:color w:val="000000"/>
          <w:sz w:val="21"/>
        </w:rPr>
        <w:t xml:space="preserve">. Unmatched text must not default to </w:t>
      </w:r>
      <w:r>
        <w:rPr>
          <w:rFonts w:ascii="Courier New" w:hAnsi="Courier New"/>
          <w:color w:val="000000"/>
          <w:sz w:val="18"/>
          <w:shd w:val="clear" w:fill="FDFFB6"/>
        </w:rPr>
        <w:t>Reasoning</w:t>
      </w:r>
      <w:r>
        <w:rPr>
          <w:rFonts w:ascii="Times New Roman" w:hAnsi="Times New Roman"/>
          <w:color w:val="000000"/>
          <w:sz w:val="21"/>
        </w:rPr>
        <w:t xml:space="preserve"> or </w:t>
      </w:r>
      <w:r>
        <w:rPr>
          <w:rFonts w:ascii="Courier New" w:hAnsi="Courier New"/>
          <w:color w:val="000000"/>
          <w:sz w:val="18"/>
          <w:shd w:val="clear" w:fill="FFD6A5"/>
        </w:rPr>
        <w:t>Fact</w:t>
      </w:r>
      <w:r>
        <w:rPr>
          <w:rFonts w:ascii="Times New Roman" w:hAnsi="Times New Roman"/>
          <w:color w:val="000000"/>
          <w:sz w:val="21"/>
        </w:rPr>
        <w:t>.</w:t>
      </w:r>
    </w:p>
    <w:p>
      <w:pPr>
        <w:keepNext w:val="0"/>
        <w:pageBreakBefore w:val="0"/>
        <w:widowControl/>
        <w:spacing w:before="0" w:after="120" w:line="257" w:lineRule="auto"/>
      </w:pPr>
      <w:r>
        <w:rPr>
          <w:rFonts w:ascii="Times New Roman" w:hAnsi="Times New Roman"/>
          <w:color w:val="000000"/>
          <w:sz w:val="21"/>
        </w:rPr>
        <w:t xml:space="preserve">Call identifiers support </w:t>
      </w:r>
      <w:r>
        <w:rPr>
          <w:rFonts w:ascii="Courier New" w:hAnsi="Courier New"/>
          <w:color w:val="000000"/>
          <w:sz w:val="18"/>
          <w:shd w:val="clear" w:fill="D8F4F4"/>
        </w:rPr>
        <w:t>returns</w:t>
      </w:r>
      <w:r>
        <w:rPr>
          <w:rFonts w:ascii="Times New Roman" w:hAnsi="Times New Roman"/>
          <w:color w:val="000000"/>
          <w:sz w:val="21"/>
        </w:rPr>
        <w:t xml:space="preserve">; extraction mappings support </w:t>
      </w:r>
      <w:r>
        <w:rPr>
          <w:rFonts w:ascii="Courier New" w:hAnsi="Courier New"/>
          <w:color w:val="000000"/>
          <w:sz w:val="18"/>
          <w:shd w:val="clear" w:fill="D8F4F4"/>
        </w:rPr>
        <w:t>provides</w:t>
      </w:r>
      <w:r>
        <w:rPr>
          <w:rFonts w:ascii="Times New Roman" w:hAnsi="Times New Roman"/>
          <w:color w:val="000000"/>
          <w:sz w:val="21"/>
        </w:rPr>
        <w:t xml:space="preserve">; resolved explicit source references support </w:t>
      </w:r>
      <w:r>
        <w:rPr>
          <w:rFonts w:ascii="Courier New" w:hAnsi="Courier New"/>
          <w:color w:val="000000"/>
          <w:sz w:val="18"/>
          <w:shd w:val="clear" w:fill="EEDFF8"/>
        </w:rPr>
        <w:t>cites</w:t>
      </w:r>
      <w:r>
        <w:rPr>
          <w:rFonts w:ascii="Times New Roman" w:hAnsi="Times New Roman"/>
          <w:color w:val="000000"/>
          <w:sz w:val="21"/>
        </w:rPr>
        <w:t xml:space="preserve">; recorded retry lineage supports </w:t>
      </w:r>
      <w:r>
        <w:rPr>
          <w:rFonts w:ascii="Courier New" w:hAnsi="Courier New"/>
          <w:color w:val="000000"/>
          <w:sz w:val="18"/>
          <w:shd w:val="clear" w:fill="EEDFF8"/>
        </w:rPr>
        <w:t>retry_of</w:t>
      </w:r>
      <w:r>
        <w:rPr>
          <w:rFonts w:ascii="Times New Roman" w:hAnsi="Times New Roman"/>
          <w:color w:val="000000"/>
          <w:sz w:val="21"/>
        </w:rPr>
        <w:t xml:space="preserve">. Inferred </w:t>
      </w:r>
      <w:r>
        <w:rPr>
          <w:rFonts w:ascii="Courier New" w:hAnsi="Courier New"/>
          <w:color w:val="000000"/>
          <w:sz w:val="18"/>
          <w:shd w:val="clear" w:fill="D8F4F4"/>
        </w:rPr>
        <w:t>invokes</w:t>
      </w:r>
      <w:r>
        <w:rPr>
          <w:rFonts w:ascii="Times New Roman" w:hAnsi="Times New Roman"/>
          <w:color w:val="000000"/>
          <w:sz w:val="21"/>
        </w:rPr>
        <w:t xml:space="preserve">, </w:t>
      </w:r>
      <w:r>
        <w:rPr>
          <w:rFonts w:ascii="Courier New" w:hAnsi="Courier New"/>
          <w:color w:val="000000"/>
          <w:sz w:val="18"/>
          <w:shd w:val="clear" w:fill="EEDFF8"/>
        </w:rPr>
        <w:t>grounded_in</w:t>
      </w:r>
      <w:r>
        <w:rPr>
          <w:rFonts w:ascii="Times New Roman" w:hAnsi="Times New Roman"/>
          <w:color w:val="000000"/>
          <w:sz w:val="21"/>
        </w:rPr>
        <w:t>, and original semantic edges require a documented rule and supporting evidence. Adjacency, a shared topic, or a citation alone must not create a semantic dependency. Preserve earlier-to-later endpoints and valid multiple labels between the same nodes. Keep uncertain relationships absent rather than forcing a connected graph.</w:t>
      </w:r>
    </w:p>
    <w:p>
      <w:pPr>
        <w:pStyle w:val="Heading1"/>
        <w:keepNext/>
        <w:pageBreakBefore/>
        <w:widowControl/>
      </w:pPr>
      <w:r>
        <w:t>A.E0  Client-side annotation without an LLM (continued)</w:t>
      </w:r>
    </w:p>
    <w:p>
      <w:pPr>
        <w:pStyle w:val="Heading2"/>
        <w:keepNext/>
        <w:pageBreakBefore w:val="0"/>
        <w:widowControl/>
      </w:pPr>
      <w:r>
        <w:t>Paragraph-triggered streaming and local reconciliation</w:t>
      </w:r>
    </w:p>
    <w:p>
      <w:pPr>
        <w:keepNext w:val="0"/>
        <w:pageBreakBefore w:val="0"/>
        <w:widowControl/>
        <w:spacing w:before="0" w:after="120" w:line="257" w:lineRule="auto"/>
      </w:pPr>
      <w:r>
        <w:rPr>
          <w:rFonts w:ascii="Times New Roman" w:hAnsi="Times New Roman"/>
          <w:color w:val="000000"/>
          <w:sz w:val="21"/>
        </w:rPr>
        <w:t>Capture incoming text without blocking its display. When a paragraph or supported block is complete, segment it into sentence or justified clause spans, apply role rules, add evidenced relationships, and update the in-memory graph. Paragraphs are scheduling units; they are not automatically single nodes. Protect code and equation blocks, retain an unfinished tail, and preserve exact source offsets. Do not annotate on every token, pause, or mouse event. Structured tool records and directly evidenced associations can update as their events arrive. Use bounded batches or a client-side worker where needed so local analysis does not monopolize the interface thread.</w:t>
      </w:r>
    </w:p>
    <w:p>
      <w:pPr>
        <w:keepNext w:val="0"/>
        <w:pageBreakBefore w:val="0"/>
        <w:widowControl/>
        <w:spacing w:before="0" w:after="120" w:line="257" w:lineRule="auto"/>
      </w:pPr>
      <w:r>
        <w:rPr>
          <w:rFonts w:ascii="Times New Roman" w:hAnsi="Times New Roman"/>
          <w:color w:val="000000"/>
          <w:sz w:val="21"/>
        </w:rPr>
        <w:t xml:space="preserve">At the authoritative interaction-completion boundary, process the final usable paragraph even without a trailing delimiter. Resolve remaining references, revisit rules whose context has become available, and validate span alignment, endpoint types, chronological availability, and acyclicity. Repair relationships affected by changed nodes; preserve unchanged recorded associations. A pause or tool handoff is not necessarily completion. Cancelled or failed interactions retain their incomplete status. Reconciliation must not import the separate final-answer card, manufacture a </w:t>
      </w:r>
      <w:r>
        <w:rPr>
          <w:rFonts w:ascii="Courier New" w:hAnsi="Courier New"/>
          <w:color w:val="000000"/>
          <w:sz w:val="18"/>
          <w:shd w:val="clear" w:fill="C3B1E1"/>
        </w:rPr>
        <w:t>Conclusion</w:t>
      </w:r>
      <w:r>
        <w:rPr>
          <w:rFonts w:ascii="Times New Roman" w:hAnsi="Times New Roman"/>
          <w:color w:val="000000"/>
          <w:sz w:val="21"/>
        </w:rPr>
        <w:t>, or attribute later evidence to an earlier statement.</w:t>
      </w:r>
    </w:p>
    <w:p>
      <w:pPr>
        <w:keepNext w:val="0"/>
        <w:pageBreakBefore w:val="0"/>
        <w:widowControl/>
        <w:spacing w:before="0" w:after="120" w:line="257" w:lineRule="auto"/>
      </w:pPr>
      <w:r>
        <w:rPr>
          <w:rFonts w:ascii="Times New Roman" w:hAnsi="Times New Roman"/>
          <w:color w:val="000000"/>
          <w:sz w:val="21"/>
        </w:rPr>
        <w:t>This final pass is deterministic completion and consistency checking, not an independent semantic review. Repeating a rule with identical inputs does not correct its systematic errors. Publish a consistent graph revision and preserve selections through source-range mapping when nodes split, merge, or change type. Reject stale results from older generations; hover, clicks, dragging, and Legend display continue to use cached annotations without starting analysis.</w:t>
      </w:r>
    </w:p>
    <w:p>
      <w:pPr>
        <w:pStyle w:val="Heading2"/>
        <w:keepNext/>
        <w:pageBreakBefore w:val="0"/>
        <w:widowControl/>
      </w:pPr>
      <w:r>
        <w:t>First-view computation for older conversations</w:t>
      </w:r>
    </w:p>
    <w:p>
      <w:pPr>
        <w:keepNext w:val="0"/>
        <w:pageBreakBefore w:val="0"/>
        <w:widowControl/>
        <w:spacing w:before="0" w:after="120" w:line="257" w:lineRule="auto"/>
      </w:pPr>
      <w:r>
        <w:rPr>
          <w:rFonts w:ascii="Times New Roman" w:hAnsi="Times New Roman"/>
          <w:color w:val="000000"/>
          <w:sz w:val="21"/>
        </w:rPr>
        <w:t>When an older conversation is selected and saved reasoning has loaded sufficiently for its existing Reasoning Card to be available for viewing, compute any missing ReasoningFlow using the same client-side rules. Process the available completed paragraphs in bounded batches and reconcile the loaded record without waiting for a live completion event. Preserve its original complete, incomplete, or unknown status. Use saved tool and citation records when available; missing records do not justify reconstructed executions, regenerated reasoning, or substituted final-answer text.</w:t>
      </w:r>
    </w:p>
    <w:p>
      <w:pPr>
        <w:keepNext w:val="0"/>
        <w:pageBreakBefore w:val="0"/>
        <w:widowControl/>
        <w:spacing w:before="0" w:after="120" w:line="257" w:lineRule="auto"/>
      </w:pPr>
      <w:r>
        <w:rPr>
          <w:rFonts w:ascii="Times New Roman" w:hAnsi="Times New Roman"/>
          <w:color w:val="000000"/>
          <w:sz w:val="21"/>
        </w:rPr>
        <w:t>Reuse compatible in-memory results across repeat views and ordinary navigation. Key cached work to the owning conversation/card, source identity or revision, and rule version; deduplicate in-progress work and prevent results from being applied to a different conversation. Do not precompute the entire history library or overwrite saved source content. “First view” applies within the retained cache lifetime; a full application reload or eviction may require recomputation. No new persistent storage is introduced.</w:t>
      </w:r>
    </w:p>
    <w:p>
      <w:pPr>
        <w:pStyle w:val="Heading2"/>
        <w:keepNext/>
        <w:pageBreakBefore w:val="0"/>
        <w:widowControl/>
      </w:pPr>
      <w:r>
        <w:t>How to apply the existing annotation guide</w:t>
      </w:r>
    </w:p>
    <w:p>
      <w:pPr>
        <w:keepNext w:val="0"/>
        <w:pageBreakBefore w:val="0"/>
        <w:widowControl/>
        <w:spacing w:before="0" w:after="120" w:line="257" w:lineRule="auto"/>
      </w:pPr>
      <w:r>
        <w:rPr>
          <w:rFonts w:ascii="Times New Roman" w:hAnsi="Times New Roman"/>
          <w:color w:val="000000"/>
          <w:sz w:val="21"/>
        </w:rPr>
        <w:t xml:space="preserve">The following label definitions, examples, endpoint restrictions, and legend remain the semantic contract. They define a valid annotation, not a guarantee that deterministic rules will identify every instance. In this implementation, “annotator” may refer to a rule-based annotator; </w:t>
      </w:r>
      <w:r>
        <w:rPr>
          <w:rFonts w:ascii="Courier New" w:hAnsi="Courier New"/>
          <w:color w:val="000000"/>
          <w:sz w:val="18"/>
        </w:rPr>
        <w:t>annotator_inferred</w:t>
      </w:r>
      <w:r>
        <w:rPr>
          <w:rFonts w:ascii="Times New Roman" w:hAnsi="Times New Roman"/>
          <w:color w:val="000000"/>
          <w:sz w:val="21"/>
        </w:rPr>
        <w:t xml:space="preserve"> does not require an LLM. Retain the evidence-method distinctions already defined in this appendix, and identify the responsible rule and version in supporting metadata. Pending or unclassified text is a status, not an additional node type or color; it keeps the default appearance while remaining selectable.</w:t>
      </w:r>
    </w:p>
    <w:p>
      <w:pPr>
        <w:keepNext w:val="0"/>
        <w:pageBreakBefore w:val="0"/>
        <w:widowControl/>
        <w:spacing w:before="0" w:after="120" w:line="257" w:lineRule="auto"/>
      </w:pPr>
      <w:r>
        <w:rPr>
          <w:rFonts w:ascii="Times New Roman" w:hAnsi="Times New Roman"/>
          <w:color w:val="000000"/>
          <w:sz w:val="21"/>
        </w:rPr>
        <w:t>The expected tradeoff is lower or different semantic coverage in exchange for removing additional model-call latency from OMI feedback. Conservative abstention is preferable to an unsupported color or relationship. Evaluate feedback delay, classification coverage, rule errors, and graph consistency on representative traces. This profile makes no claim of equivalence to the original LLM annotations, measured speedup, or recovery of the model's hidden computational path.</w:t>
      </w:r>
    </w:p>
    <w:p>
      <w:pPr>
        <w:keepNext w:val="0"/>
        <w:pageBreakBefore w:val="0"/>
        <w:widowControl/>
        <w:spacing w:before="0" w:after="120" w:line="257" w:lineRule="auto"/>
      </w:pPr>
      <w:r>
        <w:rPr>
          <w:rFonts w:ascii="Times New Roman" w:hAnsi="Times New Roman"/>
          <w:i/>
          <w:color w:val="000000"/>
          <w:sz w:val="18"/>
        </w:rPr>
        <w:t>Design basis: ReasoningFlowClientSideRefactorPlanningPrompt.md, including first-view historical backfill (§§1, 3–10), and the OMI-feedback rationale requested in this conversation. This section supersedes earlier LLM-annotation requirements; the annotation taxonomy below is retained.</w:t>
      </w:r>
    </w:p>
    <w:p>
      <w:pPr>
        <w:pStyle w:val="Heading2"/>
        <w:pageBreakBefore/>
        <w:widowControl/>
      </w:pPr>
      <w:r>
        <w:t>Purpose and relationship to the paper</w:t>
      </w:r>
    </w:p>
    <w:p>
      <w:pPr>
        <w:keepNext w:val="0"/>
        <w:widowControl/>
        <w:spacing w:after="120" w:before="0" w:line="257" w:lineRule="auto"/>
      </w:pPr>
      <w:r>
        <w:rPr>
          <w:rFonts w:ascii="Times New Roman" w:hAnsi="Times New Roman" w:cs="Times New Roman"/>
          <w:i w:val="0"/>
          <w:sz w:val="21"/>
        </w:rPr>
        <w:t>ReasoningFlow annotates the discourse structure of an expressed reasoning trace with eight reasoning-node types, a Context category, and 14 semantic edge labels. Its Context definition already includes retrieved documents and tool responses. This supplement retains those definitions and adds ToolCall and ToolResult to represent the structured request and returned payload that occur between a plan and external evidence. Six added relationships connect expressed intent to invocation, calls to results, results to evidence spans, and evidence to later statements; they also record explicit citations and technical retries. Web search is a retrieval subtype of ToolCall. These additions produce a profile with 11 node types and 20 edge types. The operational and provenance extension is proposed in the accompanying design discussion; it was not introduced or evaluated by Lee et al. [1, §3; Appendix A; 2]</w:t>
      </w:r>
    </w:p>
    <w:p>
      <w:pPr>
        <w:pStyle w:val="Heading2"/>
        <w:pageBreakBefore w:val="0"/>
        <w:widowControl/>
      </w:pPr>
      <w:r>
        <w:t>Scope of this supplement</w:t>
      </w:r>
    </w:p>
    <w:p>
      <w:pPr>
        <w:keepNext w:val="0"/>
        <w:widowControl/>
        <w:spacing w:after="120" w:before="0" w:line="257" w:lineRule="auto"/>
      </w:pPr>
      <w:r>
        <w:rPr>
          <w:rFonts w:ascii="Times New Roman" w:hAnsi="Times New Roman" w:cs="Times New Roman"/>
          <w:i w:val="0"/>
          <w:sz w:val="21"/>
        </w:rPr>
        <w:t>Use this document with Appendix A of the supplied ReasoningFlow paper. The original node definitions appear in Table 3 and the original edge definitions in Table 4. Tables A.E1–A.E8 below add two node labels and six relationship labels in the same Label, Description, Subtype, and Example format. Original labels retain their source definitions and color coding. New labels are marked as additions. Examples in this supplement are synthetic annotation examples, not records of real searches or observed model behavior.</w:t>
      </w:r>
    </w:p>
    <w:p>
      <w:pPr>
        <w:pStyle w:val="Heading2"/>
        <w:pageBreakBefore w:val="0"/>
        <w:widowControl/>
      </w:pPr>
      <w:r>
        <w:t>Annotation unit and source boundary</w:t>
      </w:r>
    </w:p>
    <w:p>
      <w:pPr>
        <w:keepNext w:val="0"/>
        <w:widowControl/>
        <w:spacing w:after="120" w:before="0" w:line="257" w:lineRule="auto"/>
      </w:pPr>
      <w:r>
        <w:rPr>
          <w:rFonts w:ascii="Times New Roman" w:hAnsi="Times New Roman" w:cs="Times New Roman"/>
          <w:i w:val="0"/>
          <w:sz w:val="21"/>
        </w:rPr>
        <w:t>An original reasoning node remains a contiguous, nonoverlapping text span in its own source message. ToolCall and ToolResult are structured event records rather than sentence-sized reasoning units. Context nodes can reference exact spans or traceable extractions from a ToolResult. The result envelope and its Context spans occupy different representational layers; their shared bytes are not duplicated reasoning steps. Preserve original messages and payloads, and store source IDs, offsets or JSON pointers, and representation hashes.</w:t>
      </w:r>
    </w:p>
    <w:p>
      <w:pPr>
        <w:pStyle w:val="Heading2"/>
        <w:pageBreakBefore w:val="0"/>
        <w:widowControl/>
      </w:pPr>
      <w:r>
        <w:t>Observed and inferred information</w:t>
      </w:r>
    </w:p>
    <w:p>
      <w:pPr>
        <w:keepNext w:val="0"/>
        <w:widowControl/>
        <w:spacing w:after="120" w:before="0" w:line="257" w:lineRule="auto"/>
      </w:pPr>
      <w:r>
        <w:rPr>
          <w:rFonts w:ascii="Times New Roman" w:hAnsi="Times New Roman" w:cs="Times New Roman"/>
          <w:i w:val="0"/>
          <w:sz w:val="21"/>
        </w:rPr>
        <w:t>Call/result identifiers can establish an execution association. A prose statement that the model will search cannot establish that the call happened. Likewise, a result can exist without being shown to the model, and an explicit citation can exist without supporting the cited claim. Record the evidence method for each edge: runtime_observed, span_derived, explicit_reference, annotator_inferred, or human_reviewed. Human review should retain the original evidence method. These methods are metadata, not new node or relationship labels.</w:t>
      </w:r>
    </w:p>
    <w:p>
      <w:pPr>
        <w:pStyle w:val="Heading2"/>
        <w:pageBreakBefore w:val="0"/>
        <w:widowControl/>
      </w:pPr>
      <w:r>
        <w:t>Compact annotation procedure</w:t>
      </w:r>
    </w:p>
    <w:p>
      <w:pPr>
        <w:keepNext w:val="0"/>
        <w:widowControl/>
        <w:spacing w:after="120" w:before="0" w:line="257" w:lineRule="auto"/>
      </w:pPr>
      <w:r>
        <w:rPr>
          <w:rFonts w:ascii="Times New Roman" w:hAnsi="Times New Roman" w:cs="Times New Roman"/>
          <w:i w:val="0"/>
          <w:sz w:val="21"/>
        </w:rPr>
        <w:t>Begin with the recorded event sequence and the context manifest for the relevant model invocation. Identify actual calls and results, then extract eligible Context spans. Segment and classify the exposed text using the original guide. Add recorded operational links before inferring intent or evidence dependence. Apply the endpoint rules in this supplement, record supporting spans or event IDs, and leave unsupported links absent. During streaming, incomplete units and unresolved associations remain provisional. Reconcile them after the episode closes without inventing missing reasoning.</w:t>
      </w:r>
    </w:p>
    <w:p>
      <w:pPr>
        <w:pStyle w:val="Heading1"/>
        <w:pageBreakBefore/>
        <w:widowControl/>
      </w:pPr>
      <w:r>
        <w:t>A.E1  Approved legend and directional conventions</w:t>
      </w:r>
    </w:p>
    <w:p>
      <w:pPr>
        <w:keepNext/>
        <w:widowControl/>
        <w:spacing w:after="40"/>
        <w:jc w:val="center"/>
      </w:pPr>
      <w:r>
        <w:drawing>
          <wp:inline xmlns:a="http://schemas.openxmlformats.org/drawingml/2006/main" xmlns:pic="http://schemas.openxmlformats.org/drawingml/2006/picture">
            <wp:extent cx="5730544" cy="4297908"/>
            <wp:docPr id="1" name="Picture 1" descr="Approved complete ReasoningFlow plus Tools legend with eleven rectangular node types and twenty edge types"/>
            <wp:cNvGraphicFramePr>
              <a:graphicFrameLocks noChangeAspect="1"/>
            </wp:cNvGraphicFramePr>
            <a:graphic>
              <a:graphicData uri="http://schemas.openxmlformats.org/drawingml/2006/picture">
                <pic:pic>
                  <pic:nvPicPr>
                    <pic:cNvPr id="0" name="approved_legend.png"/>
                    <pic:cNvPicPr/>
                  </pic:nvPicPr>
                  <pic:blipFill>
                    <a:blip r:embed="rId10"/>
                    <a:stretch>
                      <a:fillRect/>
                    </a:stretch>
                  </pic:blipFill>
                  <pic:spPr>
                    <a:xfrm>
                      <a:off x="0" y="0"/>
                      <a:ext cx="5730544" cy="4297908"/>
                    </a:xfrm>
                    <a:prstGeom prst="rect"/>
                  </pic:spPr>
                </pic:pic>
              </a:graphicData>
            </a:graphic>
          </wp:inline>
        </w:drawing>
      </w:r>
    </w:p>
    <w:p>
      <w:pPr>
        <w:keepNext w:val="0"/>
        <w:widowControl/>
        <w:spacing w:after="140" w:before="60" w:line="257" w:lineRule="auto"/>
        <w:jc w:val="center"/>
      </w:pPr>
      <w:r>
        <w:rPr>
          <w:rFonts w:ascii="Times New Roman" w:hAnsi="Times New Roman" w:cs="Times New Roman"/>
          <w:i w:val="0"/>
          <w:sz w:val="18"/>
        </w:rPr>
        <w:t>Figure A.E1: Approved legend from the design discussion. The operational and provenance additions are proposed, not part of the original paper. [2]</w:t>
      </w:r>
    </w:p>
    <w:p>
      <w:pPr>
        <w:keepNext w:val="0"/>
        <w:widowControl/>
        <w:spacing w:after="120" w:before="0" w:line="257" w:lineRule="auto"/>
      </w:pPr>
      <w:r>
        <w:rPr>
          <w:rFonts w:ascii="Times New Roman" w:hAnsi="Times New Roman" w:cs="Times New Roman"/>
          <w:i w:val="0"/>
          <w:sz w:val="20"/>
        </w:rPr>
        <w:t>The graph stores earlier → later endpoints. The names grounded_in, cites, and retry_of read from the later endpoint back to the earlier reference. The table below specifies that convention explicitly.</w:t>
      </w:r>
    </w:p>
    <w:tbl>
      <w:tblPr>
        <w:tblW w:type="auto" w:w="0"/>
        <w:jc w:val="center"/>
        <w:tblLayout w:type="fixed"/>
        <w:tblLook w:firstColumn="1" w:firstRow="1" w:lastColumn="0" w:lastRow="0" w:noHBand="0" w:noVBand="1" w:val="04A0"/>
      </w:tblPr>
      <w:tblGrid>
        <w:gridCol w:w="1483"/>
        <w:gridCol w:w="2880"/>
        <w:gridCol w:w="4661"/>
      </w:tblGrid>
      <w:tr>
        <w:trPr>
          <w:cantSplit/>
          <w:tblHeader/>
        </w:trPr>
        <w:tc>
          <w:tcPr>
            <w:tcW w:type="dxa" w:w="1483"/>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Label</w:t>
            </w:r>
          </w:p>
        </w:tc>
        <w:tc>
          <w:tcPr>
            <w:tcW w:type="dxa" w:w="2880"/>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Stored source → target</w:t>
            </w:r>
          </w:p>
        </w:tc>
        <w:tc>
          <w:tcPr>
            <w:tcW w:type="dxa" w:w="4661"/>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Interpretation</w:t>
            </w:r>
          </w:p>
        </w:tc>
      </w:tr>
      <w:tr>
        <w:trPr>
          <w:cantSplit/>
        </w:trPr>
        <w:tc>
          <w:tcPr>
            <w:tcW w:type="dxa" w:w="148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invokes </w:t>
            </w:r>
          </w:p>
        </w:tc>
        <w:tc>
          <w:tcPr>
            <w:tcW w:type="dxa" w:w="288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Planning → ToolCall</w:t>
            </w:r>
          </w:p>
        </w:tc>
        <w:tc>
          <w:tcPr>
            <w:tcW w:type="dxa" w:w="466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earlier plan is operationalized by the later call.</w:t>
            </w:r>
          </w:p>
        </w:tc>
      </w:tr>
      <w:tr>
        <w:trPr>
          <w:cantSplit/>
        </w:trPr>
        <w:tc>
          <w:tcPr>
            <w:tcW w:type="dxa" w:w="148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returns </w:t>
            </w:r>
          </w:p>
        </w:tc>
        <w:tc>
          <w:tcPr>
            <w:tcW w:type="dxa" w:w="288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ToolCall → ToolResult</w:t>
            </w:r>
          </w:p>
        </w:tc>
        <w:tc>
          <w:tcPr>
            <w:tcW w:type="dxa" w:w="466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earlier call has the later recorded result.</w:t>
            </w:r>
          </w:p>
        </w:tc>
      </w:tr>
      <w:tr>
        <w:trPr>
          <w:cantSplit/>
        </w:trPr>
        <w:tc>
          <w:tcPr>
            <w:tcW w:type="dxa" w:w="148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provides </w:t>
            </w:r>
          </w:p>
        </w:tc>
        <w:tc>
          <w:tcPr>
            <w:tcW w:type="dxa" w:w="288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ToolResult → Context</w:t>
            </w:r>
          </w:p>
        </w:tc>
        <w:tc>
          <w:tcPr>
            <w:tcW w:type="dxa" w:w="466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earlier result supplies the later evidence representation.</w:t>
            </w:r>
          </w:p>
        </w:tc>
      </w:tr>
      <w:tr>
        <w:trPr>
          <w:cantSplit/>
        </w:trPr>
        <w:tc>
          <w:tcPr>
            <w:tcW w:type="dxa" w:w="148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grounded_in </w:t>
            </w:r>
          </w:p>
        </w:tc>
        <w:tc>
          <w:tcPr>
            <w:tcW w:type="dxa" w:w="288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Context → statement</w:t>
            </w:r>
          </w:p>
        </w:tc>
        <w:tc>
          <w:tcPr>
            <w:tcW w:type="dxa" w:w="466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later statement is grounded in the earlier Context.</w:t>
            </w:r>
          </w:p>
        </w:tc>
      </w:tr>
      <w:tr>
        <w:trPr>
          <w:cantSplit/>
        </w:trPr>
        <w:tc>
          <w:tcPr>
            <w:tcW w:type="dxa" w:w="148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cites </w:t>
            </w:r>
          </w:p>
        </w:tc>
        <w:tc>
          <w:tcPr>
            <w:tcW w:type="dxa" w:w="288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Context → citing statement</w:t>
            </w:r>
          </w:p>
        </w:tc>
        <w:tc>
          <w:tcPr>
            <w:tcW w:type="dxa" w:w="466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later statement cites the earlier Context/source.</w:t>
            </w:r>
          </w:p>
        </w:tc>
      </w:tr>
      <w:tr>
        <w:trPr>
          <w:cantSplit/>
        </w:trPr>
        <w:tc>
          <w:tcPr>
            <w:tcW w:type="dxa" w:w="148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retry_of </w:t>
            </w:r>
          </w:p>
        </w:tc>
        <w:tc>
          <w:tcPr>
            <w:tcW w:type="dxa" w:w="288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earlier ToolCall → later ToolCall</w:t>
            </w:r>
          </w:p>
        </w:tc>
        <w:tc>
          <w:tcPr>
            <w:tcW w:type="dxa" w:w="466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later call is a retry of the earlier call.</w:t>
            </w:r>
          </w:p>
        </w:tc>
      </w:tr>
    </w:tbl>
    <w:p>
      <w:pPr>
        <w:keepNext w:val="0"/>
        <w:widowControl/>
        <w:spacing w:after="120" w:before="100" w:line="257" w:lineRule="auto"/>
      </w:pPr>
      <w:r>
        <w:rPr>
          <w:rFonts w:ascii="Times New Roman" w:hAnsi="Times New Roman" w:cs="Times New Roman"/>
          <w:i w:val="0"/>
          <w:sz w:val="19"/>
        </w:rPr>
        <w:t>All nodes remain boxes. Original semantic links are solid, added operational links are teal dashed, and added provenance links are purple dotted, as shown in the approved image. Line pattern indicates family, not confidence or observed status.</w:t>
      </w:r>
    </w:p>
    <w:p>
      <w:pPr>
        <w:pStyle w:val="Heading1"/>
        <w:pageBreakBefore/>
        <w:widowControl/>
      </w:pPr>
      <w:r>
        <w:t>A.E2.1  ToolCall</w:t>
      </w:r>
    </w:p>
    <w:p>
      <w:pPr>
        <w:keepNext w:val="0"/>
        <w:widowControl/>
        <w:spacing w:after="140" w:before="0" w:line="257" w:lineRule="auto"/>
      </w:pPr>
      <w:r>
        <w:rPr>
          <w:rFonts w:ascii="Times New Roman" w:hAnsi="Times New Roman" w:cs="Times New Roman"/>
          <w:i w:val="0"/>
          <w:sz w:val="20"/>
        </w:rPr>
        <w:t>A ToolCall records a structured request, including requests that are still being assembled or were denied before dispatch. Annotate the observed lifecycle separately from the request's role. A ToolCall does not by itself assert that execution started or completed.</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CDEFEF"/>
              </w:rPr>
              <w:t xml:space="preserve"> ToolCall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ToolCall is a recorded invocation request to an external tool, API, computation facility, or action executor. Keep one stable node per call attempt, using the provider/orchestrator call identifier and attempt identifier. Preserve the tool name, structured arguments, request channel, timestamps, and observed lifecycle. Fragmented arguments update the same provisional node. A text statement such as “I will search” remains Planning unless a structured request is recorded. The subtype families are retrieval, computation, and external_action; operation refinements do not create new top-level types. An observed request can end as denied, canceled, failed, or outcome_unknown. The graph must not report dispatch or success without corresponding evidence.</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Retrieval: web search</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T1</w:t>
            </w:r>
            <w:r>
              <w:br/>
            </w:r>
            <w:r>
              <w:rPr>
                <w:rFonts w:ascii="Times New Roman" w:hAnsi="Times New Roman" w:cs="Times New Roman"/>
                <w:i/>
                <w:sz w:val="18"/>
              </w:rPr>
              <w:t>Recorded request: web_search(query="DemoCache default timeout").</w:t>
            </w:r>
            <w:r>
              <w:br/>
            </w:r>
            <w:r>
              <w:rPr>
                <w:rFonts w:ascii="Times New Roman" w:hAnsi="Times New Roman" w:cs="Times New Roman"/>
                <w:i/>
                <w:sz w:val="18"/>
              </w:rPr>
              <w:t>call_id=search-1; attempt_id=1.</w:t>
            </w:r>
            <w:r>
              <w:br/>
            </w:r>
            <w:r>
              <w:rPr>
                <w:rFonts w:ascii="Times New Roman" w:hAnsi="Times New Roman" w:cs="Times New Roman"/>
                <w:i/>
                <w:sz w:val="18"/>
              </w:rPr>
              <w:t>This node denotes the request, not the search hits.</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Retrieval: opening a source</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T2</w:t>
            </w:r>
            <w:r>
              <w:br/>
            </w:r>
            <w:r>
              <w:rPr>
                <w:rFonts w:ascii="Times New Roman" w:hAnsi="Times New Roman" w:cs="Times New Roman"/>
                <w:i/>
                <w:sz w:val="18"/>
              </w:rPr>
              <w:t>Recorded request: document_fetch(source_ref="S1").</w:t>
            </w:r>
            <w:r>
              <w:br/>
            </w:r>
            <w:r>
              <w:rPr>
                <w:rFonts w:ascii="Times New Roman" w:hAnsi="Times New Roman" w:cs="Times New Roman"/>
                <w:i/>
                <w:sz w:val="18"/>
              </w:rPr>
              <w:t>Opening the page is a separate call from the search that discovered its URL.</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Retrieval: local or structured search</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T3</w:t>
            </w:r>
            <w:r>
              <w:br/>
            </w:r>
            <w:r>
              <w:rPr>
                <w:rFonts w:ascii="Times New Roman" w:hAnsi="Times New Roman" w:cs="Times New Roman"/>
                <w:i/>
                <w:sz w:val="18"/>
              </w:rPr>
              <w:t>Recorded request: file_search(query="deployment timeout") or database_query(query_id="approved-read-7").</w:t>
            </w:r>
            <w:r>
              <w:br/>
            </w:r>
            <w:r>
              <w:rPr>
                <w:rFonts w:ascii="Times New Roman" w:hAnsi="Times New Roman" w:cs="Times New Roman"/>
                <w:i/>
                <w:sz w:val="18"/>
              </w:rPr>
              <w:t>Preserve the actual tool identity and arguments.</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Computation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T4</w:t>
            </w:r>
            <w:r>
              <w:br/>
            </w:r>
            <w:r>
              <w:rPr>
                <w:rFonts w:ascii="Times New Roman" w:hAnsi="Times New Roman" w:cs="Times New Roman"/>
                <w:i/>
                <w:sz w:val="18"/>
              </w:rPr>
              <w:t>Recorded request: calculator(expression="12 * 7").</w:t>
            </w:r>
            <w:r>
              <w:br/>
            </w:r>
            <w:r>
              <w:rPr>
                <w:rFonts w:ascii="Times New Roman" w:hAnsi="Times New Roman" w:cs="Times New Roman"/>
                <w:i/>
                <w:sz w:val="18"/>
              </w:rPr>
              <w:t>The operation is computation; the returned value belongs in ToolResult.</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External action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T5</w:t>
            </w:r>
            <w:r>
              <w:br/>
            </w:r>
            <w:r>
              <w:rPr>
                <w:rFonts w:ascii="Times New Roman" w:hAnsi="Times New Roman" w:cs="Times New Roman"/>
                <w:i/>
                <w:sz w:val="18"/>
              </w:rPr>
              <w:t>Recorded request: write_file(path="report.md", content_ref="draft-1").</w:t>
            </w:r>
            <w:r>
              <w:br/>
            </w:r>
            <w:r>
              <w:rPr>
                <w:rFonts w:ascii="Times New Roman" w:hAnsi="Times New Roman" w:cs="Times New Roman"/>
                <w:i/>
                <w:sz w:val="18"/>
              </w:rPr>
              <w:t>A request to write a file is not proof the file was written.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Opaque hosted operation</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T6</w:t>
            </w:r>
            <w:r>
              <w:br/>
            </w:r>
            <w:r>
              <w:rPr>
                <w:rFonts w:ascii="Times New Roman" w:hAnsi="Times New Roman" w:cs="Times New Roman"/>
                <w:i/>
                <w:sz w:val="18"/>
              </w:rPr>
              <w:t>A provider exposes one hosted-search operation but no subqueries.</w:t>
            </w:r>
            <w:r>
              <w:br/>
            </w:r>
            <w:r>
              <w:rPr>
                <w:rFonts w:ascii="Times New Roman" w:hAnsi="Times New Roman" w:cs="Times New Roman"/>
                <w:i/>
                <w:sz w:val="18"/>
              </w:rPr>
              <w:t>Record the visible operation scope; do not create imagined page-fetch calls.</w:t>
            </w:r>
          </w:p>
        </w:tc>
      </w:tr>
    </w:tbl>
    <w:p>
      <w:pPr>
        <w:keepNext w:val="0"/>
        <w:widowControl/>
        <w:spacing w:after="140" w:before="60" w:line="257" w:lineRule="auto"/>
        <w:jc w:val="center"/>
      </w:pPr>
      <w:r>
        <w:rPr>
          <w:rFonts w:ascii="Times New Roman" w:hAnsi="Times New Roman" w:cs="Times New Roman"/>
          <w:i w:val="0"/>
          <w:sz w:val="18"/>
        </w:rPr>
        <w:t>Table A.E1: Proposed annotation guide for the ToolCall node.</w:t>
      </w:r>
    </w:p>
    <w:p>
      <w:pPr>
        <w:widowControl/>
        <w:spacing w:after="100" w:line="252" w:lineRule="auto"/>
      </w:pPr>
      <w:r>
        <w:rPr>
          <w:rFonts w:ascii="Times New Roman" w:hAnsi="Times New Roman" w:cs="Times New Roman"/>
          <w:b/>
          <w:sz w:val="19"/>
        </w:rPr>
        <w:t xml:space="preserve">Required evidence. </w:t>
      </w:r>
      <w:r>
        <w:rPr>
          <w:rFonts w:ascii="Times New Roman" w:hAnsi="Times New Roman" w:cs="Times New Roman"/>
          <w:i w:val="0"/>
          <w:sz w:val="19"/>
        </w:rPr>
        <w:t>A structured request/event or a human-verified execution record. A model sentence alone is insufficient.</w:t>
      </w:r>
    </w:p>
    <w:p>
      <w:pPr>
        <w:widowControl/>
        <w:spacing w:after="100" w:line="252" w:lineRule="auto"/>
      </w:pPr>
      <w:r>
        <w:rPr>
          <w:rFonts w:ascii="Times New Roman" w:hAnsi="Times New Roman" w:cs="Times New Roman"/>
          <w:b/>
          <w:sz w:val="19"/>
        </w:rPr>
        <w:t xml:space="preserve">Boundary cases. </w:t>
      </w:r>
      <w:r>
        <w:rPr>
          <w:rFonts w:ascii="Times New Roman" w:hAnsi="Times New Roman" w:cs="Times New Roman"/>
          <w:i w:val="0"/>
          <w:sz w:val="19"/>
        </w:rPr>
        <w:t>Tool name unknown but operation identity recorded: keep the available identifier and mark missing fields. No exposed plan: retain an unlinked ToolCall. Partial argument fragments: update the same node rather than adding one node per fragment.</w:t>
      </w:r>
    </w:p>
    <w:p>
      <w:pPr>
        <w:widowControl/>
        <w:spacing w:after="100" w:line="252" w:lineRule="auto"/>
      </w:pPr>
      <w:r>
        <w:rPr>
          <w:rFonts w:ascii="Times New Roman" w:hAnsi="Times New Roman" w:cs="Times New Roman"/>
          <w:b/>
          <w:sz w:val="19"/>
        </w:rPr>
        <w:t xml:space="preserve">Do not confuse with. </w:t>
      </w:r>
      <w:r>
        <w:rPr>
          <w:rFonts w:ascii="Times New Roman" w:hAnsi="Times New Roman" w:cs="Times New Roman"/>
          <w:i w:val="0"/>
          <w:sz w:val="19"/>
        </w:rPr>
        <w:t>Planning states an intention; ToolCall records a request. ToolCall retry attempts have distinct attempt IDs and may later connect through retry_of.</w:t>
      </w:r>
    </w:p>
    <w:p>
      <w:pPr>
        <w:pStyle w:val="Heading1"/>
        <w:pageBreakBefore/>
        <w:widowControl/>
      </w:pPr>
      <w:r>
        <w:t>A.E2.2  ToolResult</w:t>
      </w:r>
    </w:p>
    <w:p>
      <w:pPr>
        <w:keepNext w:val="0"/>
        <w:widowControl/>
        <w:spacing w:after="140" w:before="0" w:line="257" w:lineRule="auto"/>
      </w:pPr>
      <w:r>
        <w:rPr>
          <w:rFonts w:ascii="Times New Roman" w:hAnsi="Times New Roman" w:cs="Times New Roman"/>
          <w:i w:val="0"/>
          <w:sz w:val="20"/>
        </w:rPr>
        <w:t>A ToolResult preserves the returned envelope, status, or error for a recorded operation. It can contain useful evidence, an empty payload, or an unsuccessful outcome. Evidence text extracted from it is represented as Context.</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D9E7FC"/>
              </w:rPr>
              <w:t xml:space="preserve"> ToolResult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ToolResult is an observed response item associated with a ToolCall. It can hold structured data, text, a returned file reference, an acknowledgment, an error, or an explicitly returned empty result. Preserve call_id, attempt_id, result_item_id, producer identity, payload reference, status, and available timestamps. Streaming payload fragments update their result item; they are not independent reasoning units. A call can have several distinct returned items. A result's existence does not certify truth, successful execution, or delivery to the model. If a runtime emits a timeout report, identify the runtime as producer rather than presenting it as a tool-server response. If no result is observed, leave the outcome unknown instead of fabricating a result.</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Search-result collection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U1</w:t>
            </w:r>
            <w:r>
              <w:br/>
            </w:r>
            <w:r>
              <w:rPr>
                <w:rFonts w:ascii="Times New Roman" w:hAnsi="Times New Roman" w:cs="Times New Roman"/>
                <w:i/>
                <w:sz w:val="18"/>
              </w:rPr>
              <w:t>Returned list: [{source_id:"S1", snippet:"Default timeout: 20 seconds."}].</w:t>
            </w:r>
            <w:r>
              <w:br/>
            </w:r>
            <w:r>
              <w:rPr>
                <w:rFonts w:ascii="Times New Roman" w:hAnsi="Times New Roman" w:cs="Times New Roman"/>
                <w:i/>
                <w:sz w:val="18"/>
              </w:rPr>
              <w:t>The result may provide separate Context nodes for different hits.</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Document or record content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U2</w:t>
            </w:r>
            <w:r>
              <w:br/>
            </w:r>
            <w:r>
              <w:rPr>
                <w:rFonts w:ascii="Times New Roman" w:hAnsi="Times New Roman" w:cs="Times New Roman"/>
                <w:i/>
                <w:sz w:val="18"/>
              </w:rPr>
              <w:t>Returned manual text plus retrieval status.</w:t>
            </w:r>
            <w:r>
              <w:br/>
            </w:r>
            <w:r>
              <w:rPr>
                <w:rFonts w:ascii="Times New Roman" w:hAnsi="Times New Roman" w:cs="Times New Roman"/>
                <w:i/>
                <w:sz w:val="18"/>
              </w:rPr>
              <w:t>Preserve the source reference and representation; full text and a search snippet are distinct payloads.</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Computed output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U3</w:t>
            </w:r>
            <w:r>
              <w:br/>
            </w:r>
            <w:r>
              <w:rPr>
                <w:rFonts w:ascii="Times New Roman" w:hAnsi="Times New Roman" w:cs="Times New Roman"/>
                <w:i/>
                <w:sz w:val="18"/>
              </w:rPr>
              <w:t>calculator returns value=84.</w:t>
            </w:r>
            <w:r>
              <w:br/>
            </w:r>
            <w:r>
              <w:rPr>
                <w:rFonts w:ascii="Times New Roman" w:hAnsi="Times New Roman" w:cs="Times New Roman"/>
                <w:i/>
                <w:sz w:val="18"/>
              </w:rPr>
              <w:t>The value can supply Context; a later model derivation remains Reasoning.</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Action acknowledgment or artifact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U4</w:t>
            </w:r>
            <w:r>
              <w:br/>
            </w:r>
            <w:r>
              <w:rPr>
                <w:rFonts w:ascii="Times New Roman" w:hAnsi="Times New Roman" w:cs="Times New Roman"/>
                <w:i/>
                <w:sz w:val="18"/>
              </w:rPr>
              <w:t>write_file returns status="saved", artifact_ref="file-7".</w:t>
            </w:r>
            <w:r>
              <w:br/>
            </w:r>
            <w:r>
              <w:rPr>
                <w:rFonts w:ascii="Times New Roman" w:hAnsi="Times New Roman" w:cs="Times New Roman"/>
                <w:i/>
                <w:sz w:val="18"/>
              </w:rPr>
              <w:t>This reports the executor acknowledgment. Artifact contents become Context only if available.</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Execution or runtime error</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U5</w:t>
            </w:r>
            <w:r>
              <w:br/>
            </w:r>
            <w:r>
              <w:rPr>
                <w:rFonts w:ascii="Times New Roman" w:hAnsi="Times New Roman" w:cs="Times New Roman"/>
                <w:i/>
                <w:sz w:val="18"/>
              </w:rPr>
              <w:t>fetch returns status="timeout", producer_kind="runtime".</w:t>
            </w:r>
            <w:r>
              <w:br/>
            </w:r>
            <w:r>
              <w:rPr>
                <w:rFonts w:ascii="Times New Roman" w:hAnsi="Times New Roman" w:cs="Times New Roman"/>
                <w:i/>
                <w:sz w:val="18"/>
              </w:rPr>
              <w:t>The error describes this attempt and does not prove the requested page does not exist.</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Empty or partial response</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U6</w:t>
            </w:r>
            <w:r>
              <w:br/>
            </w:r>
            <w:r>
              <w:rPr>
                <w:rFonts w:ascii="Times New Roman" w:hAnsi="Times New Roman" w:cs="Times New Roman"/>
                <w:i/>
                <w:sz w:val="18"/>
              </w:rPr>
              <w:t>Search returns hits=[]; or fetch returns a partial text body.</w:t>
            </w:r>
            <w:r>
              <w:br/>
            </w:r>
            <w:r>
              <w:rPr>
                <w:rFonts w:ascii="Times New Roman" w:hAnsi="Times New Roman" w:cs="Times New Roman"/>
                <w:i/>
                <w:sz w:val="18"/>
              </w:rPr>
              <w:t>Record empty/partial status and annotate only the returned content.</w:t>
            </w:r>
          </w:p>
        </w:tc>
      </w:tr>
    </w:tbl>
    <w:p>
      <w:pPr>
        <w:keepNext w:val="0"/>
        <w:widowControl/>
        <w:spacing w:after="140" w:before="60" w:line="257" w:lineRule="auto"/>
        <w:jc w:val="center"/>
      </w:pPr>
      <w:r>
        <w:rPr>
          <w:rFonts w:ascii="Times New Roman" w:hAnsi="Times New Roman" w:cs="Times New Roman"/>
          <w:i w:val="0"/>
          <w:sz w:val="18"/>
        </w:rPr>
        <w:t>Table A.E2: Proposed annotation guide for the ToolResult node.</w:t>
      </w:r>
    </w:p>
    <w:p>
      <w:pPr>
        <w:widowControl/>
        <w:spacing w:after="100" w:line="252" w:lineRule="auto"/>
      </w:pPr>
      <w:r>
        <w:rPr>
          <w:rFonts w:ascii="Times New Roman" w:hAnsi="Times New Roman" w:cs="Times New Roman"/>
          <w:b/>
          <w:sz w:val="19"/>
        </w:rPr>
        <w:t xml:space="preserve">Required evidence. </w:t>
      </w:r>
      <w:r>
        <w:rPr>
          <w:rFonts w:ascii="Times New Roman" w:hAnsi="Times New Roman" w:cs="Times New Roman"/>
          <w:i w:val="0"/>
          <w:sz w:val="19"/>
        </w:rPr>
        <w:t>A recorded returned item or error event and its actual correlation data. A missing return is not an implicit ToolResult.</w:t>
      </w:r>
    </w:p>
    <w:p>
      <w:pPr>
        <w:widowControl/>
        <w:spacing w:after="100" w:line="252" w:lineRule="auto"/>
      </w:pPr>
      <w:r>
        <w:rPr>
          <w:rFonts w:ascii="Times New Roman" w:hAnsi="Times New Roman" w:cs="Times New Roman"/>
          <w:b/>
          <w:sz w:val="19"/>
        </w:rPr>
        <w:t xml:space="preserve">Context extraction. </w:t>
      </w:r>
      <w:r>
        <w:rPr>
          <w:rFonts w:ascii="Times New Roman" w:hAnsi="Times New Roman" w:cs="Times New Roman"/>
          <w:i w:val="0"/>
          <w:sz w:val="19"/>
        </w:rPr>
        <w:t>A provides edge links the envelope to a quoted span or traceable extracted representation. Preserve offsets or a JSON pointer and representation identity.</w:t>
      </w:r>
    </w:p>
    <w:p>
      <w:pPr>
        <w:widowControl/>
        <w:spacing w:after="100" w:line="252" w:lineRule="auto"/>
      </w:pPr>
      <w:r>
        <w:rPr>
          <w:rFonts w:ascii="Times New Roman" w:hAnsi="Times New Roman" w:cs="Times New Roman"/>
          <w:b/>
          <w:sz w:val="19"/>
        </w:rPr>
        <w:t xml:space="preserve">Do not confuse with. </w:t>
      </w:r>
      <w:r>
        <w:rPr>
          <w:rFonts w:ascii="Times New Roman" w:hAnsi="Times New Roman" w:cs="Times New Roman"/>
          <w:i w:val="0"/>
          <w:sz w:val="19"/>
        </w:rPr>
        <w:t>ToolResult is the operational envelope. Context is its evidence content. “No hits” is a property of one query response, not a universal absence claim.</w:t>
      </w:r>
    </w:p>
    <w:p>
      <w:pPr>
        <w:pStyle w:val="Heading1"/>
        <w:pageBreakBefore/>
        <w:widowControl/>
      </w:pPr>
      <w:r>
        <w:t>A.E3.1  invokes</w:t>
      </w:r>
    </w:p>
    <w:p>
      <w:pPr>
        <w:keepNext w:val="0"/>
        <w:widowControl/>
        <w:spacing w:after="140" w:before="0" w:line="257" w:lineRule="auto"/>
      </w:pPr>
      <w:r>
        <w:rPr>
          <w:rFonts w:ascii="Times New Roman" w:hAnsi="Times New Roman" w:cs="Times New Roman"/>
          <w:i w:val="0"/>
          <w:sz w:val="20"/>
        </w:rPr>
        <w:t>Use invokes to connect an expressed plan to the external request that implements that plan. The call's occurrence and the attribution of intent are separate pieces of evidence.</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D8F4F4"/>
              </w:rPr>
              <w:t xml:space="preserve"> invokes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invokes connects a Planning node to a later ToolCall whose requested operation implements that plan. The source must contain the expressed plan; the target must be an observed call. Confirm the relation through an explicit runtime mapping when available, or annotate it from the plan and tool arguments. Temporal proximity alone is insufficient. One plan may invoke several calls; more than one explicit plan may be relevant to a call if each relation is justified. Use no synthetic Planning node when reasoning is unavailable. A denied or canceled request can still implement an expressed intention at the request level; its lifecycle remains visible on ToolCall. invokes is an added operational relationship and does not replace the original execute edge between a plan and a text step.</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Searching for evidence</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FFADAD"/>
              </w:rPr>
              <w:t xml:space="preserve"> Planning </w:t>
            </w:r>
            <w:r>
              <w:rPr>
                <w:rFonts w:ascii="Times New Roman" w:hAnsi="Times New Roman" w:cs="Times New Roman"/>
                <w:i/>
                <w:sz w:val="18"/>
              </w:rPr>
              <w:t xml:space="preserve"> P1: “I should search for the default timeout.”</w:t>
            </w:r>
            <w:r>
              <w:br/>
            </w:r>
            <w:r>
              <w:rPr>
                <w:rFonts w:ascii="Times New Roman" w:hAnsi="Times New Roman" w:cs="Times New Roman"/>
                <w:i/>
                <w:sz w:val="18"/>
              </w:rPr>
              <w:t>→ invokes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T1: web_search(query="DemoCache default timeout").</w:t>
            </w:r>
            <w:r>
              <w:br/>
            </w:r>
            <w:r>
              <w:rPr>
                <w:rFonts w:ascii="Times New Roman" w:hAnsi="Times New Roman" w:cs="Times New Roman"/>
                <w:i/>
                <w:sz w:val="18"/>
              </w:rPr>
              <w:t>Basis: annotator_inferred unless explicitly mapped by the runtime.</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Fetching a selected source</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FFADAD"/>
              </w:rPr>
              <w:t xml:space="preserve"> Planning </w:t>
            </w:r>
            <w:r>
              <w:rPr>
                <w:rFonts w:ascii="Times New Roman" w:hAnsi="Times New Roman" w:cs="Times New Roman"/>
                <w:i/>
                <w:sz w:val="18"/>
              </w:rPr>
              <w:t xml:space="preserve"> P2: “I should open the manual to verify this.”</w:t>
            </w:r>
            <w:r>
              <w:br/>
            </w:r>
            <w:r>
              <w:rPr>
                <w:rFonts w:ascii="Times New Roman" w:hAnsi="Times New Roman" w:cs="Times New Roman"/>
                <w:i/>
                <w:sz w:val="18"/>
              </w:rPr>
              <w:t>→ invokes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T2: document_fetch(source_ref="manual-S1").</w:t>
            </w:r>
            <w:r>
              <w:br/>
            </w:r>
            <w:r>
              <w:rPr>
                <w:rFonts w:ascii="Times New Roman" w:hAnsi="Times New Roman" w:cs="Times New Roman"/>
                <w:i/>
                <w:sz w:val="18"/>
              </w:rPr>
              <w:t>The selected source matches the stated verification plan.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Executing a calculation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FFADAD"/>
              </w:rPr>
              <w:t xml:space="preserve"> Planning </w:t>
            </w:r>
            <w:r>
              <w:rPr>
                <w:rFonts w:ascii="Times New Roman" w:hAnsi="Times New Roman" w:cs="Times New Roman"/>
                <w:i/>
                <w:sz w:val="18"/>
              </w:rPr>
              <w:t xml:space="preserve"> P3: “I will calculate twelve times seven.”</w:t>
            </w:r>
            <w:r>
              <w:br/>
            </w:r>
            <w:r>
              <w:rPr>
                <w:rFonts w:ascii="Times New Roman" w:hAnsi="Times New Roman" w:cs="Times New Roman"/>
                <w:i/>
                <w:sz w:val="18"/>
              </w:rPr>
              <w:t>→ invokes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T3: calculator(expression="12 * 7").</w:t>
            </w:r>
            <w:r>
              <w:br/>
            </w:r>
            <w:r>
              <w:rPr>
                <w:rFonts w:ascii="Times New Roman" w:hAnsi="Times New Roman" w:cs="Times New Roman"/>
                <w:i/>
                <w:sz w:val="18"/>
              </w:rPr>
              <w:t>The subsequent value is recorded separately.</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Requesting an external action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FFADAD"/>
              </w:rPr>
              <w:t xml:space="preserve"> Planning </w:t>
            </w:r>
            <w:r>
              <w:rPr>
                <w:rFonts w:ascii="Times New Roman" w:hAnsi="Times New Roman" w:cs="Times New Roman"/>
                <w:i/>
                <w:sz w:val="18"/>
              </w:rPr>
              <w:t xml:space="preserve"> P4: “I will save this draft to report.md.”</w:t>
            </w:r>
            <w:r>
              <w:br/>
            </w:r>
            <w:r>
              <w:rPr>
                <w:rFonts w:ascii="Times New Roman" w:hAnsi="Times New Roman" w:cs="Times New Roman"/>
                <w:i/>
                <w:sz w:val="18"/>
              </w:rPr>
              <w:t>→ invokes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T4: write_file(path="report.md").</w:t>
            </w:r>
            <w:r>
              <w:br/>
            </w:r>
            <w:r>
              <w:rPr>
                <w:rFonts w:ascii="Times New Roman" w:hAnsi="Times New Roman" w:cs="Times New Roman"/>
                <w:i/>
                <w:sz w:val="18"/>
              </w:rPr>
              <w:t>The edge does not certify the write succeeded.</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Parallel implementation of one plan</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FFADAD"/>
              </w:rPr>
              <w:t xml:space="preserve"> Planning </w:t>
            </w:r>
            <w:r>
              <w:rPr>
                <w:rFonts w:ascii="Times New Roman" w:hAnsi="Times New Roman" w:cs="Times New Roman"/>
                <w:i/>
                <w:sz w:val="18"/>
              </w:rPr>
              <w:t xml:space="preserve"> P5: “I should compare the two manuals.”</w:t>
            </w:r>
            <w:r>
              <w:br/>
            </w:r>
            <w:r>
              <w:rPr>
                <w:rFonts w:ascii="Times New Roman" w:hAnsi="Times New Roman" w:cs="Times New Roman"/>
                <w:i/>
                <w:sz w:val="18"/>
              </w:rPr>
              <w:t>→ invokes → T5: fetch(manual-A); and</w:t>
            </w:r>
            <w:r>
              <w:br/>
            </w:r>
            <w:r>
              <w:rPr>
                <w:rFonts w:ascii="Times New Roman" w:hAnsi="Times New Roman" w:cs="Times New Roman"/>
                <w:i/>
                <w:sz w:val="18"/>
              </w:rPr>
              <w:t>→ invokes → T6: fetch(manual-B).</w:t>
            </w:r>
            <w:r>
              <w:br/>
            </w:r>
            <w:r>
              <w:rPr>
                <w:rFonts w:ascii="Times New Roman" w:hAnsi="Times New Roman" w:cs="Times New Roman"/>
                <w:i/>
                <w:sz w:val="18"/>
              </w:rPr>
              <w:t>Annotate two edges; no ordering edge is needed between T5 and T6.</w:t>
            </w:r>
          </w:p>
        </w:tc>
      </w:tr>
    </w:tbl>
    <w:p>
      <w:pPr>
        <w:keepNext w:val="0"/>
        <w:widowControl/>
        <w:spacing w:after="140" w:before="60" w:line="257" w:lineRule="auto"/>
        <w:jc w:val="center"/>
      </w:pPr>
      <w:r>
        <w:rPr>
          <w:rFonts w:ascii="Times New Roman" w:hAnsi="Times New Roman" w:cs="Times New Roman"/>
          <w:i w:val="0"/>
          <w:sz w:val="18"/>
        </w:rPr>
        <w:t>Table A.E3: Proposed annotation guide for invokes.</w:t>
      </w:r>
    </w:p>
    <w:p>
      <w:pPr>
        <w:widowControl/>
        <w:spacing w:after="100" w:line="252" w:lineRule="auto"/>
      </w:pPr>
      <w:r>
        <w:rPr>
          <w:rFonts w:ascii="Times New Roman" w:hAnsi="Times New Roman" w:cs="Times New Roman"/>
          <w:b/>
          <w:sz w:val="19"/>
        </w:rPr>
        <w:t xml:space="preserve">Endpoint rule. </w:t>
      </w:r>
      <w:r>
        <w:rPr>
          <w:rFonts w:ascii="Times New Roman" w:hAnsi="Times New Roman" w:cs="Times New Roman"/>
          <w:i w:val="0"/>
          <w:sz w:val="19"/>
        </w:rPr>
        <w:t>Planning → ToolCall. This version does not use Reasoning → ToolCall as a substitute for an unexpressed plan.</w:t>
      </w:r>
    </w:p>
    <w:p>
      <w:pPr>
        <w:widowControl/>
        <w:spacing w:after="100" w:line="252" w:lineRule="auto"/>
      </w:pPr>
      <w:r>
        <w:rPr>
          <w:rFonts w:ascii="Times New Roman" w:hAnsi="Times New Roman" w:cs="Times New Roman"/>
          <w:b/>
          <w:sz w:val="19"/>
        </w:rPr>
        <w:t xml:space="preserve">Evidence rule. </w:t>
      </w:r>
      <w:r>
        <w:rPr>
          <w:rFonts w:ascii="Times New Roman" w:hAnsi="Times New Roman" w:cs="Times New Roman"/>
          <w:i w:val="0"/>
          <w:sz w:val="19"/>
        </w:rPr>
        <w:t>Use runtime_observed only when the runtime explicitly identifies the source plan. Otherwise use annotator_inferred with supporting text and arguments.</w:t>
      </w:r>
    </w:p>
    <w:p>
      <w:pPr>
        <w:widowControl/>
        <w:spacing w:after="100" w:line="252" w:lineRule="auto"/>
      </w:pPr>
      <w:r>
        <w:rPr>
          <w:rFonts w:ascii="Times New Roman" w:hAnsi="Times New Roman" w:cs="Times New Roman"/>
          <w:b/>
          <w:sz w:val="19"/>
        </w:rPr>
        <w:t xml:space="preserve">Negative example. </w:t>
      </w:r>
      <w:r>
        <w:rPr>
          <w:rFonts w:ascii="Times New Roman" w:hAnsi="Times New Roman" w:cs="Times New Roman"/>
          <w:i w:val="0"/>
          <w:sz w:val="19"/>
        </w:rPr>
        <w:t>“I should search” followed by no recorded request has no invokes edge. A nearby unrelated calculator call must not be attached to a search plan.</w:t>
      </w:r>
    </w:p>
    <w:p>
      <w:pPr>
        <w:pStyle w:val="Heading1"/>
        <w:pageBreakBefore/>
        <w:widowControl/>
      </w:pPr>
      <w:r>
        <w:t>A.E3.2  returns</w:t>
      </w:r>
    </w:p>
    <w:p>
      <w:pPr>
        <w:keepNext w:val="0"/>
        <w:widowControl/>
        <w:spacing w:after="140" w:before="0" w:line="257" w:lineRule="auto"/>
      </w:pPr>
      <w:r>
        <w:rPr>
          <w:rFonts w:ascii="Times New Roman" w:hAnsi="Times New Roman" w:cs="Times New Roman"/>
          <w:i w:val="0"/>
          <w:sz w:val="20"/>
        </w:rPr>
        <w:t>returns records request/response association. Match identifiers and scope before adding the edge; do not match parallel operations by visual or arrival order.</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D8F4F4"/>
              </w:rPr>
              <w:t xml:space="preserve"> returns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returns connects a ToolCall to its observed ToolResult. The call and result must share a recorded call identifier, attempt identifier, or an equivalent verified correlation record. The edge is valid for successful payloads, empty responses, action acknowledgments, and explicit errors. It does not express semantic support or guarantee success. Distinct result items can create several returns edges from one call; network fragments of the same result item update that item instead. If correlation is unresolved, retain the result with unresolved-association metadata and postpone the edge. A tool request that has not produced a return has no returns edge. Out-of-order receipt does not change which call owns a result.</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Successful retrieval</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T1: call_id=search-1.</w:t>
            </w:r>
            <w:r>
              <w:br/>
            </w:r>
            <w:r>
              <w:rPr>
                <w:rFonts w:ascii="Times New Roman" w:hAnsi="Times New Roman" w:cs="Times New Roman"/>
                <w:i/>
                <w:sz w:val="18"/>
              </w:rPr>
              <w:t>→ returns →</w:t>
            </w:r>
            <w:r>
              <w:br/>
            </w: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U1: call_id=search-1; hits=[S1,S2].</w:t>
            </w:r>
            <w:r>
              <w:br/>
            </w:r>
            <w:r>
              <w:rPr>
                <w:rFonts w:ascii="Times New Roman" w:hAnsi="Times New Roman" w:cs="Times New Roman"/>
                <w:i/>
                <w:sz w:val="18"/>
              </w:rPr>
              <w:t>Basis: recorded request/result association.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Computed output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T2: call_id=calc-1; expression="12 * 7".</w:t>
            </w:r>
            <w:r>
              <w:br/>
            </w:r>
            <w:r>
              <w:rPr>
                <w:rFonts w:ascii="Times New Roman" w:hAnsi="Times New Roman" w:cs="Times New Roman"/>
                <w:i/>
                <w:sz w:val="18"/>
              </w:rPr>
              <w:t>→ returns →</w:t>
            </w:r>
            <w:r>
              <w:br/>
            </w: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U2: call_id=calc-1; value=84.</w:t>
            </w:r>
            <w:r>
              <w:br/>
            </w:r>
            <w:r>
              <w:rPr>
                <w:rFonts w:ascii="Times New Roman" w:hAnsi="Times New Roman" w:cs="Times New Roman"/>
                <w:i/>
                <w:sz w:val="18"/>
              </w:rPr>
              <w:t>The edge identifies the returned item, not a reasoning inference.</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Error or empty response</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T3: call_id=fetch-2; attempt=1.</w:t>
            </w:r>
            <w:r>
              <w:br/>
            </w:r>
            <w:r>
              <w:rPr>
                <w:rFonts w:ascii="Times New Roman" w:hAnsi="Times New Roman" w:cs="Times New Roman"/>
                <w:i/>
                <w:sz w:val="18"/>
              </w:rPr>
              <w:t>→ returns →</w:t>
            </w:r>
            <w:r>
              <w:br/>
            </w: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U3: call_id=fetch-2; attempt=1; status="timeout".</w:t>
            </w:r>
            <w:r>
              <w:br/>
            </w:r>
            <w:r>
              <w:rPr>
                <w:rFonts w:ascii="Times New Roman" w:hAnsi="Times New Roman" w:cs="Times New Roman"/>
                <w:i/>
                <w:sz w:val="18"/>
              </w:rPr>
              <w:t>An explicitly returned hits=[] response is also a valid result.</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Parallel calls and multiple items</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t>T4 and T5 run concurrently. U5 arrives first with call_id=T5.</w:t>
            </w:r>
            <w:r>
              <w:br/>
            </w:r>
            <w:r>
              <w:rPr>
                <w:rFonts w:ascii="Times New Roman" w:hAnsi="Times New Roman" w:cs="Times New Roman"/>
                <w:i/>
                <w:sz w:val="18"/>
              </w:rPr>
              <w:t>Annotate T5 → returns → U5, then T4 → returns → U4.</w:t>
            </w:r>
            <w:r>
              <w:br/>
            </w:r>
            <w:r>
              <w:rPr>
                <w:rFonts w:ascii="Times New Roman" w:hAnsi="Times New Roman" w:cs="Times New Roman"/>
                <w:i/>
                <w:sz w:val="18"/>
              </w:rPr>
              <w:t>If T4 returns two distinct item IDs, both may have T4 as source.</w:t>
            </w:r>
          </w:p>
        </w:tc>
      </w:tr>
    </w:tbl>
    <w:p>
      <w:pPr>
        <w:keepNext w:val="0"/>
        <w:widowControl/>
        <w:spacing w:after="140" w:before="60" w:line="257" w:lineRule="auto"/>
        <w:jc w:val="center"/>
      </w:pPr>
      <w:r>
        <w:rPr>
          <w:rFonts w:ascii="Times New Roman" w:hAnsi="Times New Roman" w:cs="Times New Roman"/>
          <w:i w:val="0"/>
          <w:sz w:val="18"/>
        </w:rPr>
        <w:t>Table A.E4: Proposed annotation guide for returns.</w:t>
      </w:r>
    </w:p>
    <w:p>
      <w:pPr>
        <w:widowControl/>
        <w:spacing w:after="100" w:line="252" w:lineRule="auto"/>
      </w:pPr>
      <w:r>
        <w:rPr>
          <w:rFonts w:ascii="Times New Roman" w:hAnsi="Times New Roman" w:cs="Times New Roman"/>
          <w:b/>
          <w:sz w:val="19"/>
        </w:rPr>
        <w:t xml:space="preserve">Endpoint rule. </w:t>
      </w:r>
      <w:r>
        <w:rPr>
          <w:rFonts w:ascii="Times New Roman" w:hAnsi="Times New Roman" w:cs="Times New Roman"/>
          <w:i w:val="0"/>
          <w:sz w:val="19"/>
        </w:rPr>
        <w:t>ToolCall → ToolResult. A ToolResult normally has one owning call attempt; a combined provider result must preserve the correlation scope actually exposed.</w:t>
      </w:r>
    </w:p>
    <w:p>
      <w:pPr>
        <w:widowControl/>
        <w:spacing w:after="100" w:line="252" w:lineRule="auto"/>
      </w:pPr>
      <w:r>
        <w:rPr>
          <w:rFonts w:ascii="Times New Roman" w:hAnsi="Times New Roman" w:cs="Times New Roman"/>
          <w:b/>
          <w:sz w:val="19"/>
        </w:rPr>
        <w:t xml:space="preserve">Evidence rule. </w:t>
      </w:r>
      <w:r>
        <w:rPr>
          <w:rFonts w:ascii="Times New Roman" w:hAnsi="Times New Roman" w:cs="Times New Roman"/>
          <w:i w:val="0"/>
          <w:sz w:val="19"/>
        </w:rPr>
        <w:t>runtime_observed with the correlation event IDs. An annotator may verify identifiers but must not invent them from content similarity.</w:t>
      </w:r>
    </w:p>
    <w:p>
      <w:pPr>
        <w:widowControl/>
        <w:spacing w:after="100" w:line="252" w:lineRule="auto"/>
      </w:pPr>
      <w:r>
        <w:rPr>
          <w:rFonts w:ascii="Times New Roman" w:hAnsi="Times New Roman" w:cs="Times New Roman"/>
          <w:b/>
          <w:sz w:val="19"/>
        </w:rPr>
        <w:t xml:space="preserve">Negative example. </w:t>
      </w:r>
      <w:r>
        <w:rPr>
          <w:rFonts w:ascii="Times New Roman" w:hAnsi="Times New Roman" w:cs="Times New Roman"/>
          <w:i w:val="0"/>
          <w:sz w:val="19"/>
        </w:rPr>
        <w:t>A transport disconnect without a returned error does not justify a synthetic failure result. Record unknown outcome on the call and await further evidence.</w:t>
      </w:r>
    </w:p>
    <w:p>
      <w:pPr>
        <w:pStyle w:val="Heading1"/>
        <w:pageBreakBefore/>
        <w:widowControl/>
      </w:pPr>
      <w:r>
        <w:t>A.E3.3  provides</w:t>
      </w:r>
    </w:p>
    <w:p>
      <w:pPr>
        <w:keepNext w:val="0"/>
        <w:widowControl/>
        <w:spacing w:after="140" w:before="0" w:line="257" w:lineRule="auto"/>
      </w:pPr>
      <w:r>
        <w:rPr>
          <w:rFonts w:ascii="Times New Roman" w:hAnsi="Times New Roman" w:cs="Times New Roman"/>
          <w:i w:val="0"/>
          <w:sz w:val="20"/>
        </w:rPr>
        <w:t>provides preserves the path from a returned payload to an inspectable evidence span. It records extraction provenance, not whether the model accepted or used the content.</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D8F4F4"/>
              </w:rPr>
              <w:t xml:space="preserve"> provides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provides connects a ToolResult to Context derived from that result. Context may be an exact text span, a structured field, an excerpt, or a traceable extracted representation. Record the original payload identity and hash, plus offsets, a JSON pointer, or a documented representation mapping. Several Context nodes may come from one result. The target must not add claims absent from the source. If extraction transforms the representation, retain the transformation identity and the extracted representation's hash. Context can be visible in the graph before it is delivered to the model; the context manifest determines whether it is eligible as evidence for later model statements. A provides edge alone is not evidence of model access, use, or source credibility.</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Individual search hit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U1: search list includes S1.snippet.</w:t>
            </w:r>
            <w:r>
              <w:br/>
            </w:r>
            <w:r>
              <w:rPr>
                <w:rFonts w:ascii="Times New Roman" w:hAnsi="Times New Roman" w:cs="Times New Roman"/>
                <w:i/>
                <w:sz w:val="18"/>
              </w:rPr>
              <w:t>→ provides →</w:t>
            </w:r>
            <w:r>
              <w:br/>
            </w: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C1: “Default timeout: 20 seconds.”</w:t>
            </w:r>
            <w:r>
              <w:br/>
            </w:r>
            <w:r>
              <w:rPr>
                <w:rFonts w:ascii="Times New Roman" w:hAnsi="Times New Roman" w:cs="Times New Roman"/>
                <w:i/>
                <w:sz w:val="18"/>
              </w:rPr>
              <w:t>Locator: /hits/0/snippet in the recorded result.</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Document excerpt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U2: returned manual body.</w:t>
            </w:r>
            <w:r>
              <w:br/>
            </w:r>
            <w:r>
              <w:rPr>
                <w:rFonts w:ascii="Times New Roman" w:hAnsi="Times New Roman" w:cs="Times New Roman"/>
                <w:i/>
                <w:sz w:val="18"/>
              </w:rPr>
              <w:t>→ provides →</w:t>
            </w:r>
            <w:r>
              <w:br/>
            </w: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C2: “The default timeout is 30 seconds.”</w:t>
            </w:r>
            <w:r>
              <w:br/>
            </w:r>
            <w:r>
              <w:rPr>
                <w:rFonts w:ascii="Times New Roman" w:hAnsi="Times New Roman" w:cs="Times New Roman"/>
                <w:i/>
                <w:sz w:val="18"/>
              </w:rPr>
              <w:t>Preserve start/end offsets in the identified text representation.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Structured computation result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U3: {"value":84}.</w:t>
            </w:r>
            <w:r>
              <w:br/>
            </w:r>
            <w:r>
              <w:rPr>
                <w:rFonts w:ascii="Times New Roman" w:hAnsi="Times New Roman" w:cs="Times New Roman"/>
                <w:i/>
                <w:sz w:val="18"/>
              </w:rPr>
              <w:t>→ provides →</w:t>
            </w:r>
            <w:r>
              <w:br/>
            </w: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C3: value=84.</w:t>
            </w:r>
            <w:r>
              <w:br/>
            </w:r>
            <w:r>
              <w:rPr>
                <w:rFonts w:ascii="Times New Roman" w:hAnsi="Times New Roman" w:cs="Times New Roman"/>
                <w:i/>
                <w:sz w:val="18"/>
              </w:rPr>
              <w:t>Locator: /value. A later explanation of the arithmetic is not part of this extraction.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Traceable transformed text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U4: HTML response payload.</w:t>
            </w:r>
            <w:r>
              <w:br/>
            </w:r>
            <w:r>
              <w:rPr>
                <w:rFonts w:ascii="Times New Roman" w:hAnsi="Times New Roman" w:cs="Times New Roman"/>
                <w:i/>
                <w:sz w:val="18"/>
              </w:rPr>
              <w:t>→ provides →</w:t>
            </w:r>
            <w:r>
              <w:br/>
            </w: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C4: extracted paragraph in text representation R4.</w:t>
            </w:r>
            <w:r>
              <w:br/>
            </w:r>
            <w:r>
              <w:rPr>
                <w:rFonts w:ascii="Times New Roman" w:hAnsi="Times New Roman" w:cs="Times New Roman"/>
                <w:i/>
                <w:sz w:val="18"/>
              </w:rPr>
              <w:t>Store the original hash, extraction method, and R4 hash.</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Observed empty-result statement</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D9E7FC"/>
              </w:rPr>
              <w:t xml:space="preserve"> ToolResult </w:t>
            </w:r>
            <w:r>
              <w:rPr>
                <w:rFonts w:ascii="Times New Roman" w:hAnsi="Times New Roman" w:cs="Times New Roman"/>
                <w:i/>
                <w:sz w:val="18"/>
              </w:rPr>
              <w:t xml:space="preserve"> U5: hits=[].</w:t>
            </w:r>
            <w:r>
              <w:br/>
            </w:r>
            <w:r>
              <w:rPr>
                <w:rFonts w:ascii="Times New Roman" w:hAnsi="Times New Roman" w:cs="Times New Roman"/>
                <w:i/>
                <w:sz w:val="18"/>
              </w:rPr>
              <w:t>→ provides →</w:t>
            </w:r>
            <w:r>
              <w:br/>
            </w: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C5: “This query returned zero hits.”</w:t>
            </w:r>
            <w:r>
              <w:br/>
            </w:r>
            <w:r>
              <w:rPr>
                <w:rFonts w:ascii="Times New Roman" w:hAnsi="Times New Roman" w:cs="Times New Roman"/>
                <w:i/>
                <w:sz w:val="18"/>
              </w:rPr>
              <w:t>This describes U5; it must not be rewritten as “No relevant documents exist.”</w:t>
            </w:r>
          </w:p>
        </w:tc>
      </w:tr>
    </w:tbl>
    <w:p>
      <w:pPr>
        <w:keepNext w:val="0"/>
        <w:widowControl/>
        <w:spacing w:after="140" w:before="60" w:line="257" w:lineRule="auto"/>
        <w:jc w:val="center"/>
      </w:pPr>
      <w:r>
        <w:rPr>
          <w:rFonts w:ascii="Times New Roman" w:hAnsi="Times New Roman" w:cs="Times New Roman"/>
          <w:i w:val="0"/>
          <w:sz w:val="18"/>
        </w:rPr>
        <w:t>Table A.E5: Proposed annotation guide for provides.</w:t>
      </w:r>
    </w:p>
    <w:p>
      <w:pPr>
        <w:widowControl/>
        <w:spacing w:after="100" w:line="252" w:lineRule="auto"/>
      </w:pPr>
      <w:r>
        <w:rPr>
          <w:rFonts w:ascii="Times New Roman" w:hAnsi="Times New Roman" w:cs="Times New Roman"/>
          <w:b/>
          <w:sz w:val="19"/>
        </w:rPr>
        <w:t xml:space="preserve">Endpoint rule. </w:t>
      </w:r>
      <w:r>
        <w:rPr>
          <w:rFonts w:ascii="Times New Roman" w:hAnsi="Times New Roman" w:cs="Times New Roman"/>
          <w:i w:val="0"/>
          <w:sz w:val="19"/>
        </w:rPr>
        <w:t>ToolResult → Context. User-supplied Context needs no provides edge unless it was itself delivered through a recorded tool result.</w:t>
      </w:r>
    </w:p>
    <w:p>
      <w:pPr>
        <w:widowControl/>
        <w:spacing w:after="100" w:line="252" w:lineRule="auto"/>
      </w:pPr>
      <w:r>
        <w:rPr>
          <w:rFonts w:ascii="Times New Roman" w:hAnsi="Times New Roman" w:cs="Times New Roman"/>
          <w:b/>
          <w:sz w:val="19"/>
        </w:rPr>
        <w:t xml:space="preserve">Evidence rule. </w:t>
      </w:r>
      <w:r>
        <w:rPr>
          <w:rFonts w:ascii="Times New Roman" w:hAnsi="Times New Roman" w:cs="Times New Roman"/>
          <w:i w:val="0"/>
          <w:sz w:val="19"/>
        </w:rPr>
        <w:t>span_derived for verified extraction, with source location and transformation metadata. Never treat a generated summary as an exact source span.</w:t>
      </w:r>
    </w:p>
    <w:p>
      <w:pPr>
        <w:widowControl/>
        <w:spacing w:after="100" w:line="252" w:lineRule="auto"/>
      </w:pPr>
      <w:r>
        <w:rPr>
          <w:rFonts w:ascii="Times New Roman" w:hAnsi="Times New Roman" w:cs="Times New Roman"/>
          <w:b/>
          <w:sz w:val="19"/>
        </w:rPr>
        <w:t xml:space="preserve">Negative example. </w:t>
      </w:r>
      <w:r>
        <w:rPr>
          <w:rFonts w:ascii="Times New Roman" w:hAnsi="Times New Roman" w:cs="Times New Roman"/>
          <w:i w:val="0"/>
          <w:sz w:val="19"/>
        </w:rPr>
        <w:t>A result listing a URL does not provide the unseen full text of that page. Record the search snippet; add full-document Context only after an observed fetch or another available source.</w:t>
      </w:r>
    </w:p>
    <w:p>
      <w:pPr>
        <w:pStyle w:val="Heading1"/>
        <w:pageBreakBefore/>
        <w:widowControl/>
      </w:pPr>
      <w:r>
        <w:t>A.E3.4  grounded_in</w:t>
      </w:r>
    </w:p>
    <w:p>
      <w:pPr>
        <w:keepNext w:val="0"/>
        <w:widowControl/>
        <w:spacing w:after="140" w:before="0" w:line="257" w:lineRule="auto"/>
      </w:pPr>
      <w:r>
        <w:rPr>
          <w:rFonts w:ascii="Times New Roman" w:hAnsi="Times New Roman" w:cs="Times New Roman"/>
          <w:i w:val="0"/>
          <w:sz w:val="20"/>
        </w:rPr>
        <w:t>grounded_in attributes information dependence to an earlier Context span. It is a semantic/provenance judgment and requires more than a shared topic or an explicit citation marker.</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EEDFF8"/>
              </w:rPr>
              <w:t xml:space="preserve"> grounded_in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grounded_in connects earlier Context to a later original text-role node whose content depends on information in that Context. Read the label from the target: the later statement is grounded in the earlier context. Require that the context was available to the relevant model invocation and that an evidence span explains the attribution. The target may be a paraphrase, derived claim, assumption, plan, reflection, example, or conclusion when its dependence is supported. Fact is excluded in this profile because the original Fact category is independent of supplied context; reassess a purported grounded Fact as Restatement or Reasoning. The edge can coexist with infer or restate because it records evidence provenance. It does not certify correctness, source reliability, or hidden mechanistic dependence.</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Source-based answer</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C1: “The default timeout is 30 seconds.”</w:t>
            </w:r>
            <w:r>
              <w:br/>
            </w:r>
            <w:r>
              <w:rPr>
                <w:rFonts w:ascii="Times New Roman" w:hAnsi="Times New Roman" w:cs="Times New Roman"/>
                <w:i/>
                <w:sz w:val="18"/>
              </w:rPr>
              <w:t>→ grounded_in →</w:t>
            </w:r>
            <w:r>
              <w:br/>
            </w:r>
            <w:r>
              <w:rPr>
                <w:rFonts w:ascii="Times New Roman" w:hAnsi="Times New Roman" w:cs="Times New Roman"/>
                <w:i/>
                <w:sz w:val="18"/>
              </w:rPr>
            </w:r>
            <w:r>
              <w:rPr>
                <w:rFonts w:ascii="Consolas" w:hAnsi="Consolas" w:cs="Consolas"/>
                <w:sz w:val="17"/>
                <w:shd w:val="clear" w:color="auto" w:fill="C3B1E1"/>
              </w:rPr>
              <w:t xml:space="preserve"> Conclusion </w:t>
            </w:r>
            <w:r>
              <w:rPr>
                <w:rFonts w:ascii="Times New Roman" w:hAnsi="Times New Roman" w:cs="Times New Roman"/>
                <w:i/>
                <w:sz w:val="18"/>
              </w:rPr>
              <w:t xml:space="preserve"> K1: “The default timeout is 30 seconds.”</w:t>
            </w:r>
            <w:r>
              <w:br/>
            </w:r>
            <w:r>
              <w:rPr>
                <w:rFonts w:ascii="Times New Roman" w:hAnsi="Times New Roman" w:cs="Times New Roman"/>
                <w:i/>
                <w:sz w:val="18"/>
              </w:rPr>
              <w:t>The matched span and input manifest support evidence attribution.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Derivation using retrieved values</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C2: “A batch has 12 items.” and C3: “Each item weighs 7 units.”</w:t>
            </w:r>
            <w:r>
              <w:br/>
            </w:r>
            <w:r>
              <w:rPr>
                <w:rFonts w:ascii="Times New Roman" w:hAnsi="Times New Roman" w:cs="Times New Roman"/>
                <w:i/>
                <w:sz w:val="18"/>
              </w:rPr>
              <w:t>Both → grounded_in →</w:t>
            </w:r>
            <w:r>
              <w:br/>
            </w:r>
            <w:r>
              <w:rPr>
                <w:rFonts w:ascii="Times New Roman" w:hAnsi="Times New Roman" w:cs="Times New Roman"/>
                <w:i/>
                <w:sz w:val="18"/>
              </w:rPr>
            </w:r>
            <w:r>
              <w:rPr>
                <w:rFonts w:ascii="Consolas" w:hAnsi="Consolas" w:cs="Consolas"/>
                <w:sz w:val="17"/>
                <w:shd w:val="clear" w:color="auto" w:fill="FDFFB6"/>
              </w:rPr>
              <w:t xml:space="preserve"> Reasoning </w:t>
            </w:r>
            <w:r>
              <w:rPr>
                <w:rFonts w:ascii="Times New Roman" w:hAnsi="Times New Roman" w:cs="Times New Roman"/>
                <w:i/>
                <w:sz w:val="18"/>
              </w:rPr>
              <w:t xml:space="preserve"> R1: “The batch weighs 84 units.”</w:t>
            </w:r>
            <w:r>
              <w:br/>
            </w:r>
            <w:r>
              <w:rPr>
                <w:rFonts w:ascii="Times New Roman" w:hAnsi="Times New Roman" w:cs="Times New Roman"/>
                <w:i/>
                <w:sz w:val="18"/>
              </w:rPr>
              <w:t>Add appropriate infer links independently.</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Source-based planning or reflection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C4: “Full details are in the installation manual.”</w:t>
            </w:r>
            <w:r>
              <w:br/>
            </w:r>
            <w:r>
              <w:rPr>
                <w:rFonts w:ascii="Times New Roman" w:hAnsi="Times New Roman" w:cs="Times New Roman"/>
                <w:i/>
                <w:sz w:val="18"/>
              </w:rPr>
              <w:t>→ grounded_in →</w:t>
            </w:r>
            <w:r>
              <w:br/>
            </w:r>
            <w:r>
              <w:rPr>
                <w:rFonts w:ascii="Times New Roman" w:hAnsi="Times New Roman" w:cs="Times New Roman"/>
                <w:i/>
                <w:sz w:val="18"/>
              </w:rPr>
            </w:r>
            <w:r>
              <w:rPr>
                <w:rFonts w:ascii="Consolas" w:hAnsi="Consolas" w:cs="Consolas"/>
                <w:sz w:val="17"/>
                <w:shd w:val="clear" w:color="auto" w:fill="FFADAD"/>
              </w:rPr>
              <w:t xml:space="preserve"> Planning </w:t>
            </w:r>
            <w:r>
              <w:rPr>
                <w:rFonts w:ascii="Times New Roman" w:hAnsi="Times New Roman" w:cs="Times New Roman"/>
                <w:i/>
                <w:sz w:val="18"/>
              </w:rPr>
              <w:t xml:space="preserve"> P1: “I should read that manual.”</w:t>
            </w:r>
            <w:r>
              <w:br/>
            </w:r>
            <w:r>
              <w:rPr>
                <w:rFonts w:ascii="Times New Roman" w:hAnsi="Times New Roman" w:cs="Times New Roman"/>
                <w:i/>
                <w:sz w:val="18"/>
              </w:rPr>
              <w:t>The source informs the expressed plan; invokes requires a separate call.</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Conditional evidence use</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C5: “The estimate assumes constant load.”</w:t>
            </w:r>
            <w:r>
              <w:br/>
            </w:r>
            <w:r>
              <w:rPr>
                <w:rFonts w:ascii="Times New Roman" w:hAnsi="Times New Roman" w:cs="Times New Roman"/>
                <w:i/>
                <w:sz w:val="18"/>
              </w:rPr>
              <w:t>→ grounded_in →</w:t>
            </w:r>
            <w:r>
              <w:br/>
            </w:r>
            <w:r>
              <w:rPr>
                <w:rFonts w:ascii="Times New Roman" w:hAnsi="Times New Roman" w:cs="Times New Roman"/>
                <w:i/>
                <w:sz w:val="18"/>
              </w:rPr>
            </w:r>
            <w:r>
              <w:rPr>
                <w:rFonts w:ascii="Consolas" w:hAnsi="Consolas" w:cs="Consolas"/>
                <w:sz w:val="17"/>
                <w:shd w:val="clear" w:color="auto" w:fill="BDFBDF"/>
              </w:rPr>
              <w:t xml:space="preserve"> Assumption </w:t>
            </w:r>
            <w:r>
              <w:rPr>
                <w:rFonts w:ascii="Times New Roman" w:hAnsi="Times New Roman" w:cs="Times New Roman"/>
                <w:i/>
                <w:sz w:val="18"/>
              </w:rPr>
              <w:t xml:space="preserve"> A1: “I will assume constant load for this estimate.”</w:t>
            </w:r>
            <w:r>
              <w:br/>
            </w:r>
            <w:r>
              <w:rPr>
                <w:rFonts w:ascii="Times New Roman" w:hAnsi="Times New Roman" w:cs="Times New Roman"/>
                <w:i/>
                <w:sz w:val="18"/>
              </w:rPr>
              <w:t>The assumption remains conditional despite having a source.</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Use of an error or empty result</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C6: “This fetch attempt timed out.”</w:t>
            </w:r>
            <w:r>
              <w:br/>
            </w:r>
            <w:r>
              <w:rPr>
                <w:rFonts w:ascii="Times New Roman" w:hAnsi="Times New Roman" w:cs="Times New Roman"/>
                <w:i/>
                <w:sz w:val="18"/>
              </w:rPr>
              <w:t>→ grounded_in →</w:t>
            </w:r>
            <w:r>
              <w:br/>
            </w:r>
            <w:r>
              <w:rPr>
                <w:rFonts w:ascii="Times New Roman" w:hAnsi="Times New Roman" w:cs="Times New Roman"/>
                <w:i/>
                <w:sz w:val="18"/>
              </w:rPr>
            </w:r>
            <w:r>
              <w:rPr>
                <w:rFonts w:ascii="Consolas" w:hAnsi="Consolas" w:cs="Consolas"/>
                <w:sz w:val="17"/>
                <w:shd w:val="clear" w:color="auto" w:fill="A0C4FF"/>
              </w:rPr>
              <w:t xml:space="preserve"> Reflection </w:t>
            </w:r>
            <w:r>
              <w:rPr>
                <w:rFonts w:ascii="Times New Roman" w:hAnsi="Times New Roman" w:cs="Times New Roman"/>
                <w:i/>
                <w:sz w:val="18"/>
              </w:rPr>
              <w:t xml:space="preserve"> F1: “I cannot verify the page from this attempt.”</w:t>
            </w:r>
            <w:r>
              <w:br/>
            </w:r>
            <w:r>
              <w:rPr>
                <w:rFonts w:ascii="Times New Roman" w:hAnsi="Times New Roman" w:cs="Times New Roman"/>
                <w:i/>
                <w:sz w:val="18"/>
              </w:rPr>
              <w:t>The scope is this attempt, not the existence of the page.</w:t>
            </w:r>
          </w:p>
        </w:tc>
      </w:tr>
    </w:tbl>
    <w:p>
      <w:pPr>
        <w:keepNext w:val="0"/>
        <w:widowControl/>
        <w:spacing w:after="140" w:before="60" w:line="257" w:lineRule="auto"/>
        <w:jc w:val="center"/>
      </w:pPr>
      <w:r>
        <w:rPr>
          <w:rFonts w:ascii="Times New Roman" w:hAnsi="Times New Roman" w:cs="Times New Roman"/>
          <w:i w:val="0"/>
          <w:sz w:val="18"/>
        </w:rPr>
        <w:t>Table A.E6: Proposed annotation guide for grounded_in.</w:t>
      </w:r>
    </w:p>
    <w:p>
      <w:pPr>
        <w:widowControl/>
        <w:spacing w:after="100" w:line="252" w:lineRule="auto"/>
      </w:pPr>
      <w:r>
        <w:rPr>
          <w:rFonts w:ascii="Times New Roman" w:hAnsi="Times New Roman" w:cs="Times New Roman"/>
          <w:b/>
          <w:sz w:val="19"/>
        </w:rPr>
        <w:t xml:space="preserve">Endpoint rule. </w:t>
      </w:r>
      <w:r>
        <w:rPr>
          <w:rFonts w:ascii="Times New Roman" w:hAnsi="Times New Roman" w:cs="Times New Roman"/>
          <w:i w:val="0"/>
          <w:sz w:val="19"/>
        </w:rPr>
        <w:t>Context → eligible later text-role node. ToolCall, ToolResult, Context, and context-independent Fact are not targets in this version.</w:t>
      </w:r>
    </w:p>
    <w:p>
      <w:pPr>
        <w:widowControl/>
        <w:spacing w:after="100" w:line="252" w:lineRule="auto"/>
      </w:pPr>
      <w:r>
        <w:rPr>
          <w:rFonts w:ascii="Times New Roman" w:hAnsi="Times New Roman" w:cs="Times New Roman"/>
          <w:b/>
          <w:sz w:val="19"/>
        </w:rPr>
        <w:t xml:space="preserve">Evidence rule. </w:t>
      </w:r>
      <w:r>
        <w:rPr>
          <w:rFonts w:ascii="Times New Roman" w:hAnsi="Times New Roman" w:cs="Times New Roman"/>
          <w:i w:val="0"/>
          <w:sz w:val="19"/>
        </w:rPr>
        <w:t>Normally annotator_inferred, optionally human-reviewed, with matched spans and availability evidence. Numeric confidence is optional and must not be treated as calibrated by default.</w:t>
      </w:r>
    </w:p>
    <w:p>
      <w:pPr>
        <w:widowControl/>
        <w:spacing w:after="100" w:line="252" w:lineRule="auto"/>
      </w:pPr>
      <w:r>
        <w:rPr>
          <w:rFonts w:ascii="Times New Roman" w:hAnsi="Times New Roman" w:cs="Times New Roman"/>
          <w:b/>
          <w:sz w:val="19"/>
        </w:rPr>
        <w:t xml:space="preserve">Negative example. </w:t>
      </w:r>
      <w:r>
        <w:rPr>
          <w:rFonts w:ascii="Times New Roman" w:hAnsi="Times New Roman" w:cs="Times New Roman"/>
          <w:i w:val="0"/>
          <w:sz w:val="19"/>
        </w:rPr>
        <w:t>A result in the log but omitted from the model input is not a grounding source. A citation to a page with unrelated text supports cites only, not grounded_in.</w:t>
      </w:r>
    </w:p>
    <w:p>
      <w:pPr>
        <w:pStyle w:val="Heading1"/>
        <w:pageBreakBefore/>
        <w:widowControl/>
      </w:pPr>
      <w:r>
        <w:t>A.E3.5  cites</w:t>
      </w:r>
    </w:p>
    <w:p>
      <w:pPr>
        <w:keepNext w:val="0"/>
        <w:widowControl/>
        <w:spacing w:after="140" w:before="0" w:line="257" w:lineRule="auto"/>
      </w:pPr>
      <w:r>
        <w:rPr>
          <w:rFonts w:ascii="Times New Roman" w:hAnsi="Times New Roman" w:cs="Times New Roman"/>
          <w:i w:val="0"/>
          <w:sz w:val="20"/>
        </w:rPr>
        <w:t>cites records explicit source attribution. Annotate the reference that is present, even when the source does not support the claim; evaluate support separately.</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EEDFF8"/>
              </w:rPr>
              <w:t xml:space="preserve"> cites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cites connects earlier Context to a later text-role node that explicitly references that context or its source. Read the label from the target: the later statement cites the earlier context. References can be provider citation markers, numbered references, explicit source IDs, URLs, or other unambiguous attribution. Resolve the reference against the actual available source records and preserve its scope, such as a clause or sentence. Citation by itself does not entail grounded_in, infer, or support. An explicit citation can be attached to a parametric Fact without changing the Fact's role if the citation is attribution rather than evidence that the fact was derived from context. If the source is unavailable or ambiguous, retain unresolved citation metadata instead of inventing source content or forcing an edge.</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Resolved source marker</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C1: source_id=S2 with an available manual excerpt.</w:t>
            </w:r>
            <w:r>
              <w:br/>
            </w:r>
            <w:r>
              <w:rPr>
                <w:rFonts w:ascii="Times New Roman" w:hAnsi="Times New Roman" w:cs="Times New Roman"/>
                <w:i/>
                <w:sz w:val="18"/>
              </w:rPr>
              <w:t>→ cites →</w:t>
            </w:r>
            <w:r>
              <w:br/>
            </w:r>
            <w:r>
              <w:rPr>
                <w:rFonts w:ascii="Times New Roman" w:hAnsi="Times New Roman" w:cs="Times New Roman"/>
                <w:i/>
                <w:sz w:val="18"/>
              </w:rPr>
            </w:r>
            <w:r>
              <w:rPr>
                <w:rFonts w:ascii="Consolas" w:hAnsi="Consolas" w:cs="Consolas"/>
                <w:sz w:val="17"/>
                <w:shd w:val="clear" w:color="auto" w:fill="C3B1E1"/>
              </w:rPr>
              <w:t xml:space="preserve"> Conclusion </w:t>
            </w:r>
            <w:r>
              <w:rPr>
                <w:rFonts w:ascii="Times New Roman" w:hAnsi="Times New Roman" w:cs="Times New Roman"/>
                <w:i/>
                <w:sz w:val="18"/>
              </w:rPr>
              <w:t xml:space="preserve"> K1: “The default timeout is 30 seconds [S2].”</w:t>
            </w:r>
            <w:r>
              <w:br/>
            </w:r>
            <w:r>
              <w:rPr>
                <w:rFonts w:ascii="Times New Roman" w:hAnsi="Times New Roman" w:cs="Times New Roman"/>
                <w:i/>
                <w:sz w:val="18"/>
              </w:rPr>
              <w:t>Store the marker and its target text span.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Explicit source attribution</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C2: retrieved record with source_id=manual-7.</w:t>
            </w:r>
            <w:r>
              <w:br/>
            </w:r>
            <w:r>
              <w:rPr>
                <w:rFonts w:ascii="Times New Roman" w:hAnsi="Times New Roman" w:cs="Times New Roman"/>
                <w:i/>
                <w:sz w:val="18"/>
              </w:rPr>
              <w:t>→ cites →</w:t>
            </w:r>
            <w:r>
              <w:br/>
            </w:r>
            <w:r>
              <w:rPr>
                <w:rFonts w:ascii="Times New Roman" w:hAnsi="Times New Roman" w:cs="Times New Roman"/>
                <w:i/>
                <w:sz w:val="18"/>
              </w:rPr>
            </w:r>
            <w:r>
              <w:rPr>
                <w:rFonts w:ascii="Consolas" w:hAnsi="Consolas" w:cs="Consolas"/>
                <w:sz w:val="17"/>
                <w:shd w:val="clear" w:color="auto" w:fill="CAFFBF"/>
              </w:rPr>
              <w:t xml:space="preserve"> Restatement </w:t>
            </w:r>
            <w:r>
              <w:rPr>
                <w:rFonts w:ascii="Times New Roman" w:hAnsi="Times New Roman" w:cs="Times New Roman"/>
                <w:i/>
                <w:sz w:val="18"/>
              </w:rPr>
              <w:t xml:space="preserve"> R1: “According to manual-7, the default is 30 seconds.”</w:t>
            </w:r>
            <w:r>
              <w:br/>
            </w:r>
            <w:r>
              <w:rPr>
                <w:rFonts w:ascii="Times New Roman" w:hAnsi="Times New Roman" w:cs="Times New Roman"/>
                <w:i/>
                <w:sz w:val="18"/>
              </w:rPr>
              <w:t>The record ID is explicit and unambiguous.</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Several cited sources</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C3 (S3) and C4 (S4)</w:t>
            </w:r>
            <w:r>
              <w:br/>
            </w:r>
            <w:r>
              <w:rPr>
                <w:rFonts w:ascii="Times New Roman" w:hAnsi="Times New Roman" w:cs="Times New Roman"/>
                <w:i/>
                <w:sz w:val="18"/>
              </w:rPr>
              <w:t>Both → cites →</w:t>
            </w:r>
            <w:r>
              <w:br/>
            </w:r>
            <w:r>
              <w:rPr>
                <w:rFonts w:ascii="Times New Roman" w:hAnsi="Times New Roman" w:cs="Times New Roman"/>
                <w:i/>
                <w:sz w:val="18"/>
              </w:rPr>
            </w:r>
            <w:r>
              <w:rPr>
                <w:rFonts w:ascii="Consolas" w:hAnsi="Consolas" w:cs="Consolas"/>
                <w:sz w:val="17"/>
                <w:shd w:val="clear" w:color="auto" w:fill="FDFFB6"/>
              </w:rPr>
              <w:t xml:space="preserve"> Reasoning </w:t>
            </w:r>
            <w:r>
              <w:rPr>
                <w:rFonts w:ascii="Times New Roman" w:hAnsi="Times New Roman" w:cs="Times New Roman"/>
                <w:i/>
                <w:sz w:val="18"/>
              </w:rPr>
              <w:t xml:space="preserve"> R2: “Both manuals specify the same value [S3, S4].”</w:t>
            </w:r>
            <w:r>
              <w:br/>
            </w:r>
            <w:r>
              <w:rPr>
                <w:rFonts w:ascii="Times New Roman" w:hAnsi="Times New Roman" w:cs="Times New Roman"/>
                <w:i/>
                <w:sz w:val="18"/>
              </w:rPr>
              <w:t>Resolve and annotate each citation independently.</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Citation without support</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E0E0E0"/>
              </w:rPr>
              <w:t xml:space="preserve"> Context </w:t>
            </w:r>
            <w:r>
              <w:rPr>
                <w:rFonts w:ascii="Times New Roman" w:hAnsi="Times New Roman" w:cs="Times New Roman"/>
                <w:i/>
                <w:sz w:val="18"/>
              </w:rPr>
              <w:t xml:space="preserve"> C5: a source about installation paths.</w:t>
            </w:r>
            <w:r>
              <w:br/>
            </w:r>
            <w:r>
              <w:rPr>
                <w:rFonts w:ascii="Times New Roman" w:hAnsi="Times New Roman" w:cs="Times New Roman"/>
                <w:i/>
                <w:sz w:val="18"/>
              </w:rPr>
              <w:t>→ cites →</w:t>
            </w:r>
            <w:r>
              <w:br/>
            </w:r>
            <w:r>
              <w:rPr>
                <w:rFonts w:ascii="Times New Roman" w:hAnsi="Times New Roman" w:cs="Times New Roman"/>
                <w:i/>
                <w:sz w:val="18"/>
              </w:rPr>
            </w:r>
            <w:r>
              <w:rPr>
                <w:rFonts w:ascii="Consolas" w:hAnsi="Consolas" w:cs="Consolas"/>
                <w:sz w:val="17"/>
                <w:shd w:val="clear" w:color="auto" w:fill="C3B1E1"/>
              </w:rPr>
              <w:t xml:space="preserve"> Conclusion </w:t>
            </w:r>
            <w:r>
              <w:rPr>
                <w:rFonts w:ascii="Times New Roman" w:hAnsi="Times New Roman" w:cs="Times New Roman"/>
                <w:i/>
                <w:sz w:val="18"/>
              </w:rPr>
              <w:t xml:space="preserve"> K2: “The timeout is 30 seconds [S5].”</w:t>
            </w:r>
            <w:r>
              <w:br/>
            </w:r>
            <w:r>
              <w:rPr>
                <w:rFonts w:ascii="Times New Roman" w:hAnsi="Times New Roman" w:cs="Times New Roman"/>
                <w:i/>
                <w:sz w:val="18"/>
              </w:rPr>
              <w:t>The citation is explicit, but its content does not justify grounded_in or support.</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Delayed citation metadata</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t>The provider emits a reference mapping after the answer. If the referenced Context was available before the statement, resolve the cites edge using that logical order.</w:t>
            </w:r>
            <w:r>
              <w:br/>
            </w:r>
            <w:r>
              <w:rPr>
                <w:rFonts w:ascii="Times New Roman" w:hAnsi="Times New Roman" w:cs="Times New Roman"/>
                <w:i/>
                <w:sz w:val="18"/>
              </w:rPr>
              <w:t>Otherwise keep the reference unresolved; do not invent earlier access.</w:t>
            </w:r>
          </w:p>
        </w:tc>
      </w:tr>
    </w:tbl>
    <w:p>
      <w:pPr>
        <w:keepNext w:val="0"/>
        <w:widowControl/>
        <w:spacing w:after="140" w:before="60" w:line="257" w:lineRule="auto"/>
        <w:jc w:val="center"/>
      </w:pPr>
      <w:r>
        <w:rPr>
          <w:rFonts w:ascii="Times New Roman" w:hAnsi="Times New Roman" w:cs="Times New Roman"/>
          <w:i w:val="0"/>
          <w:sz w:val="18"/>
        </w:rPr>
        <w:t>Table A.E7: Proposed annotation guide for cites.</w:t>
      </w:r>
    </w:p>
    <w:p>
      <w:pPr>
        <w:widowControl/>
        <w:spacing w:after="100" w:line="252" w:lineRule="auto"/>
      </w:pPr>
      <w:r>
        <w:rPr>
          <w:rFonts w:ascii="Times New Roman" w:hAnsi="Times New Roman" w:cs="Times New Roman"/>
          <w:b/>
          <w:sz w:val="19"/>
        </w:rPr>
        <w:t xml:space="preserve">Endpoint rule. </w:t>
      </w:r>
      <w:r>
        <w:rPr>
          <w:rFonts w:ascii="Times New Roman" w:hAnsi="Times New Roman" w:cs="Times New Roman"/>
          <w:i w:val="0"/>
          <w:sz w:val="19"/>
        </w:rPr>
        <w:t>Context → later original text-role node with an explicit reference. The marker may be in reasoning text or the user-visible answer; preserve the channel.</w:t>
      </w:r>
    </w:p>
    <w:p>
      <w:pPr>
        <w:widowControl/>
        <w:spacing w:after="100" w:line="252" w:lineRule="auto"/>
      </w:pPr>
      <w:r>
        <w:rPr>
          <w:rFonts w:ascii="Times New Roman" w:hAnsi="Times New Roman" w:cs="Times New Roman"/>
          <w:b/>
          <w:sz w:val="19"/>
        </w:rPr>
        <w:t xml:space="preserve">Evidence rule. </w:t>
      </w:r>
      <w:r>
        <w:rPr>
          <w:rFonts w:ascii="Times New Roman" w:hAnsi="Times New Roman" w:cs="Times New Roman"/>
          <w:i w:val="0"/>
          <w:sz w:val="19"/>
        </w:rPr>
        <w:t>explicit_reference with a citation locator and source-resolution record. Human review can resolve an ambiguous reference but should record the original ambiguity.</w:t>
      </w:r>
    </w:p>
    <w:p>
      <w:pPr>
        <w:widowControl/>
        <w:spacing w:after="100" w:line="252" w:lineRule="auto"/>
      </w:pPr>
      <w:r>
        <w:rPr>
          <w:rFonts w:ascii="Times New Roman" w:hAnsi="Times New Roman" w:cs="Times New Roman"/>
          <w:b/>
          <w:sz w:val="19"/>
        </w:rPr>
        <w:t xml:space="preserve">Negative example. </w:t>
      </w:r>
      <w:r>
        <w:rPr>
          <w:rFonts w:ascii="Times New Roman" w:hAnsi="Times New Roman" w:cs="Times New Roman"/>
          <w:i w:val="0"/>
          <w:sz w:val="19"/>
        </w:rPr>
        <w:t>Two statements using the same terminology do not establish citation. A naked URL with no recoverable source record is reference metadata, not an invented Context containing unseen page text.</w:t>
      </w:r>
    </w:p>
    <w:p>
      <w:pPr>
        <w:pStyle w:val="Heading1"/>
        <w:pageBreakBefore/>
        <w:widowControl/>
      </w:pPr>
      <w:r>
        <w:t>A.E3.6  retry_of</w:t>
      </w:r>
    </w:p>
    <w:p>
      <w:pPr>
        <w:keepNext w:val="0"/>
        <w:widowControl/>
        <w:spacing w:after="140" w:before="0" w:line="257" w:lineRule="auto"/>
      </w:pPr>
      <w:r>
        <w:rPr>
          <w:rFonts w:ascii="Times New Roman" w:hAnsi="Times New Roman" w:cs="Times New Roman"/>
          <w:i w:val="0"/>
          <w:sz w:val="20"/>
        </w:rPr>
        <w:t>retry_of describes operational repetition of the same objective. It is separate from the model's change of plan, which the original schema can represent with backtrack.</w:t>
      </w:r>
    </w:p>
    <w:tbl>
      <w:tblPr>
        <w:tblW w:type="auto" w:w="0"/>
        <w:jc w:val="center"/>
        <w:tblLayout w:type="fixed"/>
        <w:tblLook w:firstColumn="1" w:firstRow="1" w:lastColumn="0" w:lastRow="0" w:noHBand="0" w:noVBand="1" w:val="04A0"/>
      </w:tblPr>
      <w:tblGrid>
        <w:gridCol w:w="1325"/>
        <w:gridCol w:w="2966"/>
        <w:gridCol w:w="1584"/>
        <w:gridCol w:w="3154"/>
      </w:tblGrid>
      <w:tr>
        <w:trPr>
          <w:cantSplit/>
          <w:tblHeader/>
        </w:trPr>
        <w:tc>
          <w:tcPr>
            <w:tcW w:type="dxa" w:w="132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Label</w:t>
            </w:r>
          </w:p>
        </w:tc>
        <w:tc>
          <w:tcPr>
            <w:tcW w:type="dxa" w:w="2966"/>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Description</w:t>
            </w:r>
          </w:p>
        </w:tc>
        <w:tc>
          <w:tcPr>
            <w:tcW w:type="dxa" w:w="158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Subtype</w:t>
            </w:r>
          </w:p>
        </w:tc>
        <w:tc>
          <w:tcPr>
            <w:tcW w:type="dxa" w:w="315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spacing w:line="252" w:lineRule="auto" w:after="0"/>
            </w:pPr>
            <w:r>
              <w:rPr>
                <w:rFonts w:ascii="Times New Roman" w:hAnsi="Times New Roman" w:cs="Times New Roman"/>
                <w:b/>
                <w:sz w:val="18"/>
              </w:rPr>
              <w:t>Example</w:t>
            </w:r>
          </w:p>
        </w:tc>
      </w:tr>
      <w:tr>
        <w:trPr>
          <w:cantSplit/>
        </w:trPr>
        <w:tc>
          <w:tcPr>
            <w:tcW w:type="dxa" w:w="1325"/>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Consolas" w:hAnsi="Consolas" w:cs="Consolas"/>
                <w:sz w:val="18"/>
                <w:shd w:val="clear" w:color="auto" w:fill="EEDFF8"/>
              </w:rPr>
              <w:t xml:space="preserve"> retry_of </w:t>
            </w:r>
          </w:p>
          <w:p>
            <w:pPr>
              <w:widowControl/>
              <w:spacing w:line="252" w:lineRule="auto" w:after="0"/>
            </w:pPr>
            <w:r>
              <w:rPr>
                <w:rFonts w:ascii="Times New Roman" w:hAnsi="Times New Roman" w:cs="Times New Roman"/>
                <w:b/>
                <w:sz w:val="15"/>
              </w:rPr>
              <w:t>NEW</w:t>
            </w:r>
          </w:p>
        </w:tc>
        <w:tc>
          <w:tcPr>
            <w:tcW w:type="dxa" w:w="2966"/>
            <w:vAlign w:val="top"/>
            <w:tcMar>
              <w:top w:w="55" w:type="dxa"/>
              <w:bottom w:w="55" w:type="dxa"/>
              <w:left w:w="55" w:type="dxa"/>
              <w:right w:w="65" w:type="dxa"/>
            </w:tcMar>
            <w:vMerge w:val="restart"/>
            <w:tcBorders>
              <w:top w:val="nil" w:sz="4" w:color="333333"/>
              <w:bottom w:val="single" w:sz="7" w:color="333333"/>
              <w:left w:val="nil" w:sz="4" w:color="333333"/>
              <w:right w:val="nil" w:sz="4" w:color="333333"/>
            </w:tcBorders>
          </w:tcPr>
          <w:p>
            <w:pPr>
              <w:widowControl/>
              <w:spacing w:line="252" w:lineRule="auto" w:after="0"/>
            </w:pPr>
            <w:r/>
            <w:r>
              <w:rPr>
                <w:rFonts w:ascii="Times New Roman" w:hAnsi="Times New Roman" w:cs="Times New Roman"/>
                <w:i w:val="0"/>
                <w:sz w:val="18"/>
              </w:rPr>
              <w:t>retry_of connects an earlier ToolCall attempt to a later ToolCall that retries that operation for the same objective. Read the label from the target: the later call is a retry of the earlier call. Prefer an explicit retry parent, attempt counter, or orchestration record. Arguments may remain identical or change slightly to repair an execution-level problem, such as valid request formatting or a permitted timeout adjustment. A new investigation, independent verification, changed hypothesis, or different search strategy is not automatically a retry. Annotate the immediately preceding retry attempt rather than every pair in a chain. Store original objective and retry lineage as metadata. A retry request need not succeed, and its status is independent of this edge.</w:t>
            </w: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Transient execution failure</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T1: fetch manual; attempt=1; observed timeout.</w:t>
            </w:r>
            <w:r>
              <w:br/>
            </w:r>
            <w:r>
              <w:rPr>
                <w:rFonts w:ascii="Times New Roman" w:hAnsi="Times New Roman" w:cs="Times New Roman"/>
                <w:i/>
                <w:sz w:val="18"/>
              </w:rPr>
              <w:t>→ retry_of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T2: same fetch; attempt=2; retry_parent=T1.</w:t>
            </w:r>
            <w:r>
              <w:br/>
            </w:r>
            <w:r>
              <w:rPr>
                <w:rFonts w:ascii="Times New Roman" w:hAnsi="Times New Roman" w:cs="Times New Roman"/>
                <w:i/>
                <w:sz w:val="18"/>
              </w:rPr>
              <w:t>A result from T1 may remain separately attached through returns.</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Request repair</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T3: query rejected because a required format field is missing.</w:t>
            </w:r>
            <w:r>
              <w:br/>
            </w:r>
            <w:r>
              <w:rPr>
                <w:rFonts w:ascii="Times New Roman" w:hAnsi="Times New Roman" w:cs="Times New Roman"/>
                <w:i/>
                <w:sz w:val="18"/>
              </w:rPr>
              <w:t>→ retry_of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T4: repaired request for the same query objective, with recorded retry lineage.</w:t>
            </w:r>
            <w:r>
              <w:br/>
            </w:r>
            <w:r>
              <w:rPr>
                <w:rFonts w:ascii="Times New Roman" w:hAnsi="Times New Roman" w:cs="Times New Roman"/>
                <w:i/>
                <w:sz w:val="18"/>
              </w:rPr>
              <w:t>A different information objective would require separate review.</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val="0"/>
                <w:sz w:val="18"/>
              </w:rPr>
              <w:t>Recorded backoff retry</w:t>
            </w:r>
          </w:p>
        </w:tc>
        <w:tc>
          <w:tcPr>
            <w:tcW w:type="dxa" w:w="3154"/>
            <w:vAlign w:val="top"/>
            <w:tcMar>
              <w:top w:w="55" w:type="dxa"/>
              <w:bottom w:w="55" w:type="dxa"/>
              <w:left w:w="55" w:type="dxa"/>
              <w:right w:w="65" w:type="dxa"/>
            </w:tcMar>
            <w:tcBorders>
              <w:top w:val="nil" w:sz="4" w:color="333333"/>
              <w:bottom w:val="single" w:sz="4" w:color="777777"/>
              <w:left w:val="nil" w:sz="4" w:color="333333"/>
              <w:right w:val="nil" w:sz="4" w:color="333333"/>
            </w:tcBorders>
          </w:tcPr>
          <w:p>
            <w:pPr>
              <w:widowControl/>
              <w:spacing w:line="252" w:lineRule="auto" w:after="0"/>
            </w:pP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T5: search request receives a retryable runtime status.</w:t>
            </w:r>
            <w:r>
              <w:br/>
            </w:r>
            <w:r>
              <w:rPr>
                <w:rFonts w:ascii="Times New Roman" w:hAnsi="Times New Roman" w:cs="Times New Roman"/>
                <w:i/>
                <w:sz w:val="18"/>
              </w:rPr>
              <w:t>→ retry_of →</w:t>
            </w:r>
            <w:r>
              <w:br/>
            </w:r>
            <w:r>
              <w:rPr>
                <w:rFonts w:ascii="Times New Roman" w:hAnsi="Times New Roman" w:cs="Times New Roman"/>
                <w:i/>
                <w:sz w:val="18"/>
              </w:rPr>
            </w:r>
            <w:r>
              <w:rPr>
                <w:rFonts w:ascii="Consolas" w:hAnsi="Consolas" w:cs="Consolas"/>
                <w:sz w:val="17"/>
                <w:shd w:val="clear" w:color="auto" w:fill="CDEFEF"/>
              </w:rPr>
              <w:t xml:space="preserve"> ToolCall </w:t>
            </w:r>
            <w:r>
              <w:rPr>
                <w:rFonts w:ascii="Times New Roman" w:hAnsi="Times New Roman" w:cs="Times New Roman"/>
                <w:i/>
                <w:sz w:val="18"/>
              </w:rPr>
              <w:t xml:space="preserve"> T6: orchestrator reissues the same objective after backoff.</w:t>
            </w:r>
            <w:r>
              <w:br/>
            </w:r>
            <w:r>
              <w:rPr>
                <w:rFonts w:ascii="Times New Roman" w:hAnsi="Times New Roman" w:cs="Times New Roman"/>
                <w:i/>
                <w:sz w:val="18"/>
              </w:rPr>
              <w:t>Use the recorded runtime association.</w:t>
            </w:r>
          </w:p>
        </w:tc>
      </w:tr>
      <w:tr>
        <w:trPr>
          <w:cantSplit/>
        </w:trPr>
        <w:tc>
          <w:tcPr>
            <w:tcW w:type="dxa" w:w="1325"/>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2966"/>
            <w:vAlign w:val="top"/>
            <w:tcMar>
              <w:top w:w="55" w:type="dxa"/>
              <w:bottom w:w="55" w:type="dxa"/>
              <w:left w:w="55" w:type="dxa"/>
              <w:right w:w="65" w:type="dxa"/>
            </w:tcMar>
            <w:vMerge/>
            <w:tcBorders>
              <w:top w:val="nil" w:sz="4" w:color="333333"/>
              <w:bottom w:val="nil" w:sz="4" w:color="333333"/>
              <w:left w:val="nil" w:sz="4" w:color="333333"/>
              <w:right w:val="nil" w:sz="4" w:color="333333"/>
            </w:tcBorders>
          </w:tcPr>
          <w:p/>
        </w:tc>
        <w:tc>
          <w:tcPr>
            <w:tcW w:type="dxa" w:w="158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val="0"/>
                <w:sz w:val="18"/>
              </w:rPr>
              <w:t>Retry chain</w:t>
            </w:r>
          </w:p>
        </w:tc>
        <w:tc>
          <w:tcPr>
            <w:tcW w:type="dxa" w:w="3154"/>
            <w:vAlign w:val="top"/>
            <w:tcMar>
              <w:top w:w="55" w:type="dxa"/>
              <w:bottom w:w="55" w:type="dxa"/>
              <w:left w:w="55" w:type="dxa"/>
              <w:right w:w="65" w:type="dxa"/>
            </w:tcMar>
            <w:tcBorders>
              <w:top w:val="nil" w:sz="4" w:color="333333"/>
              <w:bottom w:val="single" w:sz="7" w:color="333333"/>
              <w:left w:val="nil" w:sz="4" w:color="333333"/>
              <w:right w:val="nil" w:sz="4" w:color="333333"/>
            </w:tcBorders>
          </w:tcPr>
          <w:p>
            <w:pPr>
              <w:widowControl/>
              <w:spacing w:line="252" w:lineRule="auto" w:after="0"/>
            </w:pPr>
            <w:r>
              <w:rPr>
                <w:rFonts w:ascii="Times New Roman" w:hAnsi="Times New Roman" w:cs="Times New Roman"/>
                <w:i/>
                <w:sz w:val="18"/>
              </w:rPr>
              <w:t>T7 attempt=1 → retry_of → T8 attempt=2 → retry_of → T9 attempt=3.</w:t>
            </w:r>
            <w:r>
              <w:br/>
            </w:r>
            <w:r>
              <w:rPr>
                <w:rFonts w:ascii="Times New Roman" w:hAnsi="Times New Roman" w:cs="Times New Roman"/>
                <w:i/>
                <w:sz w:val="18"/>
              </w:rPr>
              <w:t>Do not add T7 → T9 merely because both belong to the same retry chain. The chain root can be stored as metadata.</w:t>
            </w:r>
          </w:p>
        </w:tc>
      </w:tr>
    </w:tbl>
    <w:p>
      <w:pPr>
        <w:keepNext w:val="0"/>
        <w:widowControl/>
        <w:spacing w:after="140" w:before="60" w:line="257" w:lineRule="auto"/>
        <w:jc w:val="center"/>
      </w:pPr>
      <w:r>
        <w:rPr>
          <w:rFonts w:ascii="Times New Roman" w:hAnsi="Times New Roman" w:cs="Times New Roman"/>
          <w:i w:val="0"/>
          <w:sz w:val="18"/>
        </w:rPr>
        <w:t>Table A.E8: Proposed annotation guide for retry_of.</w:t>
      </w:r>
    </w:p>
    <w:p>
      <w:pPr>
        <w:widowControl/>
        <w:spacing w:after="100" w:line="252" w:lineRule="auto"/>
      </w:pPr>
      <w:r>
        <w:rPr>
          <w:rFonts w:ascii="Times New Roman" w:hAnsi="Times New Roman" w:cs="Times New Roman"/>
          <w:b/>
          <w:sz w:val="19"/>
        </w:rPr>
        <w:t xml:space="preserve">Endpoint rule. </w:t>
      </w:r>
      <w:r>
        <w:rPr>
          <w:rFonts w:ascii="Times New Roman" w:hAnsi="Times New Roman" w:cs="Times New Roman"/>
          <w:i w:val="0"/>
          <w:sz w:val="19"/>
        </w:rPr>
        <w:t>Earlier ToolCall → later ToolCall. A self-loop is invalid. A result is not the source of retry_of, though its error may explain the retry in metadata.</w:t>
      </w:r>
    </w:p>
    <w:p>
      <w:pPr>
        <w:widowControl/>
        <w:spacing w:after="100" w:line="252" w:lineRule="auto"/>
      </w:pPr>
      <w:r>
        <w:rPr>
          <w:rFonts w:ascii="Times New Roman" w:hAnsi="Times New Roman" w:cs="Times New Roman"/>
          <w:b/>
          <w:sz w:val="19"/>
        </w:rPr>
        <w:t xml:space="preserve">Evidence rule. </w:t>
      </w:r>
      <w:r>
        <w:rPr>
          <w:rFonts w:ascii="Times New Roman" w:hAnsi="Times New Roman" w:cs="Times New Roman"/>
          <w:i w:val="0"/>
          <w:sz w:val="19"/>
        </w:rPr>
        <w:t>runtime_observed when retry lineage is recorded; otherwise an explicitly reviewed inference with its basis. Similar arguments alone are insufficient.</w:t>
      </w:r>
    </w:p>
    <w:p>
      <w:pPr>
        <w:widowControl/>
        <w:spacing w:after="100" w:line="252" w:lineRule="auto"/>
      </w:pPr>
      <w:r>
        <w:rPr>
          <w:rFonts w:ascii="Times New Roman" w:hAnsi="Times New Roman" w:cs="Times New Roman"/>
          <w:b/>
          <w:sz w:val="19"/>
        </w:rPr>
        <w:t xml:space="preserve">Negative example. </w:t>
      </w:r>
      <w:r>
        <w:rPr>
          <w:rFonts w:ascii="Times New Roman" w:hAnsi="Times New Roman" w:cs="Times New Roman"/>
          <w:i w:val="0"/>
          <w:sz w:val="19"/>
        </w:rPr>
        <w:t>“That evidence is weak; I will search a different archive” introduces an alternative Planning node. Use backtrack between plans where appropriate, then invokes to the new call; do not force retry_of.</w:t>
      </w:r>
    </w:p>
    <w:p>
      <w:pPr>
        <w:pStyle w:val="Heading1"/>
        <w:pageBreakBefore/>
        <w:widowControl/>
      </w:pPr>
      <w:r>
        <w:t>A.E4  Compatibility with the original semantic guide</w:t>
      </w:r>
    </w:p>
    <w:p>
      <w:pPr>
        <w:keepNext w:val="0"/>
        <w:widowControl/>
        <w:spacing w:after="120" w:before="0" w:line="257" w:lineRule="auto"/>
      </w:pPr>
      <w:r>
        <w:rPr>
          <w:rFonts w:ascii="Times New Roman" w:hAnsi="Times New Roman" w:cs="Times New Roman"/>
          <w:i w:val="0"/>
          <w:sz w:val="21"/>
        </w:rPr>
        <w:t>The new records surround the original discourse annotation rather than replacing it. Apply the original role definitions to text about a tool, and apply the operational labels to recorded requests and responses. The distinctions below are adapted from Appendix A of [1] and constrained by this proposed extension.</w:t>
      </w:r>
    </w:p>
    <w:tbl>
      <w:tblPr>
        <w:tblW w:type="auto" w:w="0"/>
        <w:jc w:val="center"/>
        <w:tblLayout w:type="fixed"/>
        <w:tblLook w:firstColumn="1" w:firstRow="1" w:lastColumn="0" w:lastRow="0" w:noHBand="0" w:noVBand="1" w:val="04A0"/>
      </w:tblPr>
      <w:tblGrid>
        <w:gridCol w:w="2131"/>
        <w:gridCol w:w="6893"/>
      </w:tblGrid>
      <w:tr>
        <w:trPr>
          <w:cantSplit/>
          <w:tblHeader/>
        </w:trPr>
        <w:tc>
          <w:tcPr>
            <w:tcW w:type="dxa" w:w="2131"/>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9"/>
              </w:rPr>
              <w:t>Distinction</w:t>
            </w:r>
          </w:p>
        </w:tc>
        <w:tc>
          <w:tcPr>
            <w:tcW w:type="dxa" w:w="6893"/>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9"/>
              </w:rPr>
              <w:t>Annotation rule</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Context / Fact</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A returned manual paragraph is Context. A model paraphrase is Restatement; a deduction from it is Reasoning. Fact remains knowledge independent of supplied context.</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execute / invokes</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Planning → execute → a text step that implements the plan. Planning → invokes → a recorded external request. A tool dispatch is not a Reasoning node.</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restate / grounded_in</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Context → restate → a faithful paraphrase records the discourse relation. A coexisting grounded_in edge records evidence provenance. Neither is implied by mere topic similarity.</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infer / provides</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Context → infer → a derived claim. ToolResult → provides → a span in Context. Extraction is not logical inference.</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verify / returns</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Claim → verify → a plan to check it. A tool returning data only creates returns; verification has not been established solely by a successful response.</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support / cites</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Earlier claim → support → an independently derived consistent claim. Context → cites → an explicit source reference. A source URL is not a support relation.</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attack / negative</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An explicit contradictory answer or correction can receive attack from the earlier claim. “This seems wrong” is a Reflection and may receive negative instead.</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backtrack / retry_of</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A new reasoning plan can backtrack from an earlier plan. A technical reattempt of the same operation can be retry_of an earlier ToolCall.</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proceed / timeline order</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proceed leads to a Planning or Assumption node under the original guide. Do not use it to connect every adjacent event or to hide a missing operational relationship.</w:t>
            </w:r>
          </w:p>
        </w:tc>
      </w:tr>
      <w:tr>
        <w:trPr>
          <w:cantSplit/>
        </w:trPr>
        <w:tc>
          <w:tcPr>
            <w:tcW w:type="dxa" w:w="2131"/>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Conclusion / finality</w:t>
            </w:r>
          </w:p>
        </w:tc>
        <w:tc>
          <w:tcPr>
            <w:tcW w:type="dxa" w:w="689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Candidate answers can be Conclusion during streaming. Finality is episode metadata. An interrupted trace does not require a fabricated Conclusion.</w:t>
            </w:r>
          </w:p>
        </w:tc>
      </w:tr>
    </w:tbl>
    <w:p>
      <w:pPr>
        <w:keepNext w:val="0"/>
        <w:widowControl/>
        <w:spacing w:after="120" w:before="160" w:line="257" w:lineRule="auto"/>
      </w:pPr>
      <w:r>
        <w:rPr>
          <w:rFonts w:ascii="Times New Roman" w:hAnsi="Times New Roman" w:cs="Times New Roman"/>
          <w:i w:val="0"/>
          <w:sz w:val="21"/>
        </w:rPr>
        <w:t>Multiple valid links can coexist between a source and destination. For example, a manual excerpt can be connected to a final answer by infer, grounded_in, and cites when each definition is satisfied. The three labels record different relationships. Do not generate the extra edges by implication or remove them as duplicate endpoint pairs.</w:t>
      </w:r>
    </w:p>
    <w:p>
      <w:pPr>
        <w:keepNext w:val="0"/>
        <w:widowControl/>
        <w:spacing w:after="120" w:before="0" w:line="257" w:lineRule="auto"/>
      </w:pPr>
      <w:r>
        <w:rPr>
          <w:rFonts w:ascii="Times New Roman" w:hAnsi="Times New Roman" w:cs="Times New Roman"/>
          <w:i w:val="0"/>
          <w:sz w:val="21"/>
        </w:rPr>
        <w:t>For support and attack, preserve the original direction from an earlier proposition to a later independent agreement or contradiction. Compare conclusions only when they address the same question. A cited document may be unreliable; the citation remains an explicit attribution while its content and the later reasoning require separate evaluation.</w:t>
      </w:r>
    </w:p>
    <w:p>
      <w:pPr>
        <w:keepNext w:val="0"/>
        <w:widowControl/>
        <w:spacing w:after="0" w:before="0" w:line="257" w:lineRule="auto"/>
      </w:pPr>
      <w:r>
        <w:rPr>
          <w:rFonts w:ascii="Times New Roman" w:hAnsi="Times New Roman" w:cs="Times New Roman"/>
          <w:i w:val="0"/>
          <w:sz w:val="21"/>
        </w:rPr>
        <w:t>Evidence-path displays must select relationship types deliberately. A path that reaches a final answer through attack does not make the earlier wrong claim a supporting premise. A returns/provides chain establishes execution and extraction provenance, not a logical derivation.</w:t>
      </w:r>
    </w:p>
    <w:p>
      <w:pPr>
        <w:pStyle w:val="Heading1"/>
        <w:pageBreakBefore/>
        <w:widowControl/>
      </w:pPr>
      <w:r>
        <w:t>A.E5.1  Worked example: search, verification, and correction</w:t>
      </w:r>
    </w:p>
    <w:p>
      <w:pPr>
        <w:keepNext w:val="0"/>
        <w:widowControl/>
        <w:spacing w:after="120" w:before="0" w:line="257" w:lineRule="auto"/>
      </w:pPr>
      <w:r>
        <w:rPr>
          <w:rFonts w:ascii="Times New Roman" w:hAnsi="Times New Roman" w:cs="Times New Roman"/>
          <w:i w:val="0"/>
          <w:sz w:val="21"/>
        </w:rPr>
        <w:t>DemoCache and the values in this example are invented. The search snippet states a timeout of 20 seconds; the opened manual states 30 seconds. The input manifest records that each Context span was available before the associated later statement. These are instructional examples, not a factual claim about a real product.</w:t>
      </w:r>
    </w:p>
    <w:tbl>
      <w:tblPr>
        <w:tblW w:type="auto" w:w="0"/>
        <w:jc w:val="center"/>
        <w:tblLayout w:type="fixed"/>
        <w:tblLook w:firstColumn="1" w:firstRow="1" w:lastColumn="0" w:lastRow="0" w:noHBand="0" w:noVBand="1" w:val="04A0"/>
      </w:tblPr>
      <w:tblGrid>
        <w:gridCol w:w="619"/>
        <w:gridCol w:w="1440"/>
        <w:gridCol w:w="6965"/>
      </w:tblGrid>
      <w:tr>
        <w:trPr>
          <w:cantSplit/>
          <w:tblHeader/>
        </w:trPr>
        <w:tc>
          <w:tcPr>
            <w:tcW w:type="dxa" w:w="619"/>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9"/>
              </w:rPr>
              <w:t>ID</w:t>
            </w:r>
          </w:p>
        </w:tc>
        <w:tc>
          <w:tcPr>
            <w:tcW w:type="dxa" w:w="1440"/>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9"/>
              </w:rPr>
              <w:t>Label</w:t>
            </w:r>
          </w:p>
        </w:tc>
        <w:tc>
          <w:tcPr>
            <w:tcW w:type="dxa" w:w="6965"/>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9"/>
              </w:rPr>
              <w:t>Event or exact text</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P1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FFADAD"/>
              </w:rPr>
              <w:t xml:space="preserve"> Planning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“I should search for the DemoCache default timeout.”</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T1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CDEFEF"/>
              </w:rPr>
              <w:t xml:space="preserve"> ToolCall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web_search; call_id=search-1; query=DemoCache default timeout.</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U1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D9E7FC"/>
              </w:rPr>
              <w:t xml:space="preserve"> ToolResult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Observed search list containing S1.</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E0E0E0"/>
              </w:rPr>
              <w:t xml:space="preserve"> Context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S1 snippet: “Default timeout: 20 seconds.” Supplied to the model.</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K1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C3B1E1"/>
              </w:rPr>
              <w:t xml:space="preserve"> Conclusion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“The default timeout is 20 seconds.” Candidate answer.</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F1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A0C4FF"/>
              </w:rPr>
              <w:t xml:space="preserve"> Reflection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“That answer may depend on an outdated snippet.”</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P2</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FFADAD"/>
              </w:rPr>
              <w:t xml:space="preserve"> Planning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“I should check the manual itself.”</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T2</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CDEFEF"/>
              </w:rPr>
              <w:t xml:space="preserve"> ToolCall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document_fetch; call_id=fetch-1; selected manual source.</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U2</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D9E7FC"/>
              </w:rPr>
              <w:t xml:space="preserve"> ToolResult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Observed document-fetch payload and status.</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C2</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E0E0E0"/>
              </w:rPr>
              <w:t xml:space="preserve"> Context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S2 manual: “The default timeout is 30 seconds.” Supplied to the model.</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R1</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CAFFBF"/>
              </w:rPr>
              <w:t xml:space="preserve"> Restatement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“The manual specifies a default timeout of 30 seconds.”</w:t>
            </w:r>
          </w:p>
        </w:tc>
      </w:tr>
      <w:tr>
        <w:trPr>
          <w:cantSplit/>
        </w:trPr>
        <w:tc>
          <w:tcPr>
            <w:tcW w:type="dxa" w:w="61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K2</w:t>
            </w:r>
          </w:p>
        </w:tc>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8"/>
                <w:shd w:val="clear" w:color="auto" w:fill="C3B1E1"/>
              </w:rPr>
              <w:t xml:space="preserve"> Conclusion </w:t>
            </w:r>
          </w:p>
        </w:tc>
        <w:tc>
          <w:tcPr>
            <w:tcW w:type="dxa" w:w="6965"/>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9"/>
              </w:rPr>
              <w:t>“The default timeout is 30 seconds [S2].” Final answer for this episode.</w:t>
            </w:r>
          </w:p>
        </w:tc>
      </w:tr>
    </w:tbl>
    <w:p>
      <w:pPr>
        <w:keepNext w:val="0"/>
        <w:widowControl/>
        <w:spacing w:after="140" w:before="60" w:line="257" w:lineRule="auto"/>
        <w:jc w:val="center"/>
      </w:pPr>
      <w:r>
        <w:rPr>
          <w:rFonts w:ascii="Times New Roman" w:hAnsi="Times New Roman" w:cs="Times New Roman"/>
          <w:i w:val="0"/>
          <w:sz w:val="18"/>
        </w:rPr>
        <w:t>Table A.E9: Synthetic node annotations for the search-and-correction episode.</w:t>
      </w:r>
    </w:p>
    <w:p>
      <w:pPr>
        <w:keepNext w:val="0"/>
        <w:widowControl/>
        <w:spacing w:after="120" w:before="120" w:line="257" w:lineRule="auto"/>
      </w:pPr>
      <w:r>
        <w:rPr>
          <w:rFonts w:ascii="Times New Roman" w:hAnsi="Times New Roman" w:cs="Times New Roman"/>
          <w:i w:val="0"/>
          <w:sz w:val="21"/>
        </w:rPr>
        <w:t>K1 is an asserted candidate answer and is therefore Conclusion. If the model had only said “The snippet reports 20 seconds,” that sentence would be Restatement and would remain true as a report of the snippet. The later manual would not contradict that historical report; the attack relation below applies to the actual candidate answer.</w:t>
      </w:r>
    </w:p>
    <w:p>
      <w:pPr>
        <w:keepNext w:val="0"/>
        <w:widowControl/>
        <w:spacing w:after="120" w:before="0" w:line="257" w:lineRule="auto"/>
      </w:pPr>
      <w:r>
        <w:rPr>
          <w:rFonts w:ascii="Times New Roman" w:hAnsi="Times New Roman" w:cs="Times New Roman"/>
          <w:i w:val="0"/>
          <w:sz w:val="21"/>
        </w:rPr>
        <w:t>R1 restates C2. Under the original premise-selection guidance, the final answer can cite the original C2 rather than routing its premise through a duplicate restatement. S2 identifies the full-document evidence, not merely the earlier search hit. [1, Appendix A, infer and restate]</w:t>
      </w:r>
    </w:p>
    <w:p>
      <w:pPr>
        <w:pStyle w:val="Heading1"/>
        <w:pageBreakBefore/>
        <w:widowControl/>
      </w:pPr>
      <w:r>
        <w:t>A.E5.2  Worked example: relationship annotations</w:t>
      </w:r>
    </w:p>
    <w:p>
      <w:pPr>
        <w:keepNext w:val="0"/>
        <w:widowControl/>
        <w:spacing w:after="120" w:before="0" w:line="257" w:lineRule="auto"/>
      </w:pPr>
      <w:r>
        <w:rPr>
          <w:rFonts w:ascii="Times New Roman" w:hAnsi="Times New Roman" w:cs="Times New Roman"/>
          <w:i w:val="0"/>
          <w:sz w:val="21"/>
        </w:rPr>
        <w:t>The following set illustrates the relevant relationship types. It is not an experimentally adjudicated exhaustive graph. Additional links require their own source evidence and must satisfy the original or extended definition.</w:t>
      </w:r>
    </w:p>
    <w:tbl>
      <w:tblPr>
        <w:tblW w:type="auto" w:w="0"/>
        <w:jc w:val="center"/>
        <w:tblLayout w:type="fixed"/>
        <w:tblLook w:firstColumn="1" w:firstRow="1" w:lastColumn="0" w:lastRow="0" w:noHBand="0" w:noVBand="1" w:val="04A0"/>
      </w:tblPr>
      <w:tblGrid>
        <w:gridCol w:w="1440"/>
        <w:gridCol w:w="1670"/>
        <w:gridCol w:w="5914"/>
      </w:tblGrid>
      <w:tr>
        <w:trPr>
          <w:cantSplit/>
          <w:tblHeader/>
        </w:trPr>
        <w:tc>
          <w:tcPr>
            <w:tcW w:type="dxa" w:w="1440"/>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Endpoints</w:t>
            </w:r>
          </w:p>
        </w:tc>
        <w:tc>
          <w:tcPr>
            <w:tcW w:type="dxa" w:w="1670"/>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Label</w:t>
            </w:r>
          </w:p>
        </w:tc>
        <w:tc>
          <w:tcPr>
            <w:tcW w:type="dxa" w:w="5914"/>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Basis</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P1 → T1</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invokes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Inferred plan/request alignment unless runtime explicitly maps P1.</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T1 → U1</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returns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Recorded call_id=search-1 association.</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U1 → C1</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provides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Exact search-snippet locator and representation hash.</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C1 → K1</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0E0E0"/>
              </w:rPr>
              <w:t xml:space="preserve"> infer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Candidate answer derived from the snippet; correctness is separate.</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K1 → F1</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8DBFF"/>
              </w:rPr>
              <w:t xml:space="preserve"> uncertain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model expresses uncertainty about its candidate answer.</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K1 → P2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C4C4"/>
              </w:rPr>
              <w:t xml:space="preserve"> verify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later plan checks the earlier candidate claim.</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F1 → P2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CDCD"/>
              </w:rPr>
              <w:t xml:space="preserve"> proceed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uncertainty motivates the next plan.</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P2 → T2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invokes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manual fetch implements the expressed verification plan.</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T2 → U2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returns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Recorded call_id=fetch-1 association.</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U2 → C2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provides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Traceable manual excerpt.</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C2 → R1</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0D0D0"/>
              </w:rPr>
              <w:t xml:space="preserve"> restate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 paraphrase of the available manual text.</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C2 → K2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0E0E0"/>
              </w:rPr>
              <w:t xml:space="preserve"> infer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original evidence, rather than duplicate R1, supplies the premise.</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C2 → K2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grounded_in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Evidence attribution backed by the matched manual span.</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C2 → K2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cites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Explicit S2 source marker.</w:t>
            </w:r>
          </w:p>
        </w:tc>
      </w:tr>
      <w:tr>
        <w:trPr>
          <w:cantSplit/>
        </w:trPr>
        <w:tc>
          <w:tcPr>
            <w:tcW w:type="dxa" w:w="144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K1 → K2</w:t>
            </w:r>
          </w:p>
        </w:tc>
        <w:tc>
          <w:tcPr>
            <w:tcW w:type="dxa" w:w="167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CD8E"/>
              </w:rPr>
              <w:t xml:space="preserve"> attack </w:t>
            </w:r>
          </w:p>
        </w:tc>
        <w:tc>
          <w:tcPr>
            <w:tcW w:type="dxa" w:w="5914"/>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The later answer contradicts the earlier candidate answer.</w:t>
            </w:r>
          </w:p>
        </w:tc>
      </w:tr>
    </w:tbl>
    <w:p>
      <w:pPr>
        <w:keepNext w:val="0"/>
        <w:widowControl/>
        <w:spacing w:after="140" w:before="60" w:line="257" w:lineRule="auto"/>
        <w:jc w:val="center"/>
      </w:pPr>
      <w:r>
        <w:rPr>
          <w:rFonts w:ascii="Times New Roman" w:hAnsi="Times New Roman" w:cs="Times New Roman"/>
          <w:i w:val="0"/>
          <w:sz w:val="18"/>
        </w:rPr>
        <w:t>Table A.E10: Illustrative edges for Table A.E9. The same endpoints can carry more than one label.</w:t>
      </w:r>
    </w:p>
    <w:p>
      <w:pPr>
        <w:keepNext w:val="0"/>
        <w:widowControl/>
        <w:spacing w:after="120" w:before="140" w:line="257" w:lineRule="auto"/>
      </w:pPr>
      <w:r>
        <w:rPr>
          <w:rFonts w:ascii="Times New Roman" w:hAnsi="Times New Roman" w:cs="Times New Roman"/>
          <w:i w:val="0"/>
          <w:sz w:val="20"/>
        </w:rPr>
        <w:t>If the manual fetch times out and the orchestrator records a second attempt T3 for the same objective, add T2 → retry_of → T3. Preserve the first attempt's observed error result. If the model instead changes its search strategy, annotate the new Planning node and use backtrack where the original guide applies; similar queries alone do not establish a retry.</w:t>
      </w:r>
    </w:p>
    <w:p>
      <w:pPr>
        <w:keepNext w:val="0"/>
        <w:widowControl/>
        <w:spacing w:after="120" w:before="0" w:line="257" w:lineRule="auto"/>
      </w:pPr>
      <w:r>
        <w:rPr>
          <w:rFonts w:ascii="Times New Roman" w:hAnsi="Times New Roman" w:cs="Times New Roman"/>
          <w:i w:val="0"/>
          <w:sz w:val="20"/>
        </w:rPr>
        <w:t>A recorded result may support extraction before semantic interpretation is available. The streaming interface can therefore show returns and provides while infer, grounded_in, or invokes remain unresolved. No fabricated plan or evidence-use edge is needed to make the partial graph connected.</w:t>
      </w:r>
    </w:p>
    <w:p>
      <w:pPr>
        <w:pStyle w:val="Heading1"/>
        <w:pageBreakBefore/>
        <w:widowControl/>
      </w:pPr>
      <w:r>
        <w:t>A.E6  Streaming annotation and adjudication</w:t>
      </w:r>
    </w:p>
    <w:p>
      <w:pPr>
        <w:keepNext w:val="0"/>
        <w:widowControl/>
        <w:spacing w:after="120" w:before="0" w:line="257" w:lineRule="auto"/>
      </w:pPr>
      <w:r>
        <w:rPr>
          <w:rFonts w:ascii="Times New Roman" w:hAnsi="Times New Roman" w:cs="Times New Roman"/>
          <w:i w:val="0"/>
          <w:sz w:val="21"/>
        </w:rPr>
        <w:t>Annotate a stable text unit only after enough content exists to establish its boundaries and function. Keep an unfinished tail and do not use API chunk boundaries as sentence boundaries. Earlier annotations may be revised after more text or metadata arrives. Revision history belongs in metadata; it does not add relationship types. [1, Appendix C.1; Appendix I; 2]</w:t>
      </w:r>
    </w:p>
    <w:tbl>
      <w:tblPr>
        <w:tblW w:type="auto" w:w="0"/>
        <w:jc w:val="center"/>
        <w:tblLayout w:type="fixed"/>
        <w:tblLook w:firstColumn="1" w:firstRow="1" w:lastColumn="0" w:lastRow="0" w:noHBand="0" w:noVBand="1" w:val="04A0"/>
      </w:tblPr>
      <w:tblGrid>
        <w:gridCol w:w="2002"/>
        <w:gridCol w:w="7023"/>
      </w:tblGrid>
      <w:tr>
        <w:trPr>
          <w:cantSplit/>
          <w:tblHeader/>
        </w:trPr>
        <w:tc>
          <w:tcPr>
            <w:tcW w:type="dxa" w:w="2002"/>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Case</w:t>
            </w:r>
          </w:p>
        </w:tc>
        <w:tc>
          <w:tcPr>
            <w:tcW w:type="dxa" w:w="7023"/>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Decision</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No exposed reasoning</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Annotate recorded ToolCall, ToolResult, and available Context. Do not generate a synthetic plan or reasoning trace. Mark the disclosure mode.</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Plan but no call</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Retain Planning. There is no ToolCall or invokes edge without a recorded request.</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Arguments still streaming</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Keep one provisional ToolCall and append fragments. Do not infer dispatch from an incomplete request.</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Tool result absent</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Use unknown/pending/canceled status as supported by events. Do not fabricate a returned payload.</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Evidence not delivered</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provides may record extraction, but infer and grounded_in must not imply access by a model invocation that never received it.</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Source reference unresolved</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Keep the literal citation and its location as unresolved metadata. Do not fill missing content from memory.</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Repeated query</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Check objective and retry lineage. Repetition alone does not distinguish retry, verification, or a new search strategy.</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Partial page or snippet</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Annotate only observed content and its representation. Do not infer full-document claims from a snippet.</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Late metadata</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Use recorded logical availability when supported. Otherwise keep the candidate unresolved rather than drawing a backward edge.</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Changed segmentation</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Preserve the original source and offsets. Retire old node/edge versions atomically and recompute affected relations.</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Tool action succeeded?</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 request or dispatch is not success. Show the executor acknowledgment and scope; outcomes beyond what it confirms remain unverified.</w:t>
            </w:r>
          </w:p>
        </w:tc>
      </w:tr>
      <w:tr>
        <w:trPr>
          <w:cantSplit/>
        </w:trPr>
        <w:tc>
          <w:tcPr>
            <w:tcW w:type="dxa" w:w="200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Disconnected evidence</w:t>
            </w:r>
          </w:p>
        </w:tc>
        <w:tc>
          <w:tcPr>
            <w:tcW w:type="dxa" w:w="7023"/>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Absence of an annotated path means no path was found in this graph version. It does not prove absence of internal use.</w:t>
            </w:r>
          </w:p>
        </w:tc>
      </w:tr>
    </w:tbl>
    <w:p>
      <w:pPr>
        <w:keepNext w:val="0"/>
        <w:widowControl/>
        <w:spacing w:after="140" w:before="60" w:line="257" w:lineRule="auto"/>
        <w:jc w:val="center"/>
      </w:pPr>
      <w:r>
        <w:rPr>
          <w:rFonts w:ascii="Times New Roman" w:hAnsi="Times New Roman" w:cs="Times New Roman"/>
          <w:i w:val="0"/>
          <w:sz w:val="18"/>
        </w:rPr>
        <w:t>Table A.E11: Boundary cases and adjudication rules for the proposed extension.</w:t>
      </w:r>
    </w:p>
    <w:p>
      <w:pPr>
        <w:keepNext w:val="0"/>
        <w:widowControl/>
        <w:spacing w:after="120" w:before="0" w:line="257" w:lineRule="auto"/>
      </w:pPr>
      <w:r>
        <w:rPr>
          <w:rFonts w:ascii="Times New Roman" w:hAnsi="Times New Roman" w:cs="Times New Roman"/>
          <w:i w:val="0"/>
          <w:sz w:val="20"/>
        </w:rPr>
        <w:t>A reviewer should resolve disagreement by examining the exact source, event identifiers, and context availability, then applying the most specific label whose definition is satisfied. If the evidence remains insufficient, keep an unresolved candidate or no edge. Do not force every node to have a predecessor.</w:t>
      </w:r>
    </w:p>
    <w:p>
      <w:pPr>
        <w:keepNext w:val="0"/>
        <w:widowControl/>
        <w:spacing w:after="120" w:before="0" w:line="257" w:lineRule="auto"/>
      </w:pPr>
      <w:r>
        <w:rPr>
          <w:rFonts w:ascii="Times New Roman" w:hAnsi="Times New Roman" w:cs="Times New Roman"/>
          <w:i w:val="0"/>
          <w:sz w:val="20"/>
        </w:rPr>
        <w:t>For an interrupted interaction, retain observed content and status. The paper's post-hoc procedure ensures conclusions for its completed dataset traces; this supplement does not impose that requirement on incomplete episodes. A final reconciliation pass may update roles and edges but must not rewrite the source text.</w:t>
      </w:r>
    </w:p>
    <w:p>
      <w:pPr>
        <w:pStyle w:val="Heading1"/>
        <w:pageBreakBefore/>
        <w:widowControl/>
      </w:pPr>
      <w:r>
        <w:t>A.E7  Label colors and rendering rules</w:t>
      </w:r>
    </w:p>
    <w:p>
      <w:pPr>
        <w:keepNext w:val="0"/>
        <w:widowControl/>
        <w:spacing w:after="120" w:before="0" w:line="257" w:lineRule="auto"/>
      </w:pPr>
      <w:r>
        <w:rPr>
          <w:rFonts w:ascii="Times New Roman" w:hAnsi="Times New Roman" w:cs="Times New Roman"/>
          <w:i w:val="0"/>
          <w:sz w:val="20"/>
        </w:rPr>
        <w:t>The tables below preserve the original Appendix A label-fill colors from the supplied PDF. New labels use the operational and provenance palette of the proposed design. The approved legend uses a harmonized UI treatment; it remains the visual reference for boxes and line patterns. Exact fill values below make appendix-style labels reproducible. [1, Appendix A; 2]</w:t>
      </w:r>
    </w:p>
    <w:tbl>
      <w:tblPr>
        <w:tblW w:type="auto" w:w="0"/>
        <w:jc w:val="center"/>
        <w:tblLayout w:type="fixed"/>
        <w:tblLook w:firstColumn="1" w:firstRow="1" w:lastColumn="0" w:lastRow="0" w:noHBand="0" w:noVBand="1" w:val="04A0"/>
      </w:tblPr>
      <w:tblGrid>
        <w:gridCol w:w="2448"/>
        <w:gridCol w:w="1498"/>
        <w:gridCol w:w="3269"/>
        <w:gridCol w:w="1810"/>
      </w:tblGrid>
      <w:tr>
        <w:trPr>
          <w:cantSplit/>
          <w:tblHeader/>
        </w:trPr>
        <w:tc>
          <w:tcPr>
            <w:tcW w:type="dxa" w:w="2448"/>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Node label</w:t>
            </w:r>
          </w:p>
        </w:tc>
        <w:tc>
          <w:tcPr>
            <w:tcW w:type="dxa" w:w="1498"/>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Fill</w:t>
            </w:r>
          </w:p>
        </w:tc>
        <w:tc>
          <w:tcPr>
            <w:tcW w:type="dxa" w:w="3269"/>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Node label</w:t>
            </w:r>
          </w:p>
        </w:tc>
        <w:tc>
          <w:tcPr>
            <w:tcW w:type="dxa" w:w="1810"/>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Fill</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0E0E0"/>
              </w:rPr>
              <w:t xml:space="preserve"> Context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#E0E0E0</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ADAD"/>
              </w:rPr>
              <w:t xml:space="preserve"> Planning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#FFADAD</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D6A5"/>
              </w:rPr>
              <w:t xml:space="preserve"> Fact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#FFD6A5</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DFFB6"/>
              </w:rPr>
              <w:t xml:space="preserve"> Reasoning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#FDFFB6</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AFFBF"/>
              </w:rPr>
              <w:t xml:space="preserve"> Restatement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#CAFFBF</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BDFBDF"/>
              </w:rPr>
              <w:t xml:space="preserve"> Assumption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#BDFBDF</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9BF6FF"/>
              </w:rPr>
              <w:t xml:space="preserve"> Example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#9BF6FF</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A0C4FF"/>
              </w:rPr>
              <w:t xml:space="preserve"> Reflection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#A0C4FF</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3B1E1"/>
              </w:rPr>
              <w:t xml:space="preserve"> Conclusion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#C3B1E1</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DEFEF"/>
              </w:rPr>
              <w:t xml:space="preserve"> ToolCall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#CDEFEF</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9E7FC"/>
              </w:rPr>
              <w:t xml:space="preserve"> ToolResult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#D9E7FC</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r>
          </w:p>
        </w:tc>
      </w:tr>
    </w:tbl>
    <w:p>
      <w:pPr>
        <w:keepNext w:val="0"/>
        <w:widowControl/>
        <w:spacing w:after="140" w:before="60" w:line="257" w:lineRule="auto"/>
        <w:jc w:val="center"/>
      </w:pPr>
      <w:r>
        <w:rPr>
          <w:rFonts w:ascii="Times New Roman" w:hAnsi="Times New Roman" w:cs="Times New Roman"/>
          <w:i w:val="0"/>
          <w:sz w:val="18"/>
        </w:rPr>
        <w:t>Table A.E12: Original node-label fills and the two proposed operational fills.</w:t>
      </w:r>
    </w:p>
    <w:tbl>
      <w:tblPr>
        <w:tblW w:type="auto" w:w="0"/>
        <w:jc w:val="center"/>
        <w:tblLayout w:type="fixed"/>
        <w:tblLook w:firstColumn="1" w:firstRow="1" w:lastColumn="0" w:lastRow="0" w:noHBand="0" w:noVBand="1" w:val="04A0"/>
      </w:tblPr>
      <w:tblGrid>
        <w:gridCol w:w="2448"/>
        <w:gridCol w:w="1498"/>
        <w:gridCol w:w="3269"/>
        <w:gridCol w:w="1810"/>
      </w:tblGrid>
      <w:tr>
        <w:trPr>
          <w:cantSplit/>
          <w:tblHeader/>
        </w:trPr>
        <w:tc>
          <w:tcPr>
            <w:tcW w:type="dxa" w:w="2448"/>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Edge label</w:t>
            </w:r>
          </w:p>
        </w:tc>
        <w:tc>
          <w:tcPr>
            <w:tcW w:type="dxa" w:w="1498"/>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Fill</w:t>
            </w:r>
          </w:p>
        </w:tc>
        <w:tc>
          <w:tcPr>
            <w:tcW w:type="dxa" w:w="3269"/>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Edge label</w:t>
            </w:r>
          </w:p>
        </w:tc>
        <w:tc>
          <w:tcPr>
            <w:tcW w:type="dxa" w:w="1810"/>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Fill</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0E0E0"/>
              </w:rPr>
              <w:t xml:space="preserve"> infer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#E0E0E0</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D8D8"/>
              </w:rPr>
              <w:t xml:space="preserve"> execute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#D8D8D8</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0D0D0"/>
              </w:rPr>
              <w:t xml:space="preserve"> restate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#D0D0D0</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8C8C8"/>
              </w:rPr>
              <w:t xml:space="preserve"> elaborate-fact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#C8C8C8</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0C0C0"/>
              </w:rPr>
              <w:t xml:space="preserve"> exemplify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#C0C0C0</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CDCD"/>
              </w:rPr>
              <w:t xml:space="preserve"> proceed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#FFCDCD</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C4C4"/>
              </w:rPr>
              <w:t xml:space="preserve"> verify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#FFC4C4</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B9B9"/>
              </w:rPr>
              <w:t xml:space="preserve"> decompose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#FFB9B9</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ADAD"/>
              </w:rPr>
              <w:t xml:space="preserve"> backtrack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#FFADAD</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0E4FF"/>
              </w:rPr>
              <w:t xml:space="preserve"> positive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#D0E4FF</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8DBFF"/>
              </w:rPr>
              <w:t xml:space="preserve"> uncertain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#C8DBFF</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C0D4FF"/>
              </w:rPr>
              <w:t xml:space="preserve"> negative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#C0D4FF</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E5C5"/>
              </w:rPr>
              <w:t xml:space="preserve"> support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#FFE5C5</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FFCD8E"/>
              </w:rPr>
              <w:t xml:space="preserve"> attack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#FFCD8E</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invokes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#D8F4F4</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returns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#D8F4F4</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D8F4F4"/>
              </w:rPr>
              <w:t xml:space="preserve"> provides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#D8F4F4</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grounded_in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#EEDFF8</w:t>
            </w:r>
          </w:p>
        </w:tc>
      </w:tr>
      <w:tr>
        <w:trPr>
          <w:cantSplit/>
        </w:trPr>
        <w:tc>
          <w:tcPr>
            <w:tcW w:type="dxa" w:w="244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cites </w:t>
            </w:r>
          </w:p>
        </w:tc>
        <w:tc>
          <w:tcPr>
            <w:tcW w:type="dxa" w:w="1498"/>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#EEDFF8</w:t>
            </w:r>
          </w:p>
        </w:tc>
        <w:tc>
          <w:tcPr>
            <w:tcW w:type="dxa" w:w="3269"/>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Consolas" w:hAnsi="Consolas" w:cs="Consolas"/>
                <w:sz w:val="17"/>
                <w:shd w:val="clear" w:color="auto" w:fill="EEDFF8"/>
              </w:rPr>
              <w:t xml:space="preserve"> retry_of </w:t>
            </w:r>
          </w:p>
        </w:tc>
        <w:tc>
          <w:tcPr>
            <w:tcW w:type="dxa" w:w="1810"/>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#EEDFF8</w:t>
            </w:r>
          </w:p>
        </w:tc>
      </w:tr>
    </w:tbl>
    <w:p>
      <w:pPr>
        <w:keepNext w:val="0"/>
        <w:widowControl/>
        <w:spacing w:after="140" w:before="60" w:line="257" w:lineRule="auto"/>
        <w:jc w:val="center"/>
      </w:pPr>
      <w:r>
        <w:rPr>
          <w:rFonts w:ascii="Times New Roman" w:hAnsi="Times New Roman" w:cs="Times New Roman"/>
          <w:i w:val="0"/>
          <w:sz w:val="18"/>
        </w:rPr>
        <w:t>Table A.E13: Original edge-label fills and proposed added-edge fills.</w:t>
      </w:r>
    </w:p>
    <w:p>
      <w:pPr>
        <w:keepNext w:val="0"/>
        <w:widowControl/>
        <w:spacing w:after="120" w:before="0" w:line="257" w:lineRule="auto"/>
      </w:pPr>
      <w:r>
        <w:rPr>
          <w:rFonts w:ascii="Times New Roman" w:hAnsi="Times New Roman" w:cs="Times New Roman"/>
          <w:i w:val="0"/>
          <w:sz w:val="20"/>
        </w:rPr>
        <w:t>Print each label as dark text within its colored box. Use the same rectangular treatment for ToolCall and ToolResult as the original node types. A role name and edge label must remain visible without reliance on hue alone. Put “Provisional,” “Recorded,” or “Inferred” in a separate badge or inspector field; do not change the meaning of a line pattern.</w:t>
      </w:r>
    </w:p>
    <w:p>
      <w:pPr>
        <w:pStyle w:val="Heading2"/>
        <w:pageBreakBefore w:val="0"/>
        <w:widowControl/>
      </w:pPr>
      <w:r>
        <w:t>Source references</w:t>
      </w:r>
    </w:p>
    <w:p>
      <w:pPr>
        <w:keepNext w:val="0"/>
        <w:widowControl/>
        <w:spacing w:after="120" w:before="0" w:line="257" w:lineRule="auto"/>
      </w:pPr>
      <w:r>
        <w:rPr>
          <w:rFonts w:ascii="Times New Roman" w:hAnsi="Times New Roman" w:cs="Times New Roman"/>
          <w:i w:val="0"/>
          <w:sz w:val="18"/>
        </w:rPr>
        <w:t>[1] Jinu Lee, Shivam Agarwal, Amruta Parulekar, Siddarth Madala, Dilek Hakkani-Tür, and Julia Hockenmaier. 2026. ReasoningFlow: Discourse Structures for Understanding LLM Reasoning Traces. arXiv:2606.05402v1, 3 June 2026. Supplied paper, Appendix A, Tables 3–4; §3; Appendix C.1; Appendix I.</w:t>
      </w:r>
    </w:p>
    <w:p>
      <w:pPr>
        <w:keepNext w:val="0"/>
        <w:widowControl/>
        <w:spacing w:after="120" w:before="0" w:line="257" w:lineRule="auto"/>
      </w:pPr>
      <w:r>
        <w:rPr>
          <w:rFonts w:ascii="Times New Roman" w:hAnsi="Times New Roman" w:cs="Times New Roman"/>
          <w:i w:val="0"/>
          <w:sz w:val="18"/>
        </w:rPr>
        <w:t>[2] Nathan Conklin and ChatGPT. ReasoningFlow with tool calls and web search: current design discussion and final approved legend, 11 October 2026. Proposed extension. Companion: ReasoningFlowWithToolCall.docx.</w:t>
      </w:r>
    </w:p>
    <w:p>
      <w:pPr>
        <w:pStyle w:val="Heading1"/>
        <w:pageBreakBefore/>
        <w:widowControl/>
      </w:pPr>
      <w:r>
        <w:t>A.E8  Annotation record and completion checklist</w:t>
      </w:r>
    </w:p>
    <w:p>
      <w:pPr>
        <w:keepNext w:val="0"/>
        <w:widowControl/>
        <w:spacing w:after="120" w:before="0" w:line="257" w:lineRule="auto"/>
      </w:pPr>
      <w:r>
        <w:rPr>
          <w:rFonts w:ascii="Times New Roman" w:hAnsi="Times New Roman" w:cs="Times New Roman"/>
          <w:i w:val="0"/>
          <w:sz w:val="20"/>
        </w:rPr>
        <w:t>Store an edge as a versioned annotation with independently auditable evidence. This minimal synthetic record follows the earlier-to-later convention. Its null confidence value avoids implying calibration that has not been established.</w:t>
      </w:r>
    </w:p>
    <w:tbl>
      <w:tblPr>
        <w:tblW w:type="auto" w:w="0"/>
        <w:tblLook w:firstColumn="1" w:firstRow="1" w:lastColumn="0" w:lastRow="0" w:noHBand="0" w:noVBand="1" w:val="04A0"/>
      </w:tblPr>
      <w:tblGrid>
        <w:gridCol w:w="9025"/>
      </w:tblGrid>
      <w:tr>
        <w:tc>
          <w:tcPr>
            <w:tcW w:type="dxa" w:w="9025"/>
            <w:shd w:fill="F5F5F5"/>
            <w:tcBorders>
              <w:top w:val="single" w:sz="4" w:color="BBBBBB"/>
              <w:bottom w:val="single" w:sz="4" w:color="BBBBBB"/>
              <w:left w:val="single" w:sz="4" w:color="BBBBBB"/>
              <w:right w:val="single" w:sz="4" w:color="BBBBBB"/>
            </w:tcBorders>
          </w:tcPr>
          <w:p>
            <w:pPr>
              <w:widowControl/>
              <w:spacing w:after="0" w:line="240" w:lineRule="auto"/>
            </w:pPr>
            <w:r/>
            <w:r>
              <w:rPr>
                <w:rFonts w:ascii="Consolas" w:hAnsi="Consolas" w:cs="Consolas"/>
                <w:sz w:val="16"/>
              </w:rPr>
              <w:t>{</w:t>
            </w:r>
          </w:p>
          <w:p>
            <w:pPr>
              <w:widowControl/>
              <w:spacing w:after="0" w:line="240" w:lineRule="auto"/>
            </w:pPr>
            <w:r>
              <w:rPr>
                <w:rFonts w:ascii="Consolas" w:hAnsi="Consolas" w:cs="Consolas"/>
                <w:sz w:val="16"/>
              </w:rPr>
              <w:t xml:space="preserve">  "source_id": "C2",</w:t>
            </w:r>
          </w:p>
          <w:p>
            <w:pPr>
              <w:widowControl/>
              <w:spacing w:after="0" w:line="240" w:lineRule="auto"/>
            </w:pPr>
            <w:r>
              <w:rPr>
                <w:rFonts w:ascii="Consolas" w:hAnsi="Consolas" w:cs="Consolas"/>
                <w:sz w:val="16"/>
              </w:rPr>
              <w:t xml:space="preserve">  "target_id": "K2",</w:t>
            </w:r>
          </w:p>
          <w:p>
            <w:pPr>
              <w:widowControl/>
              <w:spacing w:after="0" w:line="240" w:lineRule="auto"/>
            </w:pPr>
            <w:r>
              <w:rPr>
                <w:rFonts w:ascii="Consolas" w:hAnsi="Consolas" w:cs="Consolas"/>
                <w:sz w:val="16"/>
              </w:rPr>
              <w:t xml:space="preserve">  "label": "grounded_in",</w:t>
            </w:r>
          </w:p>
          <w:p>
            <w:pPr>
              <w:widowControl/>
              <w:spacing w:after="0" w:line="240" w:lineRule="auto"/>
            </w:pPr>
            <w:r>
              <w:rPr>
                <w:rFonts w:ascii="Consolas" w:hAnsi="Consolas" w:cs="Consolas"/>
                <w:sz w:val="16"/>
              </w:rPr>
              <w:t xml:space="preserve">  "family": "provenance",</w:t>
            </w:r>
          </w:p>
          <w:p>
            <w:pPr>
              <w:widowControl/>
              <w:spacing w:after="0" w:line="240" w:lineRule="auto"/>
            </w:pPr>
            <w:r>
              <w:rPr>
                <w:rFonts w:ascii="Consolas" w:hAnsi="Consolas" w:cs="Consolas"/>
                <w:sz w:val="16"/>
              </w:rPr>
              <w:t xml:space="preserve">  "evidence_method": "annotator_inferred",</w:t>
            </w:r>
          </w:p>
          <w:p>
            <w:pPr>
              <w:widowControl/>
              <w:spacing w:after="0" w:line="240" w:lineRule="auto"/>
            </w:pPr>
            <w:r>
              <w:rPr>
                <w:rFonts w:ascii="Consolas" w:hAnsi="Consolas" w:cs="Consolas"/>
                <w:sz w:val="16"/>
              </w:rPr>
              <w:t xml:space="preserve">  "evidence": {</w:t>
            </w:r>
          </w:p>
          <w:p>
            <w:pPr>
              <w:widowControl/>
              <w:spacing w:after="0" w:line="240" w:lineRule="auto"/>
            </w:pPr>
            <w:r>
              <w:rPr>
                <w:rFonts w:ascii="Consolas" w:hAnsi="Consolas" w:cs="Consolas"/>
                <w:sz w:val="16"/>
              </w:rPr>
              <w:t xml:space="preserve">    "source_id": "manual-S2-text",</w:t>
            </w:r>
          </w:p>
          <w:p>
            <w:pPr>
              <w:widowControl/>
              <w:spacing w:after="0" w:line="240" w:lineRule="auto"/>
            </w:pPr>
            <w:r>
              <w:rPr>
                <w:rFonts w:ascii="Consolas" w:hAnsi="Consolas" w:cs="Consolas"/>
                <w:sz w:val="16"/>
              </w:rPr>
              <w:t xml:space="preserve">    "span_text": "The default timeout is 30 seconds.",</w:t>
            </w:r>
          </w:p>
          <w:p>
            <w:pPr>
              <w:widowControl/>
              <w:spacing w:after="0" w:line="240" w:lineRule="auto"/>
            </w:pPr>
            <w:r>
              <w:rPr>
                <w:rFonts w:ascii="Consolas" w:hAnsi="Consolas" w:cs="Consolas"/>
                <w:sz w:val="16"/>
              </w:rPr>
              <w:t xml:space="preserve">    "context_manifest_ref": "invocation-2"</w:t>
            </w:r>
          </w:p>
          <w:p>
            <w:pPr>
              <w:widowControl/>
              <w:spacing w:after="0" w:line="240" w:lineRule="auto"/>
            </w:pPr>
            <w:r>
              <w:rPr>
                <w:rFonts w:ascii="Consolas" w:hAnsi="Consolas" w:cs="Consolas"/>
                <w:sz w:val="16"/>
              </w:rPr>
              <w:t xml:space="preserve">  },</w:t>
            </w:r>
          </w:p>
          <w:p>
            <w:pPr>
              <w:widowControl/>
              <w:spacing w:after="0" w:line="240" w:lineRule="auto"/>
            </w:pPr>
            <w:r>
              <w:rPr>
                <w:rFonts w:ascii="Consolas" w:hAnsi="Consolas" w:cs="Consolas"/>
                <w:sz w:val="16"/>
              </w:rPr>
              <w:t xml:space="preserve">  "annotation_basis": "The answer uses the cited timeout value.",</w:t>
            </w:r>
          </w:p>
          <w:p>
            <w:pPr>
              <w:widowControl/>
              <w:spacing w:after="0" w:line="240" w:lineRule="auto"/>
            </w:pPr>
            <w:r>
              <w:rPr>
                <w:rFonts w:ascii="Consolas" w:hAnsi="Consolas" w:cs="Consolas"/>
                <w:sz w:val="16"/>
              </w:rPr>
              <w:t xml:space="preserve">  "annotator_confidence": null,</w:t>
            </w:r>
          </w:p>
          <w:p>
            <w:pPr>
              <w:widowControl/>
              <w:spacing w:after="0" w:line="240" w:lineRule="auto"/>
            </w:pPr>
            <w:r>
              <w:rPr>
                <w:rFonts w:ascii="Consolas" w:hAnsi="Consolas" w:cs="Consolas"/>
                <w:sz w:val="16"/>
              </w:rPr>
              <w:t xml:space="preserve">  "state": "committed",</w:t>
            </w:r>
          </w:p>
          <w:p>
            <w:pPr>
              <w:widowControl/>
              <w:spacing w:after="0" w:line="240" w:lineRule="auto"/>
            </w:pPr>
            <w:r>
              <w:rPr>
                <w:rFonts w:ascii="Consolas" w:hAnsi="Consolas" w:cs="Consolas"/>
                <w:sz w:val="16"/>
              </w:rPr>
              <w:t xml:space="preserve">  "version": 1</w:t>
            </w:r>
          </w:p>
          <w:p>
            <w:pPr>
              <w:widowControl/>
              <w:spacing w:after="0" w:line="240" w:lineRule="auto"/>
            </w:pPr>
            <w:r>
              <w:rPr>
                <w:rFonts w:ascii="Consolas" w:hAnsi="Consolas" w:cs="Consolas"/>
                <w:sz w:val="16"/>
              </w:rPr>
              <w:t>}</w:t>
            </w:r>
          </w:p>
        </w:tc>
      </w:tr>
    </w:tbl>
    <w:p>
      <w:pPr>
        <w:keepNext w:val="0"/>
        <w:widowControl/>
        <w:spacing w:after="120" w:before="100" w:line="257" w:lineRule="auto"/>
      </w:pPr>
      <w:r>
        <w:rPr>
          <w:rFonts w:ascii="Times New Roman" w:hAnsi="Times New Roman" w:cs="Times New Roman"/>
          <w:i w:val="0"/>
          <w:sz w:val="19"/>
        </w:rPr>
        <w:t>A production record should additionally use the immutable source hash and numeric offsets defined in the developer specification. The quoted span above is included for readability; it does not replace source identity.</w:t>
      </w:r>
    </w:p>
    <w:tbl>
      <w:tblPr>
        <w:tblW w:type="auto" w:w="0"/>
        <w:jc w:val="center"/>
        <w:tblLayout w:type="fixed"/>
        <w:tblLook w:firstColumn="1" w:firstRow="1" w:lastColumn="0" w:lastRow="0" w:noHBand="0" w:noVBand="1" w:val="04A0"/>
      </w:tblPr>
      <w:tblGrid>
        <w:gridCol w:w="1872"/>
        <w:gridCol w:w="7152"/>
      </w:tblGrid>
      <w:tr>
        <w:trPr>
          <w:cantSplit/>
          <w:tblHeader/>
        </w:trPr>
        <w:tc>
          <w:tcPr>
            <w:tcW w:type="dxa" w:w="1872"/>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Check</w:t>
            </w:r>
          </w:p>
        </w:tc>
        <w:tc>
          <w:tcPr>
            <w:tcW w:type="dxa" w:w="7152"/>
            <w:vAlign w:val="top"/>
            <w:tcMar>
              <w:top w:w="55" w:type="dxa"/>
              <w:bottom w:w="55" w:type="dxa"/>
              <w:left w:w="55" w:type="dxa"/>
              <w:right w:w="65" w:type="dxa"/>
            </w:tcMar>
            <w:tcBorders>
              <w:top w:val="single" w:sz="7" w:color="333333"/>
              <w:bottom w:val="single" w:sz="5" w:color="333333"/>
              <w:left w:val="nil" w:sz="4" w:color="333333"/>
              <w:right w:val="nil" w:sz="4" w:color="333333"/>
            </w:tcBorders>
          </w:tcPr>
          <w:p>
            <w:pPr>
              <w:widowControl/>
            </w:pPr>
            <w:r>
              <w:rPr>
                <w:rFonts w:ascii="Times New Roman" w:hAnsi="Times New Roman" w:cs="Times New Roman"/>
                <w:b/>
                <w:sz w:val="18"/>
              </w:rPr>
              <w:t>Completion criterion</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Taxonomy</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Only the original nine displayed categories plus ToolCall and ToolResult; only the original 14 edges plus the six additions.</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Direction</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Every committed edge respects earlier-to-later logical order; inverse-reading labels have correctly assigned endpoints.</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Identity</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Call, attempt, result-item, event, and source identifiers are preserved and do not depend on display text.</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Source fidelity</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Text spans match the identified immutable representation. Extraction transformations and source availability are recorded.</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Evidence origin</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Observed associations, explicit references, and inferred semantic judgments remain distinguishable.</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Semantic boundaries</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No automatic cites→grounded_in, returns→support, or ToolCall→Reasoning conversion.</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Graph validity</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No cycles, missing endpoints, or self-loops; valid multi-label relations between the same endpoints are retained.</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Streaming status</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Incomplete units, unresolved references, and interrupted episodes remain visibly provisional or incomplete.</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Visual consistency</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All nodes are boxes. Label text is boxed and colored. Solid, dashed, and dotted patterns encode family, not confidence.</w:t>
            </w:r>
          </w:p>
        </w:tc>
      </w:tr>
      <w:tr>
        <w:trPr>
          <w:cantSplit/>
        </w:trPr>
        <w:tc>
          <w:tcPr>
            <w:tcW w:type="dxa" w:w="187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Reviewability</w:t>
            </w:r>
          </w:p>
        </w:tc>
        <w:tc>
          <w:tcPr>
            <w:tcW w:type="dxa" w:w="7152"/>
            <w:vAlign w:val="top"/>
            <w:tcMar>
              <w:top w:w="55" w:type="dxa"/>
              <w:bottom w:w="55" w:type="dxa"/>
              <w:left w:w="55" w:type="dxa"/>
              <w:right w:w="65" w:type="dxa"/>
            </w:tcMar>
            <w:tcBorders>
              <w:top w:val="nil" w:sz="4" w:color="333333"/>
              <w:bottom w:val="single" w:sz="3" w:color="777777"/>
              <w:left w:val="nil" w:sz="4" w:color="333333"/>
              <w:right w:val="nil" w:sz="4" w:color="333333"/>
            </w:tcBorders>
          </w:tcPr>
          <w:p>
            <w:pPr>
              <w:widowControl/>
              <w:spacing w:after="0" w:line="250" w:lineRule="auto"/>
            </w:pPr>
            <w:r>
              <w:rPr>
                <w:rFonts w:ascii="Times New Roman" w:hAnsi="Times New Roman" w:cs="Times New Roman"/>
                <w:i w:val="0"/>
                <w:sz w:val="18"/>
              </w:rPr>
              <w:t>Each annotation can be checked against exact spans or events; rejected and corrected versions remain auditable.</w:t>
            </w:r>
          </w:p>
        </w:tc>
      </w:tr>
    </w:tbl>
    <w:p>
      <w:pPr>
        <w:keepNext w:val="0"/>
        <w:widowControl/>
        <w:spacing w:after="140" w:before="60" w:line="257" w:lineRule="auto"/>
        <w:jc w:val="center"/>
      </w:pPr>
      <w:r>
        <w:rPr>
          <w:rFonts w:ascii="Times New Roman" w:hAnsi="Times New Roman" w:cs="Times New Roman"/>
          <w:i w:val="0"/>
          <w:sz w:val="18"/>
        </w:rPr>
        <w:t>Table A.E14: Completion checks for manual or automated annotation.</w:t>
      </w:r>
    </w:p>
    <w:p>
      <w:pPr>
        <w:keepNext w:val="0"/>
        <w:widowControl/>
        <w:spacing w:after="120" w:before="0" w:line="257" w:lineRule="auto"/>
      </w:pPr>
      <w:r>
        <w:rPr>
          <w:rFonts w:ascii="Times New Roman" w:hAnsi="Times New Roman" w:cs="Times New Roman"/>
          <w:i w:val="0"/>
          <w:sz w:val="20"/>
        </w:rPr>
        <w:t>An annotation is complete for a chosen graph version when the observed events are represented, text spans and labels are valid, and unresolved items are explicitly identified. Completion does not mean the graph is a faithful account of hidden model computation or that the underlying answer is correct. The proposed extension requires its own agreement and accuracy evaluation.</w:t>
      </w:r>
    </w:p>
    <w:sectPr w:rsidR="00FC693F" w:rsidRPr="0006063C" w:rsidSect="00034616">
      <w:footerReference w:type="default" r:id="rId9"/>
      <w:pgSz w:w="11905" w:h="16838"/>
      <w:pgMar w:top="1195" w:right="1440" w:bottom="1152" w:left="144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0"/>
      </w:rP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Times New Roman" w:hAnsi="Times New Roman"/>
      <w:sz w:val="21"/>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000000"/>
      <w:sz w:val="24"/>
      <w:szCs w:val="28"/>
      <w:rFonts w:ascii="Times New Roman" w:hAnsi="Times New Roman"/>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000000"/>
      <w:sz w:val="22"/>
      <w:szCs w:val="26"/>
      <w:rFonts w:ascii="Times New Roman" w:hAnsi="Times New Roman"/>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000000"/>
      <w:sz w:val="21"/>
      <w:rFonts w:ascii="Times New Roman" w:hAnsi="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7" w:lineRule="auto"/>
    </w:pPr>
    <w:rPr>
      <w:rFonts w:ascii="Times New Roman" w:hAnsi="Times New Roman"/>
      <w:sz w:val="21"/>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Extension: Tool Calls and Web Search</dc:title>
  <dc:subject>Proposed Appendix A supplement to ReasoningFlow</dc:subject>
  <dc:creator>Nathan Conklin</dc:creator>
  <cp:keywords/>
  <dc:description>Added A.E0 client-side, no-LLM implementation profile; preserved existing annotation definitions and legend.</dc:description>
  <cp:lastModifiedBy/>
  <cp:revision>1</cp:revision>
  <dcterms:created xsi:type="dcterms:W3CDTF">2013-12-23T23:15:00Z</dcterms:created>
  <dcterms:modified xsi:type="dcterms:W3CDTF">2013-12-23T23:15:00Z</dcterms:modified>
  <cp:category/>
  <cp:version>0.2</cp:version>
</cp:coreProperties>
</file>