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widowControl/>
      </w:pPr>
      <w:r>
        <w:t>A.E  ReasoningFlow annotation guide: Tool calls and web search</w:t>
      </w:r>
    </w:p>
    <w:p>
      <w:pPr>
        <w:keepNext w:val="0"/>
        <w:widowControl/>
        <w:spacing w:after="200" w:before="0" w:line="257" w:lineRule="auto"/>
      </w:pPr>
      <w:r>
        <w:rPr>
          <w:rFonts w:ascii="Times New Roman" w:hAnsi="Times New Roman" w:cs="Times New Roman"/>
          <w:i/>
          <w:sz w:val="18"/>
        </w:rPr>
        <w:t>Proposed ReasoningFlow annotation supplement | Nathan Conklin | Version 0.1 | 11 October 2026</w:t>
      </w:r>
    </w:p>
    <w:p>
      <w:pPr>
        <w:pStyle w:val="Heading2"/>
        <w:pageBreakBefore w:val="0"/>
        <w:widowControl/>
      </w:pPr>
      <w:r>
        <w:t>Purpose and relationship to the paper</w:t>
      </w:r>
    </w:p>
    <w:p>
      <w:pPr>
        <w:keepNext w:val="0"/>
        <w:widowControl/>
        <w:spacing w:after="120" w:before="0" w:line="257" w:lineRule="auto"/>
      </w:pPr>
      <w:r>
        <w:rPr>
          <w:rFonts w:ascii="Times New Roman" w:hAnsi="Times New Roman" w:cs="Times New Roman"/>
          <w:i w:val="0"/>
          <w:sz w:val="21"/>
        </w:rPr>
        <w:t>ReasoningFlow annotates the discourse structure of an expressed reasoning trace with eight reasoning-node types, a Context category, and 14 semantic edge labels. Its Context definition already includes retrieved documents and tool responses. This supplement retains those definitions and adds ToolCall and ToolResult to represent the structured request and returned payload that occur between a plan and external evidence. Six added relationships connect expressed intent to invocation, calls to results, results to evidence spans, and evidence to later statements; they also record explicit citations and technical retries. Web search is a retrieval subtype of ToolCall. These additions produce a profile with 11 node types and 20 edge types. The operational and provenance extension is proposed in the accompanying design discussion; it was not introduced or evaluated by Lee et al. [1, §3; Appendix A; 2]</w:t>
      </w:r>
    </w:p>
    <w:p>
      <w:pPr>
        <w:pStyle w:val="Heading2"/>
        <w:pageBreakBefore w:val="0"/>
        <w:widowControl/>
      </w:pPr>
      <w:r>
        <w:t>Scope of this supplement</w:t>
      </w:r>
    </w:p>
    <w:p>
      <w:pPr>
        <w:keepNext w:val="0"/>
        <w:widowControl/>
        <w:spacing w:after="120" w:before="0" w:line="257" w:lineRule="auto"/>
      </w:pPr>
      <w:r>
        <w:rPr>
          <w:rFonts w:ascii="Times New Roman" w:hAnsi="Times New Roman" w:cs="Times New Roman"/>
          <w:i w:val="0"/>
          <w:sz w:val="21"/>
        </w:rPr>
        <w:t>Use this document with Appendix A of the supplied ReasoningFlow paper. The original node definitions appear in Table 3 and the original edge definitions in Table 4. Tables A.E1–A.E8 below add two node labels and six relationship labels in the same Label, Description, Subtype, and Example format. Original labels retain their source definitions and color coding. New labels are marked as additions. Examples in this supplement are synthetic annotation examples, not records of real searches or observed model behavior.</w:t>
      </w:r>
    </w:p>
    <w:p>
      <w:pPr>
        <w:pStyle w:val="Heading2"/>
        <w:pageBreakBefore w:val="0"/>
        <w:widowControl/>
      </w:pPr>
      <w:r>
        <w:t>Annotation unit and source boundary</w:t>
      </w:r>
    </w:p>
    <w:p>
      <w:pPr>
        <w:keepNext w:val="0"/>
        <w:widowControl/>
        <w:spacing w:after="120" w:before="0" w:line="257" w:lineRule="auto"/>
      </w:pPr>
      <w:r>
        <w:rPr>
          <w:rFonts w:ascii="Times New Roman" w:hAnsi="Times New Roman" w:cs="Times New Roman"/>
          <w:i w:val="0"/>
          <w:sz w:val="21"/>
        </w:rPr>
        <w:t>An original reasoning node remains a contiguous, nonoverlapping text span in its own source message. ToolCall and ToolResult are structured event records rather than sentence-sized reasoning units. Context nodes can reference exact spans or traceable extractions from a ToolResult. The result envelope and its Context spans occupy different representational layers; their shared bytes are not duplicated reasoning steps. Preserve original messages and payloads, and store source IDs, offsets or JSON pointers, and representation hashes.</w:t>
      </w:r>
    </w:p>
    <w:p>
      <w:pPr>
        <w:pStyle w:val="Heading2"/>
        <w:pageBreakBefore w:val="0"/>
        <w:widowControl/>
      </w:pPr>
      <w:r>
        <w:t>Observed and inferred information</w:t>
      </w:r>
    </w:p>
    <w:p>
      <w:pPr>
        <w:keepNext w:val="0"/>
        <w:widowControl/>
        <w:spacing w:after="120" w:before="0" w:line="257" w:lineRule="auto"/>
      </w:pPr>
      <w:r>
        <w:rPr>
          <w:rFonts w:ascii="Times New Roman" w:hAnsi="Times New Roman" w:cs="Times New Roman"/>
          <w:i w:val="0"/>
          <w:sz w:val="21"/>
        </w:rPr>
        <w:t>Call/result identifiers can establish an execution association. A prose statement that the model will search cannot establish that the call happened. Likewise, a result can exist without being shown to the model, and an explicit citation can exist without supporting the cited claim. Record the evidence method for each edge: runtime_observed, span_derived, explicit_reference, annotator_inferred, or human_reviewed. Human review should retain the original evidence method. These methods are metadata, not new node or relationship labels.</w:t>
      </w:r>
    </w:p>
    <w:p>
      <w:pPr>
        <w:pStyle w:val="Heading2"/>
        <w:pageBreakBefore w:val="0"/>
        <w:widowControl/>
      </w:pPr>
      <w:r>
        <w:t>Compact annotation procedure</w:t>
      </w:r>
    </w:p>
    <w:p>
      <w:pPr>
        <w:keepNext w:val="0"/>
        <w:widowControl/>
        <w:spacing w:after="120" w:before="0" w:line="257" w:lineRule="auto"/>
      </w:pPr>
      <w:r>
        <w:rPr>
          <w:rFonts w:ascii="Times New Roman" w:hAnsi="Times New Roman" w:cs="Times New Roman"/>
          <w:i w:val="0"/>
          <w:sz w:val="21"/>
        </w:rPr>
        <w:t>Begin with the recorded event sequence and the context manifest for the relevant model invocation. Identify actual calls and results, then extract eligible Context spans. Segment and classify the exposed text using the original guide. Add recorded operational links before inferring intent or evidence dependence. Apply the endpoint rules in this supplement, record supporting spans or event IDs, and leave unsupported links absent. During streaming, incomplete units and unresolved associations remain provisional. Reconcile them after the episode closes without inventing missing reasoning.</w:t>
      </w:r>
    </w:p>
    <w:p>
      <w:pPr>
        <w:pStyle w:val="Heading1"/>
        <w:pageBreakBefore/>
        <w:widowControl/>
      </w:pPr>
      <w:r>
        <w:t>A.E1  Approved legend and directional conventions</w:t>
      </w:r>
    </w:p>
    <w:p>
      <w:pPr>
        <w:keepNext/>
        <w:widowControl/>
        <w:spacing w:after="40"/>
        <w:jc w:val="center"/>
      </w:pPr>
      <w:r>
        <w:drawing>
          <wp:inline xmlns:a="http://schemas.openxmlformats.org/drawingml/2006/main" xmlns:pic="http://schemas.openxmlformats.org/drawingml/2006/picture">
            <wp:extent cx="5730544" cy="4297908"/>
            <wp:docPr id="1" name="Picture 1" descr="Approved complete ReasoningFlow plus Tools legend with eleven rectangular node types and twenty edge types"/>
            <wp:cNvGraphicFramePr>
              <a:graphicFrameLocks noChangeAspect="1"/>
            </wp:cNvGraphicFramePr>
            <a:graphic>
              <a:graphicData uri="http://schemas.openxmlformats.org/drawingml/2006/picture">
                <pic:pic>
                  <pic:nvPicPr>
                    <pic:cNvPr id="0" name="approved_legend.png"/>
                    <pic:cNvPicPr/>
                  </pic:nvPicPr>
                  <pic:blipFill>
                    <a:blip r:embed="rId10"/>
                    <a:stretch>
                      <a:fillRect/>
                    </a:stretch>
                  </pic:blipFill>
                  <pic:spPr>
                    <a:xfrm>
                      <a:off x="0" y="0"/>
                      <a:ext cx="5730544" cy="4297908"/>
                    </a:xfrm>
                    <a:prstGeom prst="rect"/>
                  </pic:spPr>
                </pic:pic>
              </a:graphicData>
            </a:graphic>
          </wp:inline>
        </w:drawing>
      </w:r>
    </w:p>
    <w:p>
      <w:pPr>
        <w:keepNext w:val="0"/>
        <w:widowControl/>
        <w:spacing w:after="140" w:before="60" w:line="257" w:lineRule="auto"/>
        <w:jc w:val="center"/>
      </w:pPr>
      <w:r>
        <w:rPr>
          <w:rFonts w:ascii="Times New Roman" w:hAnsi="Times New Roman" w:cs="Times New Roman"/>
          <w:i w:val="0"/>
          <w:sz w:val="18"/>
        </w:rPr>
        <w:t>Figure A.E1: Approved legend from the design discussion. The operational and provenance additions are proposed, not part of the original paper. [2]</w:t>
      </w:r>
    </w:p>
    <w:p>
      <w:pPr>
        <w:keepNext w:val="0"/>
        <w:widowControl/>
        <w:spacing w:after="120" w:before="0" w:line="257" w:lineRule="auto"/>
      </w:pPr>
      <w:r>
        <w:rPr>
          <w:rFonts w:ascii="Times New Roman" w:hAnsi="Times New Roman" w:cs="Times New Roman"/>
          <w:i w:val="0"/>
          <w:sz w:val="20"/>
        </w:rPr>
        <w:t>The graph stores earlier → later endpoints. The names grounded_in, cites, and retry_of read from the later endpoint back to the earlier reference. The table below specifies that convention explicitly.</w:t>
      </w:r>
    </w:p>
    <w:tbl>
      <w:tblPr>
        <w:tblW w:type="auto" w:w="0"/>
        <w:jc w:val="center"/>
        <w:tblLayout w:type="fixed"/>
        <w:tblLook w:firstColumn="1" w:firstRow="1" w:lastColumn="0" w:lastRow="0" w:noHBand="0" w:noVBand="1" w:val="04A0"/>
      </w:tblPr>
      <w:tblGrid>
        <w:gridCol w:w="1483"/>
        <w:gridCol w:w="2880"/>
        <w:gridCol w:w="4661"/>
      </w:tblGrid>
      <w:tr>
        <w:trPr>
          <w:cantSplit/>
          <w:tblHeader/>
        </w:trPr>
        <w:tc>
          <w:tcPr>
            <w:tcW w:type="dxa" w:w="1483"/>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Label</w:t>
            </w:r>
          </w:p>
        </w:tc>
        <w:tc>
          <w:tcPr>
            <w:tcW w:type="dxa" w:w="2880"/>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Stored source → target</w:t>
            </w:r>
          </w:p>
        </w:tc>
        <w:tc>
          <w:tcPr>
            <w:tcW w:type="dxa" w:w="4661"/>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Interpretation</w:t>
            </w:r>
          </w:p>
        </w:tc>
      </w:tr>
      <w:tr>
        <w:trPr>
          <w:cantSplit/>
        </w:trPr>
        <w:tc>
          <w:tcPr>
            <w:tcW w:type="dxa" w:w="148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invokes </w:t>
            </w:r>
          </w:p>
        </w:tc>
        <w:tc>
          <w:tcPr>
            <w:tcW w:type="dxa" w:w="288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Planning → ToolCall</w:t>
            </w:r>
          </w:p>
        </w:tc>
        <w:tc>
          <w:tcPr>
            <w:tcW w:type="dxa" w:w="466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earlier plan is operationalized by the later call.</w:t>
            </w:r>
          </w:p>
        </w:tc>
      </w:tr>
      <w:tr>
        <w:trPr>
          <w:cantSplit/>
        </w:trPr>
        <w:tc>
          <w:tcPr>
            <w:tcW w:type="dxa" w:w="148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returns </w:t>
            </w:r>
          </w:p>
        </w:tc>
        <w:tc>
          <w:tcPr>
            <w:tcW w:type="dxa" w:w="288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ToolCall → ToolResult</w:t>
            </w:r>
          </w:p>
        </w:tc>
        <w:tc>
          <w:tcPr>
            <w:tcW w:type="dxa" w:w="466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earlier call has the later recorded result.</w:t>
            </w:r>
          </w:p>
        </w:tc>
      </w:tr>
      <w:tr>
        <w:trPr>
          <w:cantSplit/>
        </w:trPr>
        <w:tc>
          <w:tcPr>
            <w:tcW w:type="dxa" w:w="148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provides </w:t>
            </w:r>
          </w:p>
        </w:tc>
        <w:tc>
          <w:tcPr>
            <w:tcW w:type="dxa" w:w="288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ToolResult → Context</w:t>
            </w:r>
          </w:p>
        </w:tc>
        <w:tc>
          <w:tcPr>
            <w:tcW w:type="dxa" w:w="466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earlier result supplies the later evidence representation.</w:t>
            </w:r>
          </w:p>
        </w:tc>
      </w:tr>
      <w:tr>
        <w:trPr>
          <w:cantSplit/>
        </w:trPr>
        <w:tc>
          <w:tcPr>
            <w:tcW w:type="dxa" w:w="148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grounded_in </w:t>
            </w:r>
          </w:p>
        </w:tc>
        <w:tc>
          <w:tcPr>
            <w:tcW w:type="dxa" w:w="288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Context → statement</w:t>
            </w:r>
          </w:p>
        </w:tc>
        <w:tc>
          <w:tcPr>
            <w:tcW w:type="dxa" w:w="466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later statement is grounded in the earlier Context.</w:t>
            </w:r>
          </w:p>
        </w:tc>
      </w:tr>
      <w:tr>
        <w:trPr>
          <w:cantSplit/>
        </w:trPr>
        <w:tc>
          <w:tcPr>
            <w:tcW w:type="dxa" w:w="148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cites </w:t>
            </w:r>
          </w:p>
        </w:tc>
        <w:tc>
          <w:tcPr>
            <w:tcW w:type="dxa" w:w="288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Context → citing statement</w:t>
            </w:r>
          </w:p>
        </w:tc>
        <w:tc>
          <w:tcPr>
            <w:tcW w:type="dxa" w:w="466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later statement cites the earlier Context/source.</w:t>
            </w:r>
          </w:p>
        </w:tc>
      </w:tr>
      <w:tr>
        <w:trPr>
          <w:cantSplit/>
        </w:trPr>
        <w:tc>
          <w:tcPr>
            <w:tcW w:type="dxa" w:w="148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retry_of </w:t>
            </w:r>
          </w:p>
        </w:tc>
        <w:tc>
          <w:tcPr>
            <w:tcW w:type="dxa" w:w="288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earlier ToolCall → later ToolCall</w:t>
            </w:r>
          </w:p>
        </w:tc>
        <w:tc>
          <w:tcPr>
            <w:tcW w:type="dxa" w:w="466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later call is a retry of the earlier call.</w:t>
            </w:r>
          </w:p>
        </w:tc>
      </w:tr>
    </w:tbl>
    <w:p>
      <w:pPr>
        <w:keepNext w:val="0"/>
        <w:widowControl/>
        <w:spacing w:after="120" w:before="100" w:line="257" w:lineRule="auto"/>
      </w:pPr>
      <w:r>
        <w:rPr>
          <w:rFonts w:ascii="Times New Roman" w:hAnsi="Times New Roman" w:cs="Times New Roman"/>
          <w:i w:val="0"/>
          <w:sz w:val="19"/>
        </w:rPr>
        <w:t>All nodes remain boxes. Original semantic links are solid, added operational links are teal dashed, and added provenance links are purple dotted, as shown in the approved image. Line pattern indicates family, not confidence or observed status.</w:t>
      </w:r>
    </w:p>
    <w:p>
      <w:pPr>
        <w:pStyle w:val="Heading1"/>
        <w:pageBreakBefore/>
        <w:widowControl/>
      </w:pPr>
      <w:r>
        <w:t>A.E2.1  ToolCall</w:t>
      </w:r>
    </w:p>
    <w:p>
      <w:pPr>
        <w:keepNext w:val="0"/>
        <w:widowControl/>
        <w:spacing w:after="140" w:before="0" w:line="257" w:lineRule="auto"/>
      </w:pPr>
      <w:r>
        <w:rPr>
          <w:rFonts w:ascii="Times New Roman" w:hAnsi="Times New Roman" w:cs="Times New Roman"/>
          <w:i w:val="0"/>
          <w:sz w:val="20"/>
        </w:rPr>
        <w:t>A ToolCall records a structured request, including requests that are still being assembled or were denied before dispatch. Annotate the observed lifecycle separately from the request's role. A ToolCall does not by itself assert that execution started or completed.</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CDEFEF"/>
              </w:rPr>
              <w:t xml:space="preserve"> ToolCall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ToolCall is a recorded invocation request to an external tool, API, computation facility, or action executor. Keep one stable node per call attempt, using the provider/orchestrator call identifier and attempt identifier. Preserve the tool name, structured arguments, request channel, timestamps, and observed lifecycle. Fragmented arguments update the same provisional node. A text statement such as “I will search” remains Planning unless a structured request is recorded. The subtype families are retrieval, computation, and external_action; operation refinements do not create new top-level types. An observed request can end as denied, canceled, failed, or outcome_unknown. The graph must not report dispatch or success without corresponding evidence.</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Retrieval: web search</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T1</w:t>
            </w:r>
            <w:r>
              <w:br/>
            </w:r>
            <w:r>
              <w:rPr>
                <w:rFonts w:ascii="Times New Roman" w:hAnsi="Times New Roman" w:cs="Times New Roman"/>
                <w:i/>
                <w:sz w:val="18"/>
              </w:rPr>
              <w:t>Recorded request: web_search(query="DemoCache default timeout").</w:t>
            </w:r>
            <w:r>
              <w:br/>
            </w:r>
            <w:r>
              <w:rPr>
                <w:rFonts w:ascii="Times New Roman" w:hAnsi="Times New Roman" w:cs="Times New Roman"/>
                <w:i/>
                <w:sz w:val="18"/>
              </w:rPr>
              <w:t>call_id=search-1; attempt_id=1.</w:t>
            </w:r>
            <w:r>
              <w:br/>
            </w:r>
            <w:r>
              <w:rPr>
                <w:rFonts w:ascii="Times New Roman" w:hAnsi="Times New Roman" w:cs="Times New Roman"/>
                <w:i/>
                <w:sz w:val="18"/>
              </w:rPr>
              <w:t>This node denotes the request, not the search hits.</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Retrieval: opening a source</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T2</w:t>
            </w:r>
            <w:r>
              <w:br/>
            </w:r>
            <w:r>
              <w:rPr>
                <w:rFonts w:ascii="Times New Roman" w:hAnsi="Times New Roman" w:cs="Times New Roman"/>
                <w:i/>
                <w:sz w:val="18"/>
              </w:rPr>
              <w:t>Recorded request: document_fetch(source_ref="S1").</w:t>
            </w:r>
            <w:r>
              <w:br/>
            </w:r>
            <w:r>
              <w:rPr>
                <w:rFonts w:ascii="Times New Roman" w:hAnsi="Times New Roman" w:cs="Times New Roman"/>
                <w:i/>
                <w:sz w:val="18"/>
              </w:rPr>
              <w:t>Opening the page is a separate call from the search that discovered its URL.</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Retrieval: local or structured search</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T3</w:t>
            </w:r>
            <w:r>
              <w:br/>
            </w:r>
            <w:r>
              <w:rPr>
                <w:rFonts w:ascii="Times New Roman" w:hAnsi="Times New Roman" w:cs="Times New Roman"/>
                <w:i/>
                <w:sz w:val="18"/>
              </w:rPr>
              <w:t>Recorded request: file_search(query="deployment timeout") or database_query(query_id="approved-read-7").</w:t>
            </w:r>
            <w:r>
              <w:br/>
            </w:r>
            <w:r>
              <w:rPr>
                <w:rFonts w:ascii="Times New Roman" w:hAnsi="Times New Roman" w:cs="Times New Roman"/>
                <w:i/>
                <w:sz w:val="18"/>
              </w:rPr>
              <w:t>Preserve the actual tool identity and arguments.</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Computation</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T4</w:t>
            </w:r>
            <w:r>
              <w:br/>
            </w:r>
            <w:r>
              <w:rPr>
                <w:rFonts w:ascii="Times New Roman" w:hAnsi="Times New Roman" w:cs="Times New Roman"/>
                <w:i/>
                <w:sz w:val="18"/>
              </w:rPr>
              <w:t>Recorded request: calculator(expression="12 * 7").</w:t>
            </w:r>
            <w:r>
              <w:br/>
            </w:r>
            <w:r>
              <w:rPr>
                <w:rFonts w:ascii="Times New Roman" w:hAnsi="Times New Roman" w:cs="Times New Roman"/>
                <w:i/>
                <w:sz w:val="18"/>
              </w:rPr>
              <w:t>The operation is computation; the returned value belongs in ToolResult.</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External action</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T5</w:t>
            </w:r>
            <w:r>
              <w:br/>
            </w:r>
            <w:r>
              <w:rPr>
                <w:rFonts w:ascii="Times New Roman" w:hAnsi="Times New Roman" w:cs="Times New Roman"/>
                <w:i/>
                <w:sz w:val="18"/>
              </w:rPr>
              <w:t>Recorded request: write_file(path="report.md", content_ref="draft-1").</w:t>
            </w:r>
            <w:r>
              <w:br/>
            </w:r>
            <w:r>
              <w:rPr>
                <w:rFonts w:ascii="Times New Roman" w:hAnsi="Times New Roman" w:cs="Times New Roman"/>
                <w:i/>
                <w:sz w:val="18"/>
              </w:rPr>
              <w:t>A request to write a file is not proof the file was written.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Opaque hosted operation</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T6</w:t>
            </w:r>
            <w:r>
              <w:br/>
            </w:r>
            <w:r>
              <w:rPr>
                <w:rFonts w:ascii="Times New Roman" w:hAnsi="Times New Roman" w:cs="Times New Roman"/>
                <w:i/>
                <w:sz w:val="18"/>
              </w:rPr>
              <w:t>A provider exposes one hosted-search operation but no subqueries.</w:t>
            </w:r>
            <w:r>
              <w:br/>
            </w:r>
            <w:r>
              <w:rPr>
                <w:rFonts w:ascii="Times New Roman" w:hAnsi="Times New Roman" w:cs="Times New Roman"/>
                <w:i/>
                <w:sz w:val="18"/>
              </w:rPr>
              <w:t>Record the visible operation scope; do not create imagined page-fetch calls.</w:t>
            </w:r>
          </w:p>
        </w:tc>
      </w:tr>
    </w:tbl>
    <w:p>
      <w:pPr>
        <w:keepNext w:val="0"/>
        <w:widowControl/>
        <w:spacing w:after="140" w:before="60" w:line="257" w:lineRule="auto"/>
        <w:jc w:val="center"/>
      </w:pPr>
      <w:r>
        <w:rPr>
          <w:rFonts w:ascii="Times New Roman" w:hAnsi="Times New Roman" w:cs="Times New Roman"/>
          <w:i w:val="0"/>
          <w:sz w:val="18"/>
        </w:rPr>
        <w:t>Table A.E1: Proposed annotation guide for the ToolCall node.</w:t>
      </w:r>
    </w:p>
    <w:p>
      <w:pPr>
        <w:widowControl/>
        <w:spacing w:after="100" w:line="252" w:lineRule="auto"/>
      </w:pPr>
      <w:r>
        <w:rPr>
          <w:rFonts w:ascii="Times New Roman" w:hAnsi="Times New Roman" w:cs="Times New Roman"/>
          <w:b/>
          <w:sz w:val="19"/>
        </w:rPr>
        <w:t xml:space="preserve">Required evidence. </w:t>
      </w:r>
      <w:r>
        <w:rPr>
          <w:rFonts w:ascii="Times New Roman" w:hAnsi="Times New Roman" w:cs="Times New Roman"/>
          <w:i w:val="0"/>
          <w:sz w:val="19"/>
        </w:rPr>
        <w:t>A structured request/event or a human-verified execution record. A model sentence alone is insufficient.</w:t>
      </w:r>
    </w:p>
    <w:p>
      <w:pPr>
        <w:widowControl/>
        <w:spacing w:after="100" w:line="252" w:lineRule="auto"/>
      </w:pPr>
      <w:r>
        <w:rPr>
          <w:rFonts w:ascii="Times New Roman" w:hAnsi="Times New Roman" w:cs="Times New Roman"/>
          <w:b/>
          <w:sz w:val="19"/>
        </w:rPr>
        <w:t xml:space="preserve">Boundary cases. </w:t>
      </w:r>
      <w:r>
        <w:rPr>
          <w:rFonts w:ascii="Times New Roman" w:hAnsi="Times New Roman" w:cs="Times New Roman"/>
          <w:i w:val="0"/>
          <w:sz w:val="19"/>
        </w:rPr>
        <w:t>Tool name unknown but operation identity recorded: keep the available identifier and mark missing fields. No exposed plan: retain an unlinked ToolCall. Partial argument fragments: update the same node rather than adding one node per fragment.</w:t>
      </w:r>
    </w:p>
    <w:p>
      <w:pPr>
        <w:widowControl/>
        <w:spacing w:after="100" w:line="252" w:lineRule="auto"/>
      </w:pPr>
      <w:r>
        <w:rPr>
          <w:rFonts w:ascii="Times New Roman" w:hAnsi="Times New Roman" w:cs="Times New Roman"/>
          <w:b/>
          <w:sz w:val="19"/>
        </w:rPr>
        <w:t xml:space="preserve">Do not confuse with. </w:t>
      </w:r>
      <w:r>
        <w:rPr>
          <w:rFonts w:ascii="Times New Roman" w:hAnsi="Times New Roman" w:cs="Times New Roman"/>
          <w:i w:val="0"/>
          <w:sz w:val="19"/>
        </w:rPr>
        <w:t>Planning states an intention; ToolCall records a request. ToolCall retry attempts have distinct attempt IDs and may later connect through retry_of.</w:t>
      </w:r>
    </w:p>
    <w:p>
      <w:pPr>
        <w:pStyle w:val="Heading1"/>
        <w:pageBreakBefore/>
        <w:widowControl/>
      </w:pPr>
      <w:r>
        <w:t>A.E2.2  ToolResult</w:t>
      </w:r>
    </w:p>
    <w:p>
      <w:pPr>
        <w:keepNext w:val="0"/>
        <w:widowControl/>
        <w:spacing w:after="140" w:before="0" w:line="257" w:lineRule="auto"/>
      </w:pPr>
      <w:r>
        <w:rPr>
          <w:rFonts w:ascii="Times New Roman" w:hAnsi="Times New Roman" w:cs="Times New Roman"/>
          <w:i w:val="0"/>
          <w:sz w:val="20"/>
        </w:rPr>
        <w:t>A ToolResult preserves the returned envelope, status, or error for a recorded operation. It can contain useful evidence, an empty payload, or an unsuccessful outcome. Evidence text extracted from it is represented as Context.</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D9E7FC"/>
              </w:rPr>
              <w:t xml:space="preserve"> ToolResult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ToolResult is an observed response item associated with a ToolCall. It can hold structured data, text, a returned file reference, an acknowledgment, an error, or an explicitly returned empty result. Preserve call_id, attempt_id, result_item_id, producer identity, payload reference, status, and available timestamps. Streaming payload fragments update their result item; they are not independent reasoning units. A call can have several distinct returned items. A result's existence does not certify truth, successful execution, or delivery to the model. If a runtime emits a timeout report, identify the runtime as producer rather than presenting it as a tool-server response. If no result is observed, leave the outcome unknown instead of fabricating a result.</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Search-result collection</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U1</w:t>
            </w:r>
            <w:r>
              <w:br/>
            </w:r>
            <w:r>
              <w:rPr>
                <w:rFonts w:ascii="Times New Roman" w:hAnsi="Times New Roman" w:cs="Times New Roman"/>
                <w:i/>
                <w:sz w:val="18"/>
              </w:rPr>
              <w:t>Returned list: [{source_id:"S1", snippet:"Default timeout: 20 seconds."}].</w:t>
            </w:r>
            <w:r>
              <w:br/>
            </w:r>
            <w:r>
              <w:rPr>
                <w:rFonts w:ascii="Times New Roman" w:hAnsi="Times New Roman" w:cs="Times New Roman"/>
                <w:i/>
                <w:sz w:val="18"/>
              </w:rPr>
              <w:t>The result may provide separate Context nodes for different hits.</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Document or record content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U2</w:t>
            </w:r>
            <w:r>
              <w:br/>
            </w:r>
            <w:r>
              <w:rPr>
                <w:rFonts w:ascii="Times New Roman" w:hAnsi="Times New Roman" w:cs="Times New Roman"/>
                <w:i/>
                <w:sz w:val="18"/>
              </w:rPr>
              <w:t>Returned manual text plus retrieval status.</w:t>
            </w:r>
            <w:r>
              <w:br/>
            </w:r>
            <w:r>
              <w:rPr>
                <w:rFonts w:ascii="Times New Roman" w:hAnsi="Times New Roman" w:cs="Times New Roman"/>
                <w:i/>
                <w:sz w:val="18"/>
              </w:rPr>
              <w:t>Preserve the source reference and representation; full text and a search snippet are distinct payloads.</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Computed output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U3</w:t>
            </w:r>
            <w:r>
              <w:br/>
            </w:r>
            <w:r>
              <w:rPr>
                <w:rFonts w:ascii="Times New Roman" w:hAnsi="Times New Roman" w:cs="Times New Roman"/>
                <w:i/>
                <w:sz w:val="18"/>
              </w:rPr>
              <w:t>calculator returns value=84.</w:t>
            </w:r>
            <w:r>
              <w:br/>
            </w:r>
            <w:r>
              <w:rPr>
                <w:rFonts w:ascii="Times New Roman" w:hAnsi="Times New Roman" w:cs="Times New Roman"/>
                <w:i/>
                <w:sz w:val="18"/>
              </w:rPr>
              <w:t>The value can supply Context; a later model derivation remains Reasoning.</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Action acknowledgment or artifact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U4</w:t>
            </w:r>
            <w:r>
              <w:br/>
            </w:r>
            <w:r>
              <w:rPr>
                <w:rFonts w:ascii="Times New Roman" w:hAnsi="Times New Roman" w:cs="Times New Roman"/>
                <w:i/>
                <w:sz w:val="18"/>
              </w:rPr>
              <w:t>write_file returns status="saved", artifact_ref="file-7".</w:t>
            </w:r>
            <w:r>
              <w:br/>
            </w:r>
            <w:r>
              <w:rPr>
                <w:rFonts w:ascii="Times New Roman" w:hAnsi="Times New Roman" w:cs="Times New Roman"/>
                <w:i/>
                <w:sz w:val="18"/>
              </w:rPr>
              <w:t>This reports the executor acknowledgment. Artifact contents become Context only if available.</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Execution or runtime error</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U5</w:t>
            </w:r>
            <w:r>
              <w:br/>
            </w:r>
            <w:r>
              <w:rPr>
                <w:rFonts w:ascii="Times New Roman" w:hAnsi="Times New Roman" w:cs="Times New Roman"/>
                <w:i/>
                <w:sz w:val="18"/>
              </w:rPr>
              <w:t>fetch returns status="timeout", producer_kind="runtime".</w:t>
            </w:r>
            <w:r>
              <w:br/>
            </w:r>
            <w:r>
              <w:rPr>
                <w:rFonts w:ascii="Times New Roman" w:hAnsi="Times New Roman" w:cs="Times New Roman"/>
                <w:i/>
                <w:sz w:val="18"/>
              </w:rPr>
              <w:t>The error describes this attempt and does not prove the requested page does not exist.</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Empty or partial response</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U6</w:t>
            </w:r>
            <w:r>
              <w:br/>
            </w:r>
            <w:r>
              <w:rPr>
                <w:rFonts w:ascii="Times New Roman" w:hAnsi="Times New Roman" w:cs="Times New Roman"/>
                <w:i/>
                <w:sz w:val="18"/>
              </w:rPr>
              <w:t>Search returns hits=[]; or fetch returns a partial text body.</w:t>
            </w:r>
            <w:r>
              <w:br/>
            </w:r>
            <w:r>
              <w:rPr>
                <w:rFonts w:ascii="Times New Roman" w:hAnsi="Times New Roman" w:cs="Times New Roman"/>
                <w:i/>
                <w:sz w:val="18"/>
              </w:rPr>
              <w:t>Record empty/partial status and annotate only the returned content.</w:t>
            </w:r>
          </w:p>
        </w:tc>
      </w:tr>
    </w:tbl>
    <w:p>
      <w:pPr>
        <w:keepNext w:val="0"/>
        <w:widowControl/>
        <w:spacing w:after="140" w:before="60" w:line="257" w:lineRule="auto"/>
        <w:jc w:val="center"/>
      </w:pPr>
      <w:r>
        <w:rPr>
          <w:rFonts w:ascii="Times New Roman" w:hAnsi="Times New Roman" w:cs="Times New Roman"/>
          <w:i w:val="0"/>
          <w:sz w:val="18"/>
        </w:rPr>
        <w:t>Table A.E2: Proposed annotation guide for the ToolResult node.</w:t>
      </w:r>
    </w:p>
    <w:p>
      <w:pPr>
        <w:widowControl/>
        <w:spacing w:after="100" w:line="252" w:lineRule="auto"/>
      </w:pPr>
      <w:r>
        <w:rPr>
          <w:rFonts w:ascii="Times New Roman" w:hAnsi="Times New Roman" w:cs="Times New Roman"/>
          <w:b/>
          <w:sz w:val="19"/>
        </w:rPr>
        <w:t xml:space="preserve">Required evidence. </w:t>
      </w:r>
      <w:r>
        <w:rPr>
          <w:rFonts w:ascii="Times New Roman" w:hAnsi="Times New Roman" w:cs="Times New Roman"/>
          <w:i w:val="0"/>
          <w:sz w:val="19"/>
        </w:rPr>
        <w:t>A recorded returned item or error event and its actual correlation data. A missing return is not an implicit ToolResult.</w:t>
      </w:r>
    </w:p>
    <w:p>
      <w:pPr>
        <w:widowControl/>
        <w:spacing w:after="100" w:line="252" w:lineRule="auto"/>
      </w:pPr>
      <w:r>
        <w:rPr>
          <w:rFonts w:ascii="Times New Roman" w:hAnsi="Times New Roman" w:cs="Times New Roman"/>
          <w:b/>
          <w:sz w:val="19"/>
        </w:rPr>
        <w:t xml:space="preserve">Context extraction. </w:t>
      </w:r>
      <w:r>
        <w:rPr>
          <w:rFonts w:ascii="Times New Roman" w:hAnsi="Times New Roman" w:cs="Times New Roman"/>
          <w:i w:val="0"/>
          <w:sz w:val="19"/>
        </w:rPr>
        <w:t>A provides edge links the envelope to a quoted span or traceable extracted representation. Preserve offsets or a JSON pointer and representation identity.</w:t>
      </w:r>
    </w:p>
    <w:p>
      <w:pPr>
        <w:widowControl/>
        <w:spacing w:after="100" w:line="252" w:lineRule="auto"/>
      </w:pPr>
      <w:r>
        <w:rPr>
          <w:rFonts w:ascii="Times New Roman" w:hAnsi="Times New Roman" w:cs="Times New Roman"/>
          <w:b/>
          <w:sz w:val="19"/>
        </w:rPr>
        <w:t xml:space="preserve">Do not confuse with. </w:t>
      </w:r>
      <w:r>
        <w:rPr>
          <w:rFonts w:ascii="Times New Roman" w:hAnsi="Times New Roman" w:cs="Times New Roman"/>
          <w:i w:val="0"/>
          <w:sz w:val="19"/>
        </w:rPr>
        <w:t>ToolResult is the operational envelope. Context is its evidence content. “No hits” is a property of one query response, not a universal absence claim.</w:t>
      </w:r>
    </w:p>
    <w:p>
      <w:pPr>
        <w:pStyle w:val="Heading1"/>
        <w:pageBreakBefore/>
        <w:widowControl/>
      </w:pPr>
      <w:r>
        <w:t>A.E3.1  invokes</w:t>
      </w:r>
    </w:p>
    <w:p>
      <w:pPr>
        <w:keepNext w:val="0"/>
        <w:widowControl/>
        <w:spacing w:after="140" w:before="0" w:line="257" w:lineRule="auto"/>
      </w:pPr>
      <w:r>
        <w:rPr>
          <w:rFonts w:ascii="Times New Roman" w:hAnsi="Times New Roman" w:cs="Times New Roman"/>
          <w:i w:val="0"/>
          <w:sz w:val="20"/>
        </w:rPr>
        <w:t>Use invokes to connect an expressed plan to the external request that implements that plan. The call's occurrence and the attribution of intent are separate pieces of evidence.</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D8F4F4"/>
              </w:rPr>
              <w:t xml:space="preserve"> invokes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invokes connects a Planning node to a later ToolCall whose requested operation implements that plan. The source must contain the expressed plan; the target must be an observed call. Confirm the relation through an explicit runtime mapping when available, or annotate it from the plan and tool arguments. Temporal proximity alone is insufficient. One plan may invoke several calls; more than one explicit plan may be relevant to a call if each relation is justified. Use no synthetic Planning node when reasoning is unavailable. A denied or canceled request can still implement an expressed intention at the request level; its lifecycle remains visible on ToolCall. invokes is an added operational relationship and does not replace the original execute edge between a plan and a text step.</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Searching for evidence</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FFADAD"/>
              </w:rPr>
              <w:t xml:space="preserve"> Planning </w:t>
            </w:r>
            <w:r>
              <w:rPr>
                <w:rFonts w:ascii="Times New Roman" w:hAnsi="Times New Roman" w:cs="Times New Roman"/>
                <w:i/>
                <w:sz w:val="18"/>
              </w:rPr>
              <w:t xml:space="preserve"> P1: “I should search for the default timeout.”</w:t>
            </w:r>
            <w:r>
              <w:br/>
            </w:r>
            <w:r>
              <w:rPr>
                <w:rFonts w:ascii="Times New Roman" w:hAnsi="Times New Roman" w:cs="Times New Roman"/>
                <w:i/>
                <w:sz w:val="18"/>
              </w:rPr>
              <w:t>→ invokes →</w:t>
            </w:r>
            <w:r>
              <w:br/>
            </w: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T1: web_search(query="DemoCache default timeout").</w:t>
            </w:r>
            <w:r>
              <w:br/>
            </w:r>
            <w:r>
              <w:rPr>
                <w:rFonts w:ascii="Times New Roman" w:hAnsi="Times New Roman" w:cs="Times New Roman"/>
                <w:i/>
                <w:sz w:val="18"/>
              </w:rPr>
              <w:t>Basis: annotator_inferred unless explicitly mapped by the runtime.</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Fetching a selected source</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FFADAD"/>
              </w:rPr>
              <w:t xml:space="preserve"> Planning </w:t>
            </w:r>
            <w:r>
              <w:rPr>
                <w:rFonts w:ascii="Times New Roman" w:hAnsi="Times New Roman" w:cs="Times New Roman"/>
                <w:i/>
                <w:sz w:val="18"/>
              </w:rPr>
              <w:t xml:space="preserve"> P2: “I should open the manual to verify this.”</w:t>
            </w:r>
            <w:r>
              <w:br/>
            </w:r>
            <w:r>
              <w:rPr>
                <w:rFonts w:ascii="Times New Roman" w:hAnsi="Times New Roman" w:cs="Times New Roman"/>
                <w:i/>
                <w:sz w:val="18"/>
              </w:rPr>
              <w:t>→ invokes →</w:t>
            </w:r>
            <w:r>
              <w:br/>
            </w: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T2: document_fetch(source_ref="manual-S1").</w:t>
            </w:r>
            <w:r>
              <w:br/>
            </w:r>
            <w:r>
              <w:rPr>
                <w:rFonts w:ascii="Times New Roman" w:hAnsi="Times New Roman" w:cs="Times New Roman"/>
                <w:i/>
                <w:sz w:val="18"/>
              </w:rPr>
              <w:t>The selected source matches the stated verification plan.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Executing a calculation</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FFADAD"/>
              </w:rPr>
              <w:t xml:space="preserve"> Planning </w:t>
            </w:r>
            <w:r>
              <w:rPr>
                <w:rFonts w:ascii="Times New Roman" w:hAnsi="Times New Roman" w:cs="Times New Roman"/>
                <w:i/>
                <w:sz w:val="18"/>
              </w:rPr>
              <w:t xml:space="preserve"> P3: “I will calculate twelve times seven.”</w:t>
            </w:r>
            <w:r>
              <w:br/>
            </w:r>
            <w:r>
              <w:rPr>
                <w:rFonts w:ascii="Times New Roman" w:hAnsi="Times New Roman" w:cs="Times New Roman"/>
                <w:i/>
                <w:sz w:val="18"/>
              </w:rPr>
              <w:t>→ invokes →</w:t>
            </w:r>
            <w:r>
              <w:br/>
            </w: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T3: calculator(expression="12 * 7").</w:t>
            </w:r>
            <w:r>
              <w:br/>
            </w:r>
            <w:r>
              <w:rPr>
                <w:rFonts w:ascii="Times New Roman" w:hAnsi="Times New Roman" w:cs="Times New Roman"/>
                <w:i/>
                <w:sz w:val="18"/>
              </w:rPr>
              <w:t>The subsequent value is recorded separately.</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Requesting an external action</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FFADAD"/>
              </w:rPr>
              <w:t xml:space="preserve"> Planning </w:t>
            </w:r>
            <w:r>
              <w:rPr>
                <w:rFonts w:ascii="Times New Roman" w:hAnsi="Times New Roman" w:cs="Times New Roman"/>
                <w:i/>
                <w:sz w:val="18"/>
              </w:rPr>
              <w:t xml:space="preserve"> P4: “I will save this draft to report.md.”</w:t>
            </w:r>
            <w:r>
              <w:br/>
            </w:r>
            <w:r>
              <w:rPr>
                <w:rFonts w:ascii="Times New Roman" w:hAnsi="Times New Roman" w:cs="Times New Roman"/>
                <w:i/>
                <w:sz w:val="18"/>
              </w:rPr>
              <w:t>→ invokes →</w:t>
            </w:r>
            <w:r>
              <w:br/>
            </w: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T4: write_file(path="report.md").</w:t>
            </w:r>
            <w:r>
              <w:br/>
            </w:r>
            <w:r>
              <w:rPr>
                <w:rFonts w:ascii="Times New Roman" w:hAnsi="Times New Roman" w:cs="Times New Roman"/>
                <w:i/>
                <w:sz w:val="18"/>
              </w:rPr>
              <w:t>The edge does not certify the write succeeded.</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Parallel implementation of one plan</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FFADAD"/>
              </w:rPr>
              <w:t xml:space="preserve"> Planning </w:t>
            </w:r>
            <w:r>
              <w:rPr>
                <w:rFonts w:ascii="Times New Roman" w:hAnsi="Times New Roman" w:cs="Times New Roman"/>
                <w:i/>
                <w:sz w:val="18"/>
              </w:rPr>
              <w:t xml:space="preserve"> P5: “I should compare the two manuals.”</w:t>
            </w:r>
            <w:r>
              <w:br/>
            </w:r>
            <w:r>
              <w:rPr>
                <w:rFonts w:ascii="Times New Roman" w:hAnsi="Times New Roman" w:cs="Times New Roman"/>
                <w:i/>
                <w:sz w:val="18"/>
              </w:rPr>
              <w:t>→ invokes → T5: fetch(manual-A); and</w:t>
            </w:r>
            <w:r>
              <w:br/>
            </w:r>
            <w:r>
              <w:rPr>
                <w:rFonts w:ascii="Times New Roman" w:hAnsi="Times New Roman" w:cs="Times New Roman"/>
                <w:i/>
                <w:sz w:val="18"/>
              </w:rPr>
              <w:t>→ invokes → T6: fetch(manual-B).</w:t>
            </w:r>
            <w:r>
              <w:br/>
            </w:r>
            <w:r>
              <w:rPr>
                <w:rFonts w:ascii="Times New Roman" w:hAnsi="Times New Roman" w:cs="Times New Roman"/>
                <w:i/>
                <w:sz w:val="18"/>
              </w:rPr>
              <w:t>Annotate two edges; no ordering edge is needed between T5 and T6.</w:t>
            </w:r>
          </w:p>
        </w:tc>
      </w:tr>
    </w:tbl>
    <w:p>
      <w:pPr>
        <w:keepNext w:val="0"/>
        <w:widowControl/>
        <w:spacing w:after="140" w:before="60" w:line="257" w:lineRule="auto"/>
        <w:jc w:val="center"/>
      </w:pPr>
      <w:r>
        <w:rPr>
          <w:rFonts w:ascii="Times New Roman" w:hAnsi="Times New Roman" w:cs="Times New Roman"/>
          <w:i w:val="0"/>
          <w:sz w:val="18"/>
        </w:rPr>
        <w:t>Table A.E3: Proposed annotation guide for invokes.</w:t>
      </w:r>
    </w:p>
    <w:p>
      <w:pPr>
        <w:widowControl/>
        <w:spacing w:after="100" w:line="252" w:lineRule="auto"/>
      </w:pPr>
      <w:r>
        <w:rPr>
          <w:rFonts w:ascii="Times New Roman" w:hAnsi="Times New Roman" w:cs="Times New Roman"/>
          <w:b/>
          <w:sz w:val="19"/>
        </w:rPr>
        <w:t xml:space="preserve">Endpoint rule. </w:t>
      </w:r>
      <w:r>
        <w:rPr>
          <w:rFonts w:ascii="Times New Roman" w:hAnsi="Times New Roman" w:cs="Times New Roman"/>
          <w:i w:val="0"/>
          <w:sz w:val="19"/>
        </w:rPr>
        <w:t>Planning → ToolCall. This version does not use Reasoning → ToolCall as a substitute for an unexpressed plan.</w:t>
      </w:r>
    </w:p>
    <w:p>
      <w:pPr>
        <w:widowControl/>
        <w:spacing w:after="100" w:line="252" w:lineRule="auto"/>
      </w:pPr>
      <w:r>
        <w:rPr>
          <w:rFonts w:ascii="Times New Roman" w:hAnsi="Times New Roman" w:cs="Times New Roman"/>
          <w:b/>
          <w:sz w:val="19"/>
        </w:rPr>
        <w:t xml:space="preserve">Evidence rule. </w:t>
      </w:r>
      <w:r>
        <w:rPr>
          <w:rFonts w:ascii="Times New Roman" w:hAnsi="Times New Roman" w:cs="Times New Roman"/>
          <w:i w:val="0"/>
          <w:sz w:val="19"/>
        </w:rPr>
        <w:t>Use runtime_observed only when the runtime explicitly identifies the source plan. Otherwise use annotator_inferred with supporting text and arguments.</w:t>
      </w:r>
    </w:p>
    <w:p>
      <w:pPr>
        <w:widowControl/>
        <w:spacing w:after="100" w:line="252" w:lineRule="auto"/>
      </w:pPr>
      <w:r>
        <w:rPr>
          <w:rFonts w:ascii="Times New Roman" w:hAnsi="Times New Roman" w:cs="Times New Roman"/>
          <w:b/>
          <w:sz w:val="19"/>
        </w:rPr>
        <w:t xml:space="preserve">Negative example. </w:t>
      </w:r>
      <w:r>
        <w:rPr>
          <w:rFonts w:ascii="Times New Roman" w:hAnsi="Times New Roman" w:cs="Times New Roman"/>
          <w:i w:val="0"/>
          <w:sz w:val="19"/>
        </w:rPr>
        <w:t>“I should search” followed by no recorded request has no invokes edge. A nearby unrelated calculator call must not be attached to a search plan.</w:t>
      </w:r>
    </w:p>
    <w:p>
      <w:pPr>
        <w:pStyle w:val="Heading1"/>
        <w:pageBreakBefore/>
        <w:widowControl/>
      </w:pPr>
      <w:r>
        <w:t>A.E3.2  returns</w:t>
      </w:r>
    </w:p>
    <w:p>
      <w:pPr>
        <w:keepNext w:val="0"/>
        <w:widowControl/>
        <w:spacing w:after="140" w:before="0" w:line="257" w:lineRule="auto"/>
      </w:pPr>
      <w:r>
        <w:rPr>
          <w:rFonts w:ascii="Times New Roman" w:hAnsi="Times New Roman" w:cs="Times New Roman"/>
          <w:i w:val="0"/>
          <w:sz w:val="20"/>
        </w:rPr>
        <w:t>returns records request/response association. Match identifiers and scope before adding the edge; do not match parallel operations by visual or arrival order.</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D8F4F4"/>
              </w:rPr>
              <w:t xml:space="preserve"> returns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returns connects a ToolCall to its observed ToolResult. The call and result must share a recorded call identifier, attempt identifier, or an equivalent verified correlation record. The edge is valid for successful payloads, empty responses, action acknowledgments, and explicit errors. It does not express semantic support or guarantee success. Distinct result items can create several returns edges from one call; network fragments of the same result item update that item instead. If correlation is unresolved, retain the result with unresolved-association metadata and postpone the edge. A tool request that has not produced a return has no returns edge. Out-of-order receipt does not change which call owns a result.</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Successful retrieval</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T1: call_id=search-1.</w:t>
            </w:r>
            <w:r>
              <w:br/>
            </w:r>
            <w:r>
              <w:rPr>
                <w:rFonts w:ascii="Times New Roman" w:hAnsi="Times New Roman" w:cs="Times New Roman"/>
                <w:i/>
                <w:sz w:val="18"/>
              </w:rPr>
              <w:t>→ returns →</w:t>
            </w:r>
            <w:r>
              <w:br/>
            </w: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U1: call_id=search-1; hits=[S1,S2].</w:t>
            </w:r>
            <w:r>
              <w:br/>
            </w:r>
            <w:r>
              <w:rPr>
                <w:rFonts w:ascii="Times New Roman" w:hAnsi="Times New Roman" w:cs="Times New Roman"/>
                <w:i/>
                <w:sz w:val="18"/>
              </w:rPr>
              <w:t>Basis: recorded request/result association.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Computed output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T2: call_id=calc-1; expression="12 * 7".</w:t>
            </w:r>
            <w:r>
              <w:br/>
            </w:r>
            <w:r>
              <w:rPr>
                <w:rFonts w:ascii="Times New Roman" w:hAnsi="Times New Roman" w:cs="Times New Roman"/>
                <w:i/>
                <w:sz w:val="18"/>
              </w:rPr>
              <w:t>→ returns →</w:t>
            </w:r>
            <w:r>
              <w:br/>
            </w: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U2: call_id=calc-1; value=84.</w:t>
            </w:r>
            <w:r>
              <w:br/>
            </w:r>
            <w:r>
              <w:rPr>
                <w:rFonts w:ascii="Times New Roman" w:hAnsi="Times New Roman" w:cs="Times New Roman"/>
                <w:i/>
                <w:sz w:val="18"/>
              </w:rPr>
              <w:t>The edge identifies the returned item, not a reasoning inference.</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Error or empty response</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T3: call_id=fetch-2; attempt=1.</w:t>
            </w:r>
            <w:r>
              <w:br/>
            </w:r>
            <w:r>
              <w:rPr>
                <w:rFonts w:ascii="Times New Roman" w:hAnsi="Times New Roman" w:cs="Times New Roman"/>
                <w:i/>
                <w:sz w:val="18"/>
              </w:rPr>
              <w:t>→ returns →</w:t>
            </w:r>
            <w:r>
              <w:br/>
            </w: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U3: call_id=fetch-2; attempt=1; status="timeout".</w:t>
            </w:r>
            <w:r>
              <w:br/>
            </w:r>
            <w:r>
              <w:rPr>
                <w:rFonts w:ascii="Times New Roman" w:hAnsi="Times New Roman" w:cs="Times New Roman"/>
                <w:i/>
                <w:sz w:val="18"/>
              </w:rPr>
              <w:t>An explicitly returned hits=[] response is also a valid result.</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Parallel calls and multiple items</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t>T4 and T5 run concurrently. U5 arrives first with call_id=T5.</w:t>
            </w:r>
            <w:r>
              <w:br/>
            </w:r>
            <w:r>
              <w:rPr>
                <w:rFonts w:ascii="Times New Roman" w:hAnsi="Times New Roman" w:cs="Times New Roman"/>
                <w:i/>
                <w:sz w:val="18"/>
              </w:rPr>
              <w:t>Annotate T5 → returns → U5, then T4 → returns → U4.</w:t>
            </w:r>
            <w:r>
              <w:br/>
            </w:r>
            <w:r>
              <w:rPr>
                <w:rFonts w:ascii="Times New Roman" w:hAnsi="Times New Roman" w:cs="Times New Roman"/>
                <w:i/>
                <w:sz w:val="18"/>
              </w:rPr>
              <w:t>If T4 returns two distinct item IDs, both may have T4 as source.</w:t>
            </w:r>
          </w:p>
        </w:tc>
      </w:tr>
    </w:tbl>
    <w:p>
      <w:pPr>
        <w:keepNext w:val="0"/>
        <w:widowControl/>
        <w:spacing w:after="140" w:before="60" w:line="257" w:lineRule="auto"/>
        <w:jc w:val="center"/>
      </w:pPr>
      <w:r>
        <w:rPr>
          <w:rFonts w:ascii="Times New Roman" w:hAnsi="Times New Roman" w:cs="Times New Roman"/>
          <w:i w:val="0"/>
          <w:sz w:val="18"/>
        </w:rPr>
        <w:t>Table A.E4: Proposed annotation guide for returns.</w:t>
      </w:r>
    </w:p>
    <w:p>
      <w:pPr>
        <w:widowControl/>
        <w:spacing w:after="100" w:line="252" w:lineRule="auto"/>
      </w:pPr>
      <w:r>
        <w:rPr>
          <w:rFonts w:ascii="Times New Roman" w:hAnsi="Times New Roman" w:cs="Times New Roman"/>
          <w:b/>
          <w:sz w:val="19"/>
        </w:rPr>
        <w:t xml:space="preserve">Endpoint rule. </w:t>
      </w:r>
      <w:r>
        <w:rPr>
          <w:rFonts w:ascii="Times New Roman" w:hAnsi="Times New Roman" w:cs="Times New Roman"/>
          <w:i w:val="0"/>
          <w:sz w:val="19"/>
        </w:rPr>
        <w:t>ToolCall → ToolResult. A ToolResult normally has one owning call attempt; a combined provider result must preserve the correlation scope actually exposed.</w:t>
      </w:r>
    </w:p>
    <w:p>
      <w:pPr>
        <w:widowControl/>
        <w:spacing w:after="100" w:line="252" w:lineRule="auto"/>
      </w:pPr>
      <w:r>
        <w:rPr>
          <w:rFonts w:ascii="Times New Roman" w:hAnsi="Times New Roman" w:cs="Times New Roman"/>
          <w:b/>
          <w:sz w:val="19"/>
        </w:rPr>
        <w:t xml:space="preserve">Evidence rule. </w:t>
      </w:r>
      <w:r>
        <w:rPr>
          <w:rFonts w:ascii="Times New Roman" w:hAnsi="Times New Roman" w:cs="Times New Roman"/>
          <w:i w:val="0"/>
          <w:sz w:val="19"/>
        </w:rPr>
        <w:t>runtime_observed with the correlation event IDs. An annotator may verify identifiers but must not invent them from content similarity.</w:t>
      </w:r>
    </w:p>
    <w:p>
      <w:pPr>
        <w:widowControl/>
        <w:spacing w:after="100" w:line="252" w:lineRule="auto"/>
      </w:pPr>
      <w:r>
        <w:rPr>
          <w:rFonts w:ascii="Times New Roman" w:hAnsi="Times New Roman" w:cs="Times New Roman"/>
          <w:b/>
          <w:sz w:val="19"/>
        </w:rPr>
        <w:t xml:space="preserve">Negative example. </w:t>
      </w:r>
      <w:r>
        <w:rPr>
          <w:rFonts w:ascii="Times New Roman" w:hAnsi="Times New Roman" w:cs="Times New Roman"/>
          <w:i w:val="0"/>
          <w:sz w:val="19"/>
        </w:rPr>
        <w:t>A transport disconnect without a returned error does not justify a synthetic failure result. Record unknown outcome on the call and await further evidence.</w:t>
      </w:r>
    </w:p>
    <w:p>
      <w:pPr>
        <w:pStyle w:val="Heading1"/>
        <w:pageBreakBefore/>
        <w:widowControl/>
      </w:pPr>
      <w:r>
        <w:t>A.E3.3  provides</w:t>
      </w:r>
    </w:p>
    <w:p>
      <w:pPr>
        <w:keepNext w:val="0"/>
        <w:widowControl/>
        <w:spacing w:after="140" w:before="0" w:line="257" w:lineRule="auto"/>
      </w:pPr>
      <w:r>
        <w:rPr>
          <w:rFonts w:ascii="Times New Roman" w:hAnsi="Times New Roman" w:cs="Times New Roman"/>
          <w:i w:val="0"/>
          <w:sz w:val="20"/>
        </w:rPr>
        <w:t>provides preserves the path from a returned payload to an inspectable evidence span. It records extraction provenance, not whether the model accepted or used the content.</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D8F4F4"/>
              </w:rPr>
              <w:t xml:space="preserve"> provides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provides connects a ToolResult to Context derived from that result. Context may be an exact text span, a structured field, an excerpt, or a traceable extracted representation. Record the original payload identity and hash, plus offsets, a JSON pointer, or a documented representation mapping. Several Context nodes may come from one result. The target must not add claims absent from the source. If extraction transforms the representation, retain the transformation identity and the extracted representation's hash. Context can be visible in the graph before it is delivered to the model; the context manifest determines whether it is eligible as evidence for later model statements. A provides edge alone is not evidence of model access, use, or source credibility.</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Individual search hit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U1: search list includes S1.snippet.</w:t>
            </w:r>
            <w:r>
              <w:br/>
            </w:r>
            <w:r>
              <w:rPr>
                <w:rFonts w:ascii="Times New Roman" w:hAnsi="Times New Roman" w:cs="Times New Roman"/>
                <w:i/>
                <w:sz w:val="18"/>
              </w:rPr>
              <w:t>→ provides →</w:t>
            </w:r>
            <w:r>
              <w:br/>
            </w: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C1: “Default timeout: 20 seconds.”</w:t>
            </w:r>
            <w:r>
              <w:br/>
            </w:r>
            <w:r>
              <w:rPr>
                <w:rFonts w:ascii="Times New Roman" w:hAnsi="Times New Roman" w:cs="Times New Roman"/>
                <w:i/>
                <w:sz w:val="18"/>
              </w:rPr>
              <w:t>Locator: /hits/0/snippet in the recorded result.</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Document excerpt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U2: returned manual body.</w:t>
            </w:r>
            <w:r>
              <w:br/>
            </w:r>
            <w:r>
              <w:rPr>
                <w:rFonts w:ascii="Times New Roman" w:hAnsi="Times New Roman" w:cs="Times New Roman"/>
                <w:i/>
                <w:sz w:val="18"/>
              </w:rPr>
              <w:t>→ provides →</w:t>
            </w:r>
            <w:r>
              <w:br/>
            </w: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C2: “The default timeout is 30 seconds.”</w:t>
            </w:r>
            <w:r>
              <w:br/>
            </w:r>
            <w:r>
              <w:rPr>
                <w:rFonts w:ascii="Times New Roman" w:hAnsi="Times New Roman" w:cs="Times New Roman"/>
                <w:i/>
                <w:sz w:val="18"/>
              </w:rPr>
              <w:t>Preserve start/end offsets in the identified text representation.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Structured computation result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U3: {"value":84}.</w:t>
            </w:r>
            <w:r>
              <w:br/>
            </w:r>
            <w:r>
              <w:rPr>
                <w:rFonts w:ascii="Times New Roman" w:hAnsi="Times New Roman" w:cs="Times New Roman"/>
                <w:i/>
                <w:sz w:val="18"/>
              </w:rPr>
              <w:t>→ provides →</w:t>
            </w:r>
            <w:r>
              <w:br/>
            </w: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C3: value=84.</w:t>
            </w:r>
            <w:r>
              <w:br/>
            </w:r>
            <w:r>
              <w:rPr>
                <w:rFonts w:ascii="Times New Roman" w:hAnsi="Times New Roman" w:cs="Times New Roman"/>
                <w:i/>
                <w:sz w:val="18"/>
              </w:rPr>
              <w:t>Locator: /value. A later explanation of the arithmetic is not part of this extraction.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Traceable transformed text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U4: HTML response payload.</w:t>
            </w:r>
            <w:r>
              <w:br/>
            </w:r>
            <w:r>
              <w:rPr>
                <w:rFonts w:ascii="Times New Roman" w:hAnsi="Times New Roman" w:cs="Times New Roman"/>
                <w:i/>
                <w:sz w:val="18"/>
              </w:rPr>
              <w:t>→ provides →</w:t>
            </w:r>
            <w:r>
              <w:br/>
            </w: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C4: extracted paragraph in text representation R4.</w:t>
            </w:r>
            <w:r>
              <w:br/>
            </w:r>
            <w:r>
              <w:rPr>
                <w:rFonts w:ascii="Times New Roman" w:hAnsi="Times New Roman" w:cs="Times New Roman"/>
                <w:i/>
                <w:sz w:val="18"/>
              </w:rPr>
              <w:t>Store the original hash, extraction method, and R4 hash.</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Observed empty-result statement</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D9E7FC"/>
              </w:rPr>
              <w:t xml:space="preserve"> ToolResult </w:t>
            </w:r>
            <w:r>
              <w:rPr>
                <w:rFonts w:ascii="Times New Roman" w:hAnsi="Times New Roman" w:cs="Times New Roman"/>
                <w:i/>
                <w:sz w:val="18"/>
              </w:rPr>
              <w:t xml:space="preserve"> U5: hits=[].</w:t>
            </w:r>
            <w:r>
              <w:br/>
            </w:r>
            <w:r>
              <w:rPr>
                <w:rFonts w:ascii="Times New Roman" w:hAnsi="Times New Roman" w:cs="Times New Roman"/>
                <w:i/>
                <w:sz w:val="18"/>
              </w:rPr>
              <w:t>→ provides →</w:t>
            </w:r>
            <w:r>
              <w:br/>
            </w: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C5: “This query returned zero hits.”</w:t>
            </w:r>
            <w:r>
              <w:br/>
            </w:r>
            <w:r>
              <w:rPr>
                <w:rFonts w:ascii="Times New Roman" w:hAnsi="Times New Roman" w:cs="Times New Roman"/>
                <w:i/>
                <w:sz w:val="18"/>
              </w:rPr>
              <w:t>This describes U5; it must not be rewritten as “No relevant documents exist.”</w:t>
            </w:r>
          </w:p>
        </w:tc>
      </w:tr>
    </w:tbl>
    <w:p>
      <w:pPr>
        <w:keepNext w:val="0"/>
        <w:widowControl/>
        <w:spacing w:after="140" w:before="60" w:line="257" w:lineRule="auto"/>
        <w:jc w:val="center"/>
      </w:pPr>
      <w:r>
        <w:rPr>
          <w:rFonts w:ascii="Times New Roman" w:hAnsi="Times New Roman" w:cs="Times New Roman"/>
          <w:i w:val="0"/>
          <w:sz w:val="18"/>
        </w:rPr>
        <w:t>Table A.E5: Proposed annotation guide for provides.</w:t>
      </w:r>
    </w:p>
    <w:p>
      <w:pPr>
        <w:widowControl/>
        <w:spacing w:after="100" w:line="252" w:lineRule="auto"/>
      </w:pPr>
      <w:r>
        <w:rPr>
          <w:rFonts w:ascii="Times New Roman" w:hAnsi="Times New Roman" w:cs="Times New Roman"/>
          <w:b/>
          <w:sz w:val="19"/>
        </w:rPr>
        <w:t xml:space="preserve">Endpoint rule. </w:t>
      </w:r>
      <w:r>
        <w:rPr>
          <w:rFonts w:ascii="Times New Roman" w:hAnsi="Times New Roman" w:cs="Times New Roman"/>
          <w:i w:val="0"/>
          <w:sz w:val="19"/>
        </w:rPr>
        <w:t>ToolResult → Context. User-supplied Context needs no provides edge unless it was itself delivered through a recorded tool result.</w:t>
      </w:r>
    </w:p>
    <w:p>
      <w:pPr>
        <w:widowControl/>
        <w:spacing w:after="100" w:line="252" w:lineRule="auto"/>
      </w:pPr>
      <w:r>
        <w:rPr>
          <w:rFonts w:ascii="Times New Roman" w:hAnsi="Times New Roman" w:cs="Times New Roman"/>
          <w:b/>
          <w:sz w:val="19"/>
        </w:rPr>
        <w:t xml:space="preserve">Evidence rule. </w:t>
      </w:r>
      <w:r>
        <w:rPr>
          <w:rFonts w:ascii="Times New Roman" w:hAnsi="Times New Roman" w:cs="Times New Roman"/>
          <w:i w:val="0"/>
          <w:sz w:val="19"/>
        </w:rPr>
        <w:t>span_derived for verified extraction, with source location and transformation metadata. Never treat a generated summary as an exact source span.</w:t>
      </w:r>
    </w:p>
    <w:p>
      <w:pPr>
        <w:widowControl/>
        <w:spacing w:after="100" w:line="252" w:lineRule="auto"/>
      </w:pPr>
      <w:r>
        <w:rPr>
          <w:rFonts w:ascii="Times New Roman" w:hAnsi="Times New Roman" w:cs="Times New Roman"/>
          <w:b/>
          <w:sz w:val="19"/>
        </w:rPr>
        <w:t xml:space="preserve">Negative example. </w:t>
      </w:r>
      <w:r>
        <w:rPr>
          <w:rFonts w:ascii="Times New Roman" w:hAnsi="Times New Roman" w:cs="Times New Roman"/>
          <w:i w:val="0"/>
          <w:sz w:val="19"/>
        </w:rPr>
        <w:t>A result listing a URL does not provide the unseen full text of that page. Record the search snippet; add full-document Context only after an observed fetch or another available source.</w:t>
      </w:r>
    </w:p>
    <w:p>
      <w:pPr>
        <w:pStyle w:val="Heading1"/>
        <w:pageBreakBefore/>
        <w:widowControl/>
      </w:pPr>
      <w:r>
        <w:t>A.E3.4  grounded_in</w:t>
      </w:r>
    </w:p>
    <w:p>
      <w:pPr>
        <w:keepNext w:val="0"/>
        <w:widowControl/>
        <w:spacing w:after="140" w:before="0" w:line="257" w:lineRule="auto"/>
      </w:pPr>
      <w:r>
        <w:rPr>
          <w:rFonts w:ascii="Times New Roman" w:hAnsi="Times New Roman" w:cs="Times New Roman"/>
          <w:i w:val="0"/>
          <w:sz w:val="20"/>
        </w:rPr>
        <w:t>grounded_in attributes information dependence to an earlier Context span. It is a semantic/provenance judgment and requires more than a shared topic or an explicit citation marker.</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EEDFF8"/>
              </w:rPr>
              <w:t xml:space="preserve"> grounded_in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grounded_in connects earlier Context to a later original text-role node whose content depends on information in that Context. Read the label from the target: the later statement is grounded in the earlier context. Require that the context was available to the relevant model invocation and that an evidence span explains the attribution. The target may be a paraphrase, derived claim, assumption, plan, reflection, example, or conclusion when its dependence is supported. Fact is excluded in this profile because the original Fact category is independent of supplied context; reassess a purported grounded Fact as Restatement or Reasoning. The edge can coexist with infer or restate because it records evidence provenance. It does not certify correctness, source reliability, or hidden mechanistic dependence.</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Source-based answer</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C1: “The default timeout is 30 seconds.”</w:t>
            </w:r>
            <w:r>
              <w:br/>
            </w:r>
            <w:r>
              <w:rPr>
                <w:rFonts w:ascii="Times New Roman" w:hAnsi="Times New Roman" w:cs="Times New Roman"/>
                <w:i/>
                <w:sz w:val="18"/>
              </w:rPr>
              <w:t>→ grounded_in →</w:t>
            </w:r>
            <w:r>
              <w:br/>
            </w:r>
            <w:r>
              <w:rPr>
                <w:rFonts w:ascii="Times New Roman" w:hAnsi="Times New Roman" w:cs="Times New Roman"/>
                <w:i/>
                <w:sz w:val="18"/>
              </w:rPr>
            </w:r>
            <w:r>
              <w:rPr>
                <w:rFonts w:ascii="Consolas" w:hAnsi="Consolas" w:cs="Consolas"/>
                <w:sz w:val="17"/>
                <w:shd w:val="clear" w:color="auto" w:fill="C3B1E1"/>
              </w:rPr>
              <w:t xml:space="preserve"> Conclusion </w:t>
            </w:r>
            <w:r>
              <w:rPr>
                <w:rFonts w:ascii="Times New Roman" w:hAnsi="Times New Roman" w:cs="Times New Roman"/>
                <w:i/>
                <w:sz w:val="18"/>
              </w:rPr>
              <w:t xml:space="preserve"> K1: “The default timeout is 30 seconds.”</w:t>
            </w:r>
            <w:r>
              <w:br/>
            </w:r>
            <w:r>
              <w:rPr>
                <w:rFonts w:ascii="Times New Roman" w:hAnsi="Times New Roman" w:cs="Times New Roman"/>
                <w:i/>
                <w:sz w:val="18"/>
              </w:rPr>
              <w:t>The matched span and input manifest support evidence attribution.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Derivation using retrieved values</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C2: “A batch has 12 items.” and C3: “Each item weighs 7 units.”</w:t>
            </w:r>
            <w:r>
              <w:br/>
            </w:r>
            <w:r>
              <w:rPr>
                <w:rFonts w:ascii="Times New Roman" w:hAnsi="Times New Roman" w:cs="Times New Roman"/>
                <w:i/>
                <w:sz w:val="18"/>
              </w:rPr>
              <w:t>Both → grounded_in →</w:t>
            </w:r>
            <w:r>
              <w:br/>
            </w:r>
            <w:r>
              <w:rPr>
                <w:rFonts w:ascii="Times New Roman" w:hAnsi="Times New Roman" w:cs="Times New Roman"/>
                <w:i/>
                <w:sz w:val="18"/>
              </w:rPr>
            </w:r>
            <w:r>
              <w:rPr>
                <w:rFonts w:ascii="Consolas" w:hAnsi="Consolas" w:cs="Consolas"/>
                <w:sz w:val="17"/>
                <w:shd w:val="clear" w:color="auto" w:fill="FDFFB6"/>
              </w:rPr>
              <w:t xml:space="preserve"> Reasoning </w:t>
            </w:r>
            <w:r>
              <w:rPr>
                <w:rFonts w:ascii="Times New Roman" w:hAnsi="Times New Roman" w:cs="Times New Roman"/>
                <w:i/>
                <w:sz w:val="18"/>
              </w:rPr>
              <w:t xml:space="preserve"> R1: “The batch weighs 84 units.”</w:t>
            </w:r>
            <w:r>
              <w:br/>
            </w:r>
            <w:r>
              <w:rPr>
                <w:rFonts w:ascii="Times New Roman" w:hAnsi="Times New Roman" w:cs="Times New Roman"/>
                <w:i/>
                <w:sz w:val="18"/>
              </w:rPr>
              <w:t>Add appropriate infer links independently.</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Source-based planning or reflection</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C4: “Full details are in the installation manual.”</w:t>
            </w:r>
            <w:r>
              <w:br/>
            </w:r>
            <w:r>
              <w:rPr>
                <w:rFonts w:ascii="Times New Roman" w:hAnsi="Times New Roman" w:cs="Times New Roman"/>
                <w:i/>
                <w:sz w:val="18"/>
              </w:rPr>
              <w:t>→ grounded_in →</w:t>
            </w:r>
            <w:r>
              <w:br/>
            </w:r>
            <w:r>
              <w:rPr>
                <w:rFonts w:ascii="Times New Roman" w:hAnsi="Times New Roman" w:cs="Times New Roman"/>
                <w:i/>
                <w:sz w:val="18"/>
              </w:rPr>
            </w:r>
            <w:r>
              <w:rPr>
                <w:rFonts w:ascii="Consolas" w:hAnsi="Consolas" w:cs="Consolas"/>
                <w:sz w:val="17"/>
                <w:shd w:val="clear" w:color="auto" w:fill="FFADAD"/>
              </w:rPr>
              <w:t xml:space="preserve"> Planning </w:t>
            </w:r>
            <w:r>
              <w:rPr>
                <w:rFonts w:ascii="Times New Roman" w:hAnsi="Times New Roman" w:cs="Times New Roman"/>
                <w:i/>
                <w:sz w:val="18"/>
              </w:rPr>
              <w:t xml:space="preserve"> P1: “I should read that manual.”</w:t>
            </w:r>
            <w:r>
              <w:br/>
            </w:r>
            <w:r>
              <w:rPr>
                <w:rFonts w:ascii="Times New Roman" w:hAnsi="Times New Roman" w:cs="Times New Roman"/>
                <w:i/>
                <w:sz w:val="18"/>
              </w:rPr>
              <w:t>The source informs the expressed plan; invokes requires a separate call.</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Conditional evidence use</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C5: “The estimate assumes constant load.”</w:t>
            </w:r>
            <w:r>
              <w:br/>
            </w:r>
            <w:r>
              <w:rPr>
                <w:rFonts w:ascii="Times New Roman" w:hAnsi="Times New Roman" w:cs="Times New Roman"/>
                <w:i/>
                <w:sz w:val="18"/>
              </w:rPr>
              <w:t>→ grounded_in →</w:t>
            </w:r>
            <w:r>
              <w:br/>
            </w:r>
            <w:r>
              <w:rPr>
                <w:rFonts w:ascii="Times New Roman" w:hAnsi="Times New Roman" w:cs="Times New Roman"/>
                <w:i/>
                <w:sz w:val="18"/>
              </w:rPr>
            </w:r>
            <w:r>
              <w:rPr>
                <w:rFonts w:ascii="Consolas" w:hAnsi="Consolas" w:cs="Consolas"/>
                <w:sz w:val="17"/>
                <w:shd w:val="clear" w:color="auto" w:fill="BDFBDF"/>
              </w:rPr>
              <w:t xml:space="preserve"> Assumption </w:t>
            </w:r>
            <w:r>
              <w:rPr>
                <w:rFonts w:ascii="Times New Roman" w:hAnsi="Times New Roman" w:cs="Times New Roman"/>
                <w:i/>
                <w:sz w:val="18"/>
              </w:rPr>
              <w:t xml:space="preserve"> A1: “I will assume constant load for this estimate.”</w:t>
            </w:r>
            <w:r>
              <w:br/>
            </w:r>
            <w:r>
              <w:rPr>
                <w:rFonts w:ascii="Times New Roman" w:hAnsi="Times New Roman" w:cs="Times New Roman"/>
                <w:i/>
                <w:sz w:val="18"/>
              </w:rPr>
              <w:t>The assumption remains conditional despite having a source.</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Use of an error or empty result</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C6: “This fetch attempt timed out.”</w:t>
            </w:r>
            <w:r>
              <w:br/>
            </w:r>
            <w:r>
              <w:rPr>
                <w:rFonts w:ascii="Times New Roman" w:hAnsi="Times New Roman" w:cs="Times New Roman"/>
                <w:i/>
                <w:sz w:val="18"/>
              </w:rPr>
              <w:t>→ grounded_in →</w:t>
            </w:r>
            <w:r>
              <w:br/>
            </w:r>
            <w:r>
              <w:rPr>
                <w:rFonts w:ascii="Times New Roman" w:hAnsi="Times New Roman" w:cs="Times New Roman"/>
                <w:i/>
                <w:sz w:val="18"/>
              </w:rPr>
            </w:r>
            <w:r>
              <w:rPr>
                <w:rFonts w:ascii="Consolas" w:hAnsi="Consolas" w:cs="Consolas"/>
                <w:sz w:val="17"/>
                <w:shd w:val="clear" w:color="auto" w:fill="A0C4FF"/>
              </w:rPr>
              <w:t xml:space="preserve"> Reflection </w:t>
            </w:r>
            <w:r>
              <w:rPr>
                <w:rFonts w:ascii="Times New Roman" w:hAnsi="Times New Roman" w:cs="Times New Roman"/>
                <w:i/>
                <w:sz w:val="18"/>
              </w:rPr>
              <w:t xml:space="preserve"> F1: “I cannot verify the page from this attempt.”</w:t>
            </w:r>
            <w:r>
              <w:br/>
            </w:r>
            <w:r>
              <w:rPr>
                <w:rFonts w:ascii="Times New Roman" w:hAnsi="Times New Roman" w:cs="Times New Roman"/>
                <w:i/>
                <w:sz w:val="18"/>
              </w:rPr>
              <w:t>The scope is this attempt, not the existence of the page.</w:t>
            </w:r>
          </w:p>
        </w:tc>
      </w:tr>
    </w:tbl>
    <w:p>
      <w:pPr>
        <w:keepNext w:val="0"/>
        <w:widowControl/>
        <w:spacing w:after="140" w:before="60" w:line="257" w:lineRule="auto"/>
        <w:jc w:val="center"/>
      </w:pPr>
      <w:r>
        <w:rPr>
          <w:rFonts w:ascii="Times New Roman" w:hAnsi="Times New Roman" w:cs="Times New Roman"/>
          <w:i w:val="0"/>
          <w:sz w:val="18"/>
        </w:rPr>
        <w:t>Table A.E6: Proposed annotation guide for grounded_in.</w:t>
      </w:r>
    </w:p>
    <w:p>
      <w:pPr>
        <w:widowControl/>
        <w:spacing w:after="100" w:line="252" w:lineRule="auto"/>
      </w:pPr>
      <w:r>
        <w:rPr>
          <w:rFonts w:ascii="Times New Roman" w:hAnsi="Times New Roman" w:cs="Times New Roman"/>
          <w:b/>
          <w:sz w:val="19"/>
        </w:rPr>
        <w:t xml:space="preserve">Endpoint rule. </w:t>
      </w:r>
      <w:r>
        <w:rPr>
          <w:rFonts w:ascii="Times New Roman" w:hAnsi="Times New Roman" w:cs="Times New Roman"/>
          <w:i w:val="0"/>
          <w:sz w:val="19"/>
        </w:rPr>
        <w:t>Context → eligible later text-role node. ToolCall, ToolResult, Context, and context-independent Fact are not targets in this version.</w:t>
      </w:r>
    </w:p>
    <w:p>
      <w:pPr>
        <w:widowControl/>
        <w:spacing w:after="100" w:line="252" w:lineRule="auto"/>
      </w:pPr>
      <w:r>
        <w:rPr>
          <w:rFonts w:ascii="Times New Roman" w:hAnsi="Times New Roman" w:cs="Times New Roman"/>
          <w:b/>
          <w:sz w:val="19"/>
        </w:rPr>
        <w:t xml:space="preserve">Evidence rule. </w:t>
      </w:r>
      <w:r>
        <w:rPr>
          <w:rFonts w:ascii="Times New Roman" w:hAnsi="Times New Roman" w:cs="Times New Roman"/>
          <w:i w:val="0"/>
          <w:sz w:val="19"/>
        </w:rPr>
        <w:t>Normally annotator_inferred, optionally human-reviewed, with matched spans and availability evidence. Numeric confidence is optional and must not be treated as calibrated by default.</w:t>
      </w:r>
    </w:p>
    <w:p>
      <w:pPr>
        <w:widowControl/>
        <w:spacing w:after="100" w:line="252" w:lineRule="auto"/>
      </w:pPr>
      <w:r>
        <w:rPr>
          <w:rFonts w:ascii="Times New Roman" w:hAnsi="Times New Roman" w:cs="Times New Roman"/>
          <w:b/>
          <w:sz w:val="19"/>
        </w:rPr>
        <w:t xml:space="preserve">Negative example. </w:t>
      </w:r>
      <w:r>
        <w:rPr>
          <w:rFonts w:ascii="Times New Roman" w:hAnsi="Times New Roman" w:cs="Times New Roman"/>
          <w:i w:val="0"/>
          <w:sz w:val="19"/>
        </w:rPr>
        <w:t>A result in the log but omitted from the model input is not a grounding source. A citation to a page with unrelated text supports cites only, not grounded_in.</w:t>
      </w:r>
    </w:p>
    <w:p>
      <w:pPr>
        <w:pStyle w:val="Heading1"/>
        <w:pageBreakBefore/>
        <w:widowControl/>
      </w:pPr>
      <w:r>
        <w:t>A.E3.5  cites</w:t>
      </w:r>
    </w:p>
    <w:p>
      <w:pPr>
        <w:keepNext w:val="0"/>
        <w:widowControl/>
        <w:spacing w:after="140" w:before="0" w:line="257" w:lineRule="auto"/>
      </w:pPr>
      <w:r>
        <w:rPr>
          <w:rFonts w:ascii="Times New Roman" w:hAnsi="Times New Roman" w:cs="Times New Roman"/>
          <w:i w:val="0"/>
          <w:sz w:val="20"/>
        </w:rPr>
        <w:t>cites records explicit source attribution. Annotate the reference that is present, even when the source does not support the claim; evaluate support separately.</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EEDFF8"/>
              </w:rPr>
              <w:t xml:space="preserve"> cites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cites connects earlier Context to a later text-role node that explicitly references that context or its source. Read the label from the target: the later statement cites the earlier context. References can be provider citation markers, numbered references, explicit source IDs, URLs, or other unambiguous attribution. Resolve the reference against the actual available source records and preserve its scope, such as a clause or sentence. Citation by itself does not entail grounded_in, infer, or support. An explicit citation can be attached to a parametric Fact without changing the Fact's role if the citation is attribution rather than evidence that the fact was derived from context. If the source is unavailable or ambiguous, retain unresolved citation metadata instead of inventing source content or forcing an edge.</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Resolved source marker</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C1: source_id=S2 with an available manual excerpt.</w:t>
            </w:r>
            <w:r>
              <w:br/>
            </w:r>
            <w:r>
              <w:rPr>
                <w:rFonts w:ascii="Times New Roman" w:hAnsi="Times New Roman" w:cs="Times New Roman"/>
                <w:i/>
                <w:sz w:val="18"/>
              </w:rPr>
              <w:t>→ cites →</w:t>
            </w:r>
            <w:r>
              <w:br/>
            </w:r>
            <w:r>
              <w:rPr>
                <w:rFonts w:ascii="Times New Roman" w:hAnsi="Times New Roman" w:cs="Times New Roman"/>
                <w:i/>
                <w:sz w:val="18"/>
              </w:rPr>
            </w:r>
            <w:r>
              <w:rPr>
                <w:rFonts w:ascii="Consolas" w:hAnsi="Consolas" w:cs="Consolas"/>
                <w:sz w:val="17"/>
                <w:shd w:val="clear" w:color="auto" w:fill="C3B1E1"/>
              </w:rPr>
              <w:t xml:space="preserve"> Conclusion </w:t>
            </w:r>
            <w:r>
              <w:rPr>
                <w:rFonts w:ascii="Times New Roman" w:hAnsi="Times New Roman" w:cs="Times New Roman"/>
                <w:i/>
                <w:sz w:val="18"/>
              </w:rPr>
              <w:t xml:space="preserve"> K1: “The default timeout is 30 seconds [S2].”</w:t>
            </w:r>
            <w:r>
              <w:br/>
            </w:r>
            <w:r>
              <w:rPr>
                <w:rFonts w:ascii="Times New Roman" w:hAnsi="Times New Roman" w:cs="Times New Roman"/>
                <w:i/>
                <w:sz w:val="18"/>
              </w:rPr>
              <w:t>Store the marker and its target text span.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Explicit source attribution</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C2: retrieved record with source_id=manual-7.</w:t>
            </w:r>
            <w:r>
              <w:br/>
            </w:r>
            <w:r>
              <w:rPr>
                <w:rFonts w:ascii="Times New Roman" w:hAnsi="Times New Roman" w:cs="Times New Roman"/>
                <w:i/>
                <w:sz w:val="18"/>
              </w:rPr>
              <w:t>→ cites →</w:t>
            </w:r>
            <w:r>
              <w:br/>
            </w:r>
            <w:r>
              <w:rPr>
                <w:rFonts w:ascii="Times New Roman" w:hAnsi="Times New Roman" w:cs="Times New Roman"/>
                <w:i/>
                <w:sz w:val="18"/>
              </w:rPr>
            </w:r>
            <w:r>
              <w:rPr>
                <w:rFonts w:ascii="Consolas" w:hAnsi="Consolas" w:cs="Consolas"/>
                <w:sz w:val="17"/>
                <w:shd w:val="clear" w:color="auto" w:fill="CAFFBF"/>
              </w:rPr>
              <w:t xml:space="preserve"> Restatement </w:t>
            </w:r>
            <w:r>
              <w:rPr>
                <w:rFonts w:ascii="Times New Roman" w:hAnsi="Times New Roman" w:cs="Times New Roman"/>
                <w:i/>
                <w:sz w:val="18"/>
              </w:rPr>
              <w:t xml:space="preserve"> R1: “According to manual-7, the default is 30 seconds.”</w:t>
            </w:r>
            <w:r>
              <w:br/>
            </w:r>
            <w:r>
              <w:rPr>
                <w:rFonts w:ascii="Times New Roman" w:hAnsi="Times New Roman" w:cs="Times New Roman"/>
                <w:i/>
                <w:sz w:val="18"/>
              </w:rPr>
              <w:t>The record ID is explicit and unambiguous.</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Several cited sources</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C3 (S3) and C4 (S4)</w:t>
            </w:r>
            <w:r>
              <w:br/>
            </w:r>
            <w:r>
              <w:rPr>
                <w:rFonts w:ascii="Times New Roman" w:hAnsi="Times New Roman" w:cs="Times New Roman"/>
                <w:i/>
                <w:sz w:val="18"/>
              </w:rPr>
              <w:t>Both → cites →</w:t>
            </w:r>
            <w:r>
              <w:br/>
            </w:r>
            <w:r>
              <w:rPr>
                <w:rFonts w:ascii="Times New Roman" w:hAnsi="Times New Roman" w:cs="Times New Roman"/>
                <w:i/>
                <w:sz w:val="18"/>
              </w:rPr>
            </w:r>
            <w:r>
              <w:rPr>
                <w:rFonts w:ascii="Consolas" w:hAnsi="Consolas" w:cs="Consolas"/>
                <w:sz w:val="17"/>
                <w:shd w:val="clear" w:color="auto" w:fill="FDFFB6"/>
              </w:rPr>
              <w:t xml:space="preserve"> Reasoning </w:t>
            </w:r>
            <w:r>
              <w:rPr>
                <w:rFonts w:ascii="Times New Roman" w:hAnsi="Times New Roman" w:cs="Times New Roman"/>
                <w:i/>
                <w:sz w:val="18"/>
              </w:rPr>
              <w:t xml:space="preserve"> R2: “Both manuals specify the same value [S3, S4].”</w:t>
            </w:r>
            <w:r>
              <w:br/>
            </w:r>
            <w:r>
              <w:rPr>
                <w:rFonts w:ascii="Times New Roman" w:hAnsi="Times New Roman" w:cs="Times New Roman"/>
                <w:i/>
                <w:sz w:val="18"/>
              </w:rPr>
              <w:t>Resolve and annotate each citation independently.</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Citation without support</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E0E0E0"/>
              </w:rPr>
              <w:t xml:space="preserve"> Context </w:t>
            </w:r>
            <w:r>
              <w:rPr>
                <w:rFonts w:ascii="Times New Roman" w:hAnsi="Times New Roman" w:cs="Times New Roman"/>
                <w:i/>
                <w:sz w:val="18"/>
              </w:rPr>
              <w:t xml:space="preserve"> C5: a source about installation paths.</w:t>
            </w:r>
            <w:r>
              <w:br/>
            </w:r>
            <w:r>
              <w:rPr>
                <w:rFonts w:ascii="Times New Roman" w:hAnsi="Times New Roman" w:cs="Times New Roman"/>
                <w:i/>
                <w:sz w:val="18"/>
              </w:rPr>
              <w:t>→ cites →</w:t>
            </w:r>
            <w:r>
              <w:br/>
            </w:r>
            <w:r>
              <w:rPr>
                <w:rFonts w:ascii="Times New Roman" w:hAnsi="Times New Roman" w:cs="Times New Roman"/>
                <w:i/>
                <w:sz w:val="18"/>
              </w:rPr>
            </w:r>
            <w:r>
              <w:rPr>
                <w:rFonts w:ascii="Consolas" w:hAnsi="Consolas" w:cs="Consolas"/>
                <w:sz w:val="17"/>
                <w:shd w:val="clear" w:color="auto" w:fill="C3B1E1"/>
              </w:rPr>
              <w:t xml:space="preserve"> Conclusion </w:t>
            </w:r>
            <w:r>
              <w:rPr>
                <w:rFonts w:ascii="Times New Roman" w:hAnsi="Times New Roman" w:cs="Times New Roman"/>
                <w:i/>
                <w:sz w:val="18"/>
              </w:rPr>
              <w:t xml:space="preserve"> K2: “The timeout is 30 seconds [S5].”</w:t>
            </w:r>
            <w:r>
              <w:br/>
            </w:r>
            <w:r>
              <w:rPr>
                <w:rFonts w:ascii="Times New Roman" w:hAnsi="Times New Roman" w:cs="Times New Roman"/>
                <w:i/>
                <w:sz w:val="18"/>
              </w:rPr>
              <w:t>The citation is explicit, but its content does not justify grounded_in or support.</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Delayed citation metadata</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t>The provider emits a reference mapping after the answer. If the referenced Context was available before the statement, resolve the cites edge using that logical order.</w:t>
            </w:r>
            <w:r>
              <w:br/>
            </w:r>
            <w:r>
              <w:rPr>
                <w:rFonts w:ascii="Times New Roman" w:hAnsi="Times New Roman" w:cs="Times New Roman"/>
                <w:i/>
                <w:sz w:val="18"/>
              </w:rPr>
              <w:t>Otherwise keep the reference unresolved; do not invent earlier access.</w:t>
            </w:r>
          </w:p>
        </w:tc>
      </w:tr>
    </w:tbl>
    <w:p>
      <w:pPr>
        <w:keepNext w:val="0"/>
        <w:widowControl/>
        <w:spacing w:after="140" w:before="60" w:line="257" w:lineRule="auto"/>
        <w:jc w:val="center"/>
      </w:pPr>
      <w:r>
        <w:rPr>
          <w:rFonts w:ascii="Times New Roman" w:hAnsi="Times New Roman" w:cs="Times New Roman"/>
          <w:i w:val="0"/>
          <w:sz w:val="18"/>
        </w:rPr>
        <w:t>Table A.E7: Proposed annotation guide for cites.</w:t>
      </w:r>
    </w:p>
    <w:p>
      <w:pPr>
        <w:widowControl/>
        <w:spacing w:after="100" w:line="252" w:lineRule="auto"/>
      </w:pPr>
      <w:r>
        <w:rPr>
          <w:rFonts w:ascii="Times New Roman" w:hAnsi="Times New Roman" w:cs="Times New Roman"/>
          <w:b/>
          <w:sz w:val="19"/>
        </w:rPr>
        <w:t xml:space="preserve">Endpoint rule. </w:t>
      </w:r>
      <w:r>
        <w:rPr>
          <w:rFonts w:ascii="Times New Roman" w:hAnsi="Times New Roman" w:cs="Times New Roman"/>
          <w:i w:val="0"/>
          <w:sz w:val="19"/>
        </w:rPr>
        <w:t>Context → later original text-role node with an explicit reference. The marker may be in reasoning text or the user-visible answer; preserve the channel.</w:t>
      </w:r>
    </w:p>
    <w:p>
      <w:pPr>
        <w:widowControl/>
        <w:spacing w:after="100" w:line="252" w:lineRule="auto"/>
      </w:pPr>
      <w:r>
        <w:rPr>
          <w:rFonts w:ascii="Times New Roman" w:hAnsi="Times New Roman" w:cs="Times New Roman"/>
          <w:b/>
          <w:sz w:val="19"/>
        </w:rPr>
        <w:t xml:space="preserve">Evidence rule. </w:t>
      </w:r>
      <w:r>
        <w:rPr>
          <w:rFonts w:ascii="Times New Roman" w:hAnsi="Times New Roman" w:cs="Times New Roman"/>
          <w:i w:val="0"/>
          <w:sz w:val="19"/>
        </w:rPr>
        <w:t>explicit_reference with a citation locator and source-resolution record. Human review can resolve an ambiguous reference but should record the original ambiguity.</w:t>
      </w:r>
    </w:p>
    <w:p>
      <w:pPr>
        <w:widowControl/>
        <w:spacing w:after="100" w:line="252" w:lineRule="auto"/>
      </w:pPr>
      <w:r>
        <w:rPr>
          <w:rFonts w:ascii="Times New Roman" w:hAnsi="Times New Roman" w:cs="Times New Roman"/>
          <w:b/>
          <w:sz w:val="19"/>
        </w:rPr>
        <w:t xml:space="preserve">Negative example. </w:t>
      </w:r>
      <w:r>
        <w:rPr>
          <w:rFonts w:ascii="Times New Roman" w:hAnsi="Times New Roman" w:cs="Times New Roman"/>
          <w:i w:val="0"/>
          <w:sz w:val="19"/>
        </w:rPr>
        <w:t>Two statements using the same terminology do not establish citation. A naked URL with no recoverable source record is reference metadata, not an invented Context containing unseen page text.</w:t>
      </w:r>
    </w:p>
    <w:p>
      <w:pPr>
        <w:pStyle w:val="Heading1"/>
        <w:pageBreakBefore/>
        <w:widowControl/>
      </w:pPr>
      <w:r>
        <w:t>A.E3.6  retry_of</w:t>
      </w:r>
    </w:p>
    <w:p>
      <w:pPr>
        <w:keepNext w:val="0"/>
        <w:widowControl/>
        <w:spacing w:after="140" w:before="0" w:line="257" w:lineRule="auto"/>
      </w:pPr>
      <w:r>
        <w:rPr>
          <w:rFonts w:ascii="Times New Roman" w:hAnsi="Times New Roman" w:cs="Times New Roman"/>
          <w:i w:val="0"/>
          <w:sz w:val="20"/>
        </w:rPr>
        <w:t>retry_of describes operational repetition of the same objective. It is separate from the model's change of plan, which the original schema can represent with backtrack.</w:t>
      </w:r>
    </w:p>
    <w:tbl>
      <w:tblPr>
        <w:tblW w:type="auto" w:w="0"/>
        <w:jc w:val="center"/>
        <w:tblLayout w:type="fixed"/>
        <w:tblLook w:firstColumn="1" w:firstRow="1" w:lastColumn="0" w:lastRow="0" w:noHBand="0" w:noVBand="1" w:val="04A0"/>
      </w:tblPr>
      <w:tblGrid>
        <w:gridCol w:w="1325"/>
        <w:gridCol w:w="2966"/>
        <w:gridCol w:w="1584"/>
        <w:gridCol w:w="3154"/>
      </w:tblGrid>
      <w:tr>
        <w:trPr>
          <w:cantSplit/>
          <w:tblHeader/>
        </w:trPr>
        <w:tc>
          <w:tcPr>
            <w:tcW w:type="dxa" w:w="132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Label</w:t>
            </w:r>
          </w:p>
        </w:tc>
        <w:tc>
          <w:tcPr>
            <w:tcW w:type="dxa" w:w="2966"/>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Description</w:t>
            </w:r>
          </w:p>
        </w:tc>
        <w:tc>
          <w:tcPr>
            <w:tcW w:type="dxa" w:w="158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Subtype</w:t>
            </w:r>
          </w:p>
        </w:tc>
        <w:tc>
          <w:tcPr>
            <w:tcW w:type="dxa" w:w="315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spacing w:line="252" w:lineRule="auto" w:after="0"/>
            </w:pPr>
            <w:r>
              <w:rPr>
                <w:rFonts w:ascii="Times New Roman" w:hAnsi="Times New Roman" w:cs="Times New Roman"/>
                <w:b/>
                <w:sz w:val="18"/>
              </w:rPr>
              <w:t>Example</w:t>
            </w:r>
          </w:p>
        </w:tc>
      </w:tr>
      <w:tr>
        <w:trPr>
          <w:cantSplit/>
        </w:trPr>
        <w:tc>
          <w:tcPr>
            <w:tcW w:type="dxa" w:w="1325"/>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Consolas" w:hAnsi="Consolas" w:cs="Consolas"/>
                <w:sz w:val="18"/>
                <w:shd w:val="clear" w:color="auto" w:fill="EEDFF8"/>
              </w:rPr>
              <w:t xml:space="preserve"> retry_of </w:t>
            </w:r>
          </w:p>
          <w:p>
            <w:pPr>
              <w:widowControl/>
              <w:spacing w:line="252" w:lineRule="auto" w:after="0"/>
            </w:pPr>
            <w:r>
              <w:rPr>
                <w:rFonts w:ascii="Times New Roman" w:hAnsi="Times New Roman" w:cs="Times New Roman"/>
                <w:b/>
                <w:sz w:val="15"/>
              </w:rPr>
              <w:t>NEW</w:t>
            </w:r>
          </w:p>
        </w:tc>
        <w:tc>
          <w:tcPr>
            <w:tcW w:type="dxa" w:w="2966"/>
            <w:vAlign w:val="top"/>
            <w:tcMar>
              <w:top w:w="55" w:type="dxa"/>
              <w:bottom w:w="55" w:type="dxa"/>
              <w:left w:w="55" w:type="dxa"/>
              <w:right w:w="65" w:type="dxa"/>
            </w:tcMar>
            <w:vMerge w:val="restart"/>
            <w:tcBorders>
              <w:top w:val="nil" w:sz="4" w:color="333333"/>
              <w:bottom w:val="single" w:sz="7" w:color="333333"/>
              <w:left w:val="nil" w:sz="4" w:color="333333"/>
              <w:right w:val="nil" w:sz="4" w:color="333333"/>
            </w:tcBorders>
          </w:tcPr>
          <w:p>
            <w:pPr>
              <w:widowControl/>
              <w:spacing w:line="252" w:lineRule="auto" w:after="0"/>
            </w:pPr>
            <w:r/>
            <w:r>
              <w:rPr>
                <w:rFonts w:ascii="Times New Roman" w:hAnsi="Times New Roman" w:cs="Times New Roman"/>
                <w:i w:val="0"/>
                <w:sz w:val="18"/>
              </w:rPr>
              <w:t>retry_of connects an earlier ToolCall attempt to a later ToolCall that retries that operation for the same objective. Read the label from the target: the later call is a retry of the earlier call. Prefer an explicit retry parent, attempt counter, or orchestration record. Arguments may remain identical or change slightly to repair an execution-level problem, such as valid request formatting or a permitted timeout adjustment. A new investigation, independent verification, changed hypothesis, or different search strategy is not automatically a retry. Annotate the immediately preceding retry attempt rather than every pair in a chain. Store original objective and retry lineage as metadata. A retry request need not succeed, and its status is independent of this edge.</w:t>
            </w: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Transient execution failure</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T1: fetch manual; attempt=1; observed timeout.</w:t>
            </w:r>
            <w:r>
              <w:br/>
            </w:r>
            <w:r>
              <w:rPr>
                <w:rFonts w:ascii="Times New Roman" w:hAnsi="Times New Roman" w:cs="Times New Roman"/>
                <w:i/>
                <w:sz w:val="18"/>
              </w:rPr>
              <w:t>→ retry_of →</w:t>
            </w:r>
            <w:r>
              <w:br/>
            </w: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T2: same fetch; attempt=2; retry_parent=T1.</w:t>
            </w:r>
            <w:r>
              <w:br/>
            </w:r>
            <w:r>
              <w:rPr>
                <w:rFonts w:ascii="Times New Roman" w:hAnsi="Times New Roman" w:cs="Times New Roman"/>
                <w:i/>
                <w:sz w:val="18"/>
              </w:rPr>
              <w:t>A result from T1 may remain separately attached through returns.</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Request repair</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T3: query rejected because a required format field is missing.</w:t>
            </w:r>
            <w:r>
              <w:br/>
            </w:r>
            <w:r>
              <w:rPr>
                <w:rFonts w:ascii="Times New Roman" w:hAnsi="Times New Roman" w:cs="Times New Roman"/>
                <w:i/>
                <w:sz w:val="18"/>
              </w:rPr>
              <w:t>→ retry_of →</w:t>
            </w:r>
            <w:r>
              <w:br/>
            </w: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T4: repaired request for the same query objective, with recorded retry lineage.</w:t>
            </w:r>
            <w:r>
              <w:br/>
            </w:r>
            <w:r>
              <w:rPr>
                <w:rFonts w:ascii="Times New Roman" w:hAnsi="Times New Roman" w:cs="Times New Roman"/>
                <w:i/>
                <w:sz w:val="18"/>
              </w:rPr>
              <w:t>A different information objective would require separate review.</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val="0"/>
                <w:sz w:val="18"/>
              </w:rPr>
              <w:t>Recorded backoff retry</w:t>
            </w:r>
          </w:p>
        </w:tc>
        <w:tc>
          <w:tcPr>
            <w:tcW w:type="dxa" w:w="3154"/>
            <w:vAlign w:val="top"/>
            <w:tcMar>
              <w:top w:w="55" w:type="dxa"/>
              <w:bottom w:w="55" w:type="dxa"/>
              <w:left w:w="55" w:type="dxa"/>
              <w:right w:w="65" w:type="dxa"/>
            </w:tcMar>
            <w:tcBorders>
              <w:top w:val="nil" w:sz="4" w:color="333333"/>
              <w:bottom w:val="single" w:sz="4" w:color="777777"/>
              <w:left w:val="nil" w:sz="4" w:color="333333"/>
              <w:right w:val="nil" w:sz="4" w:color="333333"/>
            </w:tcBorders>
          </w:tcPr>
          <w:p>
            <w:pPr>
              <w:widowControl/>
              <w:spacing w:line="252" w:lineRule="auto" w:after="0"/>
            </w:pP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T5: search request receives a retryable runtime status.</w:t>
            </w:r>
            <w:r>
              <w:br/>
            </w:r>
            <w:r>
              <w:rPr>
                <w:rFonts w:ascii="Times New Roman" w:hAnsi="Times New Roman" w:cs="Times New Roman"/>
                <w:i/>
                <w:sz w:val="18"/>
              </w:rPr>
              <w:t>→ retry_of →</w:t>
            </w:r>
            <w:r>
              <w:br/>
            </w:r>
            <w:r>
              <w:rPr>
                <w:rFonts w:ascii="Times New Roman" w:hAnsi="Times New Roman" w:cs="Times New Roman"/>
                <w:i/>
                <w:sz w:val="18"/>
              </w:rPr>
            </w:r>
            <w:r>
              <w:rPr>
                <w:rFonts w:ascii="Consolas" w:hAnsi="Consolas" w:cs="Consolas"/>
                <w:sz w:val="17"/>
                <w:shd w:val="clear" w:color="auto" w:fill="CDEFEF"/>
              </w:rPr>
              <w:t xml:space="preserve"> ToolCall </w:t>
            </w:r>
            <w:r>
              <w:rPr>
                <w:rFonts w:ascii="Times New Roman" w:hAnsi="Times New Roman" w:cs="Times New Roman"/>
                <w:i/>
                <w:sz w:val="18"/>
              </w:rPr>
              <w:t xml:space="preserve"> T6: orchestrator reissues the same objective after backoff.</w:t>
            </w:r>
            <w:r>
              <w:br/>
            </w:r>
            <w:r>
              <w:rPr>
                <w:rFonts w:ascii="Times New Roman" w:hAnsi="Times New Roman" w:cs="Times New Roman"/>
                <w:i/>
                <w:sz w:val="18"/>
              </w:rPr>
              <w:t>Use the recorded runtime association.</w:t>
            </w:r>
          </w:p>
        </w:tc>
      </w:tr>
      <w:tr>
        <w:trPr>
          <w:cantSplit/>
        </w:trPr>
        <w:tc>
          <w:tcPr>
            <w:tcW w:type="dxa" w:w="1325"/>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2966"/>
            <w:vAlign w:val="top"/>
            <w:tcMar>
              <w:top w:w="55" w:type="dxa"/>
              <w:bottom w:w="55" w:type="dxa"/>
              <w:left w:w="55" w:type="dxa"/>
              <w:right w:w="65" w:type="dxa"/>
            </w:tcMar>
            <w:vMerge/>
            <w:tcBorders>
              <w:top w:val="nil" w:sz="4" w:color="333333"/>
              <w:bottom w:val="nil" w:sz="4" w:color="333333"/>
              <w:left w:val="nil" w:sz="4" w:color="333333"/>
              <w:right w:val="nil" w:sz="4" w:color="333333"/>
            </w:tcBorders>
          </w:tcPr>
          <w:p/>
        </w:tc>
        <w:tc>
          <w:tcPr>
            <w:tcW w:type="dxa" w:w="158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val="0"/>
                <w:sz w:val="18"/>
              </w:rPr>
              <w:t>Retry chain</w:t>
            </w:r>
          </w:p>
        </w:tc>
        <w:tc>
          <w:tcPr>
            <w:tcW w:type="dxa" w:w="3154"/>
            <w:vAlign w:val="top"/>
            <w:tcMar>
              <w:top w:w="55" w:type="dxa"/>
              <w:bottom w:w="55" w:type="dxa"/>
              <w:left w:w="55" w:type="dxa"/>
              <w:right w:w="65" w:type="dxa"/>
            </w:tcMar>
            <w:tcBorders>
              <w:top w:val="nil" w:sz="4" w:color="333333"/>
              <w:bottom w:val="single" w:sz="7" w:color="333333"/>
              <w:left w:val="nil" w:sz="4" w:color="333333"/>
              <w:right w:val="nil" w:sz="4" w:color="333333"/>
            </w:tcBorders>
          </w:tcPr>
          <w:p>
            <w:pPr>
              <w:widowControl/>
              <w:spacing w:line="252" w:lineRule="auto" w:after="0"/>
            </w:pPr>
            <w:r>
              <w:rPr>
                <w:rFonts w:ascii="Times New Roman" w:hAnsi="Times New Roman" w:cs="Times New Roman"/>
                <w:i/>
                <w:sz w:val="18"/>
              </w:rPr>
              <w:t>T7 attempt=1 → retry_of → T8 attempt=2 → retry_of → T9 attempt=3.</w:t>
            </w:r>
            <w:r>
              <w:br/>
            </w:r>
            <w:r>
              <w:rPr>
                <w:rFonts w:ascii="Times New Roman" w:hAnsi="Times New Roman" w:cs="Times New Roman"/>
                <w:i/>
                <w:sz w:val="18"/>
              </w:rPr>
              <w:t>Do not add T7 → T9 merely because both belong to the same retry chain. The chain root can be stored as metadata.</w:t>
            </w:r>
          </w:p>
        </w:tc>
      </w:tr>
    </w:tbl>
    <w:p>
      <w:pPr>
        <w:keepNext w:val="0"/>
        <w:widowControl/>
        <w:spacing w:after="140" w:before="60" w:line="257" w:lineRule="auto"/>
        <w:jc w:val="center"/>
      </w:pPr>
      <w:r>
        <w:rPr>
          <w:rFonts w:ascii="Times New Roman" w:hAnsi="Times New Roman" w:cs="Times New Roman"/>
          <w:i w:val="0"/>
          <w:sz w:val="18"/>
        </w:rPr>
        <w:t>Table A.E8: Proposed annotation guide for retry_of.</w:t>
      </w:r>
    </w:p>
    <w:p>
      <w:pPr>
        <w:widowControl/>
        <w:spacing w:after="100" w:line="252" w:lineRule="auto"/>
      </w:pPr>
      <w:r>
        <w:rPr>
          <w:rFonts w:ascii="Times New Roman" w:hAnsi="Times New Roman" w:cs="Times New Roman"/>
          <w:b/>
          <w:sz w:val="19"/>
        </w:rPr>
        <w:t xml:space="preserve">Endpoint rule. </w:t>
      </w:r>
      <w:r>
        <w:rPr>
          <w:rFonts w:ascii="Times New Roman" w:hAnsi="Times New Roman" w:cs="Times New Roman"/>
          <w:i w:val="0"/>
          <w:sz w:val="19"/>
        </w:rPr>
        <w:t>Earlier ToolCall → later ToolCall. A self-loop is invalid. A result is not the source of retry_of, though its error may explain the retry in metadata.</w:t>
      </w:r>
    </w:p>
    <w:p>
      <w:pPr>
        <w:widowControl/>
        <w:spacing w:after="100" w:line="252" w:lineRule="auto"/>
      </w:pPr>
      <w:r>
        <w:rPr>
          <w:rFonts w:ascii="Times New Roman" w:hAnsi="Times New Roman" w:cs="Times New Roman"/>
          <w:b/>
          <w:sz w:val="19"/>
        </w:rPr>
        <w:t xml:space="preserve">Evidence rule. </w:t>
      </w:r>
      <w:r>
        <w:rPr>
          <w:rFonts w:ascii="Times New Roman" w:hAnsi="Times New Roman" w:cs="Times New Roman"/>
          <w:i w:val="0"/>
          <w:sz w:val="19"/>
        </w:rPr>
        <w:t>runtime_observed when retry lineage is recorded; otherwise an explicitly reviewed inference with its basis. Similar arguments alone are insufficient.</w:t>
      </w:r>
    </w:p>
    <w:p>
      <w:pPr>
        <w:widowControl/>
        <w:spacing w:after="100" w:line="252" w:lineRule="auto"/>
      </w:pPr>
      <w:r>
        <w:rPr>
          <w:rFonts w:ascii="Times New Roman" w:hAnsi="Times New Roman" w:cs="Times New Roman"/>
          <w:b/>
          <w:sz w:val="19"/>
        </w:rPr>
        <w:t xml:space="preserve">Negative example. </w:t>
      </w:r>
      <w:r>
        <w:rPr>
          <w:rFonts w:ascii="Times New Roman" w:hAnsi="Times New Roman" w:cs="Times New Roman"/>
          <w:i w:val="0"/>
          <w:sz w:val="19"/>
        </w:rPr>
        <w:t>“That evidence is weak; I will search a different archive” introduces an alternative Planning node. Use backtrack between plans where appropriate, then invokes to the new call; do not force retry_of.</w:t>
      </w:r>
    </w:p>
    <w:p>
      <w:pPr>
        <w:pStyle w:val="Heading1"/>
        <w:pageBreakBefore/>
        <w:widowControl/>
      </w:pPr>
      <w:r>
        <w:t>A.E4  Compatibility with the original semantic guide</w:t>
      </w:r>
    </w:p>
    <w:p>
      <w:pPr>
        <w:keepNext w:val="0"/>
        <w:widowControl/>
        <w:spacing w:after="120" w:before="0" w:line="257" w:lineRule="auto"/>
      </w:pPr>
      <w:r>
        <w:rPr>
          <w:rFonts w:ascii="Times New Roman" w:hAnsi="Times New Roman" w:cs="Times New Roman"/>
          <w:i w:val="0"/>
          <w:sz w:val="21"/>
        </w:rPr>
        <w:t>The new records surround the original discourse annotation rather than replacing it. Apply the original role definitions to text about a tool, and apply the operational labels to recorded requests and responses. The distinctions below are adapted from Appendix A of [1] and constrained by this proposed extension.</w:t>
      </w:r>
    </w:p>
    <w:tbl>
      <w:tblPr>
        <w:tblW w:type="auto" w:w="0"/>
        <w:jc w:val="center"/>
        <w:tblLayout w:type="fixed"/>
        <w:tblLook w:firstColumn="1" w:firstRow="1" w:lastColumn="0" w:lastRow="0" w:noHBand="0" w:noVBand="1" w:val="04A0"/>
      </w:tblPr>
      <w:tblGrid>
        <w:gridCol w:w="2131"/>
        <w:gridCol w:w="6893"/>
      </w:tblGrid>
      <w:tr>
        <w:trPr>
          <w:cantSplit/>
          <w:tblHeader/>
        </w:trPr>
        <w:tc>
          <w:tcPr>
            <w:tcW w:type="dxa" w:w="2131"/>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9"/>
              </w:rPr>
              <w:t>Distinction</w:t>
            </w:r>
          </w:p>
        </w:tc>
        <w:tc>
          <w:tcPr>
            <w:tcW w:type="dxa" w:w="6893"/>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9"/>
              </w:rPr>
              <w:t>Annotation rule</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Context / Fact</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A returned manual paragraph is Context. A model paraphrase is Restatement; a deduction from it is Reasoning. Fact remains knowledge independent of supplied context.</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execute / invokes</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Planning → execute → a text step that implements the plan. Planning → invokes → a recorded external request. A tool dispatch is not a Reasoning node.</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restate / grounded_in</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Context → restate → a faithful paraphrase records the discourse relation. A coexisting grounded_in edge records evidence provenance. Neither is implied by mere topic similarity.</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infer / provides</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Context → infer → a derived claim. ToolResult → provides → a span in Context. Extraction is not logical inference.</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verify / returns</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Claim → verify → a plan to check it. A tool returning data only creates returns; verification has not been established solely by a successful response.</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support / cites</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Earlier claim → support → an independently derived consistent claim. Context → cites → an explicit source reference. A source URL is not a support relation.</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attack / negative</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An explicit contradictory answer or correction can receive attack from the earlier claim. “This seems wrong” is a Reflection and may receive negative instead.</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backtrack / retry_of</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A new reasoning plan can backtrack from an earlier plan. A technical reattempt of the same operation can be retry_of an earlier ToolCall.</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proceed / timeline order</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proceed leads to a Planning or Assumption node under the original guide. Do not use it to connect every adjacent event or to hide a missing operational relationship.</w:t>
            </w:r>
          </w:p>
        </w:tc>
      </w:tr>
      <w:tr>
        <w:trPr>
          <w:cantSplit/>
        </w:trPr>
        <w:tc>
          <w:tcPr>
            <w:tcW w:type="dxa" w:w="2131"/>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Conclusion / finality</w:t>
            </w:r>
          </w:p>
        </w:tc>
        <w:tc>
          <w:tcPr>
            <w:tcW w:type="dxa" w:w="689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Candidate answers can be Conclusion during streaming. Finality is episode metadata. An interrupted trace does not require a fabricated Conclusion.</w:t>
            </w:r>
          </w:p>
        </w:tc>
      </w:tr>
    </w:tbl>
    <w:p>
      <w:pPr>
        <w:keepNext w:val="0"/>
        <w:widowControl/>
        <w:spacing w:after="120" w:before="160" w:line="257" w:lineRule="auto"/>
      </w:pPr>
      <w:r>
        <w:rPr>
          <w:rFonts w:ascii="Times New Roman" w:hAnsi="Times New Roman" w:cs="Times New Roman"/>
          <w:i w:val="0"/>
          <w:sz w:val="21"/>
        </w:rPr>
        <w:t>Multiple valid links can coexist between a source and destination. For example, a manual excerpt can be connected to a final answer by infer, grounded_in, and cites when each definition is satisfied. The three labels record different relationships. Do not generate the extra edges by implication or remove them as duplicate endpoint pairs.</w:t>
      </w:r>
    </w:p>
    <w:p>
      <w:pPr>
        <w:keepNext w:val="0"/>
        <w:widowControl/>
        <w:spacing w:after="120" w:before="0" w:line="257" w:lineRule="auto"/>
      </w:pPr>
      <w:r>
        <w:rPr>
          <w:rFonts w:ascii="Times New Roman" w:hAnsi="Times New Roman" w:cs="Times New Roman"/>
          <w:i w:val="0"/>
          <w:sz w:val="21"/>
        </w:rPr>
        <w:t>For support and attack, preserve the original direction from an earlier proposition to a later independent agreement or contradiction. Compare conclusions only when they address the same question. A cited document may be unreliable; the citation remains an explicit attribution while its content and the later reasoning require separate evaluation.</w:t>
      </w:r>
    </w:p>
    <w:p>
      <w:pPr>
        <w:keepNext w:val="0"/>
        <w:widowControl/>
        <w:spacing w:after="0" w:before="0" w:line="257" w:lineRule="auto"/>
      </w:pPr>
      <w:r>
        <w:rPr>
          <w:rFonts w:ascii="Times New Roman" w:hAnsi="Times New Roman" w:cs="Times New Roman"/>
          <w:i w:val="0"/>
          <w:sz w:val="21"/>
        </w:rPr>
        <w:t>Evidence-path displays must select relationship types deliberately. A path that reaches a final answer through attack does not make the earlier wrong claim a supporting premise. A returns/provides chain establishes execution and extraction provenance, not a logical derivation.</w:t>
      </w:r>
    </w:p>
    <w:p>
      <w:pPr>
        <w:pStyle w:val="Heading1"/>
        <w:pageBreakBefore/>
        <w:widowControl/>
      </w:pPr>
      <w:r>
        <w:t>A.E5.1  Worked example: search, verification, and correction</w:t>
      </w:r>
    </w:p>
    <w:p>
      <w:pPr>
        <w:keepNext w:val="0"/>
        <w:widowControl/>
        <w:spacing w:after="120" w:before="0" w:line="257" w:lineRule="auto"/>
      </w:pPr>
      <w:r>
        <w:rPr>
          <w:rFonts w:ascii="Times New Roman" w:hAnsi="Times New Roman" w:cs="Times New Roman"/>
          <w:i w:val="0"/>
          <w:sz w:val="21"/>
        </w:rPr>
        <w:t>DemoCache and the values in this example are invented. The search snippet states a timeout of 20 seconds; the opened manual states 30 seconds. The input manifest records that each Context span was available before the associated later statement. These are instructional examples, not a factual claim about a real product.</w:t>
      </w:r>
    </w:p>
    <w:tbl>
      <w:tblPr>
        <w:tblW w:type="auto" w:w="0"/>
        <w:jc w:val="center"/>
        <w:tblLayout w:type="fixed"/>
        <w:tblLook w:firstColumn="1" w:firstRow="1" w:lastColumn="0" w:lastRow="0" w:noHBand="0" w:noVBand="1" w:val="04A0"/>
      </w:tblPr>
      <w:tblGrid>
        <w:gridCol w:w="619"/>
        <w:gridCol w:w="1440"/>
        <w:gridCol w:w="6965"/>
      </w:tblGrid>
      <w:tr>
        <w:trPr>
          <w:cantSplit/>
          <w:tblHeader/>
        </w:trPr>
        <w:tc>
          <w:tcPr>
            <w:tcW w:type="dxa" w:w="619"/>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9"/>
              </w:rPr>
              <w:t>ID</w:t>
            </w:r>
          </w:p>
        </w:tc>
        <w:tc>
          <w:tcPr>
            <w:tcW w:type="dxa" w:w="1440"/>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9"/>
              </w:rPr>
              <w:t>Label</w:t>
            </w:r>
          </w:p>
        </w:tc>
        <w:tc>
          <w:tcPr>
            <w:tcW w:type="dxa" w:w="6965"/>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9"/>
              </w:rPr>
              <w:t>Event or exact text</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P1</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FFADAD"/>
              </w:rPr>
              <w:t xml:space="preserve"> Planning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“I should search for the DemoCache default timeout.”</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T1</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CDEFEF"/>
              </w:rPr>
              <w:t xml:space="preserve"> ToolCall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web_search; call_id=search-1; query=DemoCache default timeout.</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U1</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D9E7FC"/>
              </w:rPr>
              <w:t xml:space="preserve"> ToolResult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Observed search list containing S1.</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C1</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E0E0E0"/>
              </w:rPr>
              <w:t xml:space="preserve"> Context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S1 snippet: “Default timeout: 20 seconds.” Supplied to the model.</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K1</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C3B1E1"/>
              </w:rPr>
              <w:t xml:space="preserve"> Conclusion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“The default timeout is 20 seconds.” Candidate answer.</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F1</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A0C4FF"/>
              </w:rPr>
              <w:t xml:space="preserve"> Reflection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“That answer may depend on an outdated snippet.”</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P2</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FFADAD"/>
              </w:rPr>
              <w:t xml:space="preserve"> Planning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“I should check the manual itself.”</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T2</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CDEFEF"/>
              </w:rPr>
              <w:t xml:space="preserve"> ToolCall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document_fetch; call_id=fetch-1; selected manual source.</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U2</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D9E7FC"/>
              </w:rPr>
              <w:t xml:space="preserve"> ToolResult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Observed document-fetch payload and status.</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C2</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E0E0E0"/>
              </w:rPr>
              <w:t xml:space="preserve"> Context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S2 manual: “The default timeout is 30 seconds.” Supplied to the model.</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R1</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CAFFBF"/>
              </w:rPr>
              <w:t xml:space="preserve"> Restatement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“The manual specifies a default timeout of 30 seconds.”</w:t>
            </w:r>
          </w:p>
        </w:tc>
      </w:tr>
      <w:tr>
        <w:trPr>
          <w:cantSplit/>
        </w:trPr>
        <w:tc>
          <w:tcPr>
            <w:tcW w:type="dxa" w:w="61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K2</w:t>
            </w:r>
          </w:p>
        </w:tc>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8"/>
                <w:shd w:val="clear" w:color="auto" w:fill="C3B1E1"/>
              </w:rPr>
              <w:t xml:space="preserve"> Conclusion </w:t>
            </w:r>
          </w:p>
        </w:tc>
        <w:tc>
          <w:tcPr>
            <w:tcW w:type="dxa" w:w="6965"/>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9"/>
              </w:rPr>
              <w:t>“The default timeout is 30 seconds [S2].” Final answer for this episode.</w:t>
            </w:r>
          </w:p>
        </w:tc>
      </w:tr>
    </w:tbl>
    <w:p>
      <w:pPr>
        <w:keepNext w:val="0"/>
        <w:widowControl/>
        <w:spacing w:after="140" w:before="60" w:line="257" w:lineRule="auto"/>
        <w:jc w:val="center"/>
      </w:pPr>
      <w:r>
        <w:rPr>
          <w:rFonts w:ascii="Times New Roman" w:hAnsi="Times New Roman" w:cs="Times New Roman"/>
          <w:i w:val="0"/>
          <w:sz w:val="18"/>
        </w:rPr>
        <w:t>Table A.E9: Synthetic node annotations for the search-and-correction episode.</w:t>
      </w:r>
    </w:p>
    <w:p>
      <w:pPr>
        <w:keepNext w:val="0"/>
        <w:widowControl/>
        <w:spacing w:after="120" w:before="120" w:line="257" w:lineRule="auto"/>
      </w:pPr>
      <w:r>
        <w:rPr>
          <w:rFonts w:ascii="Times New Roman" w:hAnsi="Times New Roman" w:cs="Times New Roman"/>
          <w:i w:val="0"/>
          <w:sz w:val="21"/>
        </w:rPr>
        <w:t>K1 is an asserted candidate answer and is therefore Conclusion. If the model had only said “The snippet reports 20 seconds,” that sentence would be Restatement and would remain true as a report of the snippet. The later manual would not contradict that historical report; the attack relation below applies to the actual candidate answer.</w:t>
      </w:r>
    </w:p>
    <w:p>
      <w:pPr>
        <w:keepNext w:val="0"/>
        <w:widowControl/>
        <w:spacing w:after="120" w:before="0" w:line="257" w:lineRule="auto"/>
      </w:pPr>
      <w:r>
        <w:rPr>
          <w:rFonts w:ascii="Times New Roman" w:hAnsi="Times New Roman" w:cs="Times New Roman"/>
          <w:i w:val="0"/>
          <w:sz w:val="21"/>
        </w:rPr>
        <w:t>R1 restates C2. Under the original premise-selection guidance, the final answer can cite the original C2 rather than routing its premise through a duplicate restatement. S2 identifies the full-document evidence, not merely the earlier search hit. [1, Appendix A, infer and restate]</w:t>
      </w:r>
    </w:p>
    <w:p>
      <w:pPr>
        <w:pStyle w:val="Heading1"/>
        <w:pageBreakBefore/>
        <w:widowControl/>
      </w:pPr>
      <w:r>
        <w:t>A.E5.2  Worked example: relationship annotations</w:t>
      </w:r>
    </w:p>
    <w:p>
      <w:pPr>
        <w:keepNext w:val="0"/>
        <w:widowControl/>
        <w:spacing w:after="120" w:before="0" w:line="257" w:lineRule="auto"/>
      </w:pPr>
      <w:r>
        <w:rPr>
          <w:rFonts w:ascii="Times New Roman" w:hAnsi="Times New Roman" w:cs="Times New Roman"/>
          <w:i w:val="0"/>
          <w:sz w:val="21"/>
        </w:rPr>
        <w:t>The following set illustrates the relevant relationship types. It is not an experimentally adjudicated exhaustive graph. Additional links require their own source evidence and must satisfy the original or extended definition.</w:t>
      </w:r>
    </w:p>
    <w:tbl>
      <w:tblPr>
        <w:tblW w:type="auto" w:w="0"/>
        <w:jc w:val="center"/>
        <w:tblLayout w:type="fixed"/>
        <w:tblLook w:firstColumn="1" w:firstRow="1" w:lastColumn="0" w:lastRow="0" w:noHBand="0" w:noVBand="1" w:val="04A0"/>
      </w:tblPr>
      <w:tblGrid>
        <w:gridCol w:w="1440"/>
        <w:gridCol w:w="1670"/>
        <w:gridCol w:w="5914"/>
      </w:tblGrid>
      <w:tr>
        <w:trPr>
          <w:cantSplit/>
          <w:tblHeader/>
        </w:trPr>
        <w:tc>
          <w:tcPr>
            <w:tcW w:type="dxa" w:w="1440"/>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Endpoints</w:t>
            </w:r>
          </w:p>
        </w:tc>
        <w:tc>
          <w:tcPr>
            <w:tcW w:type="dxa" w:w="1670"/>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Label</w:t>
            </w:r>
          </w:p>
        </w:tc>
        <w:tc>
          <w:tcPr>
            <w:tcW w:type="dxa" w:w="5914"/>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Basis</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P1 → T1</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invokes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Inferred plan/request alignment unless runtime explicitly maps P1.</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T1 → U1</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returns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Recorded call_id=search-1 association.</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U1 → C1</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provides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Exact search-snippet locator and representation hash.</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C1 → K1</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0E0E0"/>
              </w:rPr>
              <w:t xml:space="preserve"> infer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Candidate answer derived from the snippet; correctness is separate.</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K1 → F1</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8DBFF"/>
              </w:rPr>
              <w:t xml:space="preserve"> uncertain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model expresses uncertainty about its candidate answer.</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K1 → P2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C4C4"/>
              </w:rPr>
              <w:t xml:space="preserve"> verify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later plan checks the earlier candidate claim.</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F1 → P2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CDCD"/>
              </w:rPr>
              <w:t xml:space="preserve"> proceed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uncertainty motivates the next plan.</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P2 → T2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invokes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manual fetch implements the expressed verification plan.</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T2 → U2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returns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Recorded call_id=fetch-1 association.</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U2 → C2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provides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Traceable manual excerpt.</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C2 → R1</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0D0D0"/>
              </w:rPr>
              <w:t xml:space="preserve"> restate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 paraphrase of the available manual text.</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C2 → K2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0E0E0"/>
              </w:rPr>
              <w:t xml:space="preserve"> infer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original evidence, rather than duplicate R1, supplies the premise.</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C2 → K2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grounded_in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Evidence attribution backed by the matched manual span.</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C2 → K2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cites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Explicit S2 source marker.</w:t>
            </w:r>
          </w:p>
        </w:tc>
      </w:tr>
      <w:tr>
        <w:trPr>
          <w:cantSplit/>
        </w:trPr>
        <w:tc>
          <w:tcPr>
            <w:tcW w:type="dxa" w:w="144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K1 → K2</w:t>
            </w:r>
          </w:p>
        </w:tc>
        <w:tc>
          <w:tcPr>
            <w:tcW w:type="dxa" w:w="167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CD8E"/>
              </w:rPr>
              <w:t xml:space="preserve"> attack </w:t>
            </w:r>
          </w:p>
        </w:tc>
        <w:tc>
          <w:tcPr>
            <w:tcW w:type="dxa" w:w="5914"/>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The later answer contradicts the earlier candidate answer.</w:t>
            </w:r>
          </w:p>
        </w:tc>
      </w:tr>
    </w:tbl>
    <w:p>
      <w:pPr>
        <w:keepNext w:val="0"/>
        <w:widowControl/>
        <w:spacing w:after="140" w:before="60" w:line="257" w:lineRule="auto"/>
        <w:jc w:val="center"/>
      </w:pPr>
      <w:r>
        <w:rPr>
          <w:rFonts w:ascii="Times New Roman" w:hAnsi="Times New Roman" w:cs="Times New Roman"/>
          <w:i w:val="0"/>
          <w:sz w:val="18"/>
        </w:rPr>
        <w:t>Table A.E10: Illustrative edges for Table A.E9. The same endpoints can carry more than one label.</w:t>
      </w:r>
    </w:p>
    <w:p>
      <w:pPr>
        <w:keepNext w:val="0"/>
        <w:widowControl/>
        <w:spacing w:after="120" w:before="140" w:line="257" w:lineRule="auto"/>
      </w:pPr>
      <w:r>
        <w:rPr>
          <w:rFonts w:ascii="Times New Roman" w:hAnsi="Times New Roman" w:cs="Times New Roman"/>
          <w:i w:val="0"/>
          <w:sz w:val="20"/>
        </w:rPr>
        <w:t>If the manual fetch times out and the orchestrator records a second attempt T3 for the same objective, add T2 → retry_of → T3. Preserve the first attempt's observed error result. If the model instead changes its search strategy, annotate the new Planning node and use backtrack where the original guide applies; similar queries alone do not establish a retry.</w:t>
      </w:r>
    </w:p>
    <w:p>
      <w:pPr>
        <w:keepNext w:val="0"/>
        <w:widowControl/>
        <w:spacing w:after="120" w:before="0" w:line="257" w:lineRule="auto"/>
      </w:pPr>
      <w:r>
        <w:rPr>
          <w:rFonts w:ascii="Times New Roman" w:hAnsi="Times New Roman" w:cs="Times New Roman"/>
          <w:i w:val="0"/>
          <w:sz w:val="20"/>
        </w:rPr>
        <w:t>A recorded result may support extraction before semantic interpretation is available. The streaming interface can therefore show returns and provides while infer, grounded_in, or invokes remain unresolved. No fabricated plan or evidence-use edge is needed to make the partial graph connected.</w:t>
      </w:r>
    </w:p>
    <w:p>
      <w:pPr>
        <w:pStyle w:val="Heading1"/>
        <w:pageBreakBefore/>
        <w:widowControl/>
      </w:pPr>
      <w:r>
        <w:t>A.E6  Streaming annotation and adjudication</w:t>
      </w:r>
    </w:p>
    <w:p>
      <w:pPr>
        <w:keepNext w:val="0"/>
        <w:widowControl/>
        <w:spacing w:after="120" w:before="0" w:line="257" w:lineRule="auto"/>
      </w:pPr>
      <w:r>
        <w:rPr>
          <w:rFonts w:ascii="Times New Roman" w:hAnsi="Times New Roman" w:cs="Times New Roman"/>
          <w:i w:val="0"/>
          <w:sz w:val="21"/>
        </w:rPr>
        <w:t>Annotate a stable text unit only after enough content exists to establish its boundaries and function. Keep an unfinished tail and do not use API chunk boundaries as sentence boundaries. Earlier annotations may be revised after more text or metadata arrives. Revision history belongs in metadata; it does not add relationship types. [1, Appendix C.1; Appendix I; 2]</w:t>
      </w:r>
    </w:p>
    <w:tbl>
      <w:tblPr>
        <w:tblW w:type="auto" w:w="0"/>
        <w:jc w:val="center"/>
        <w:tblLayout w:type="fixed"/>
        <w:tblLook w:firstColumn="1" w:firstRow="1" w:lastColumn="0" w:lastRow="0" w:noHBand="0" w:noVBand="1" w:val="04A0"/>
      </w:tblPr>
      <w:tblGrid>
        <w:gridCol w:w="2002"/>
        <w:gridCol w:w="7023"/>
      </w:tblGrid>
      <w:tr>
        <w:trPr>
          <w:cantSplit/>
          <w:tblHeader/>
        </w:trPr>
        <w:tc>
          <w:tcPr>
            <w:tcW w:type="dxa" w:w="2002"/>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Case</w:t>
            </w:r>
          </w:p>
        </w:tc>
        <w:tc>
          <w:tcPr>
            <w:tcW w:type="dxa" w:w="7023"/>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Decision</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No exposed reasoning</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Annotate recorded ToolCall, ToolResult, and available Context. Do not generate a synthetic plan or reasoning trace. Mark the disclosure mode.</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Plan but no call</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Retain Planning. There is no ToolCall or invokes edge without a recorded request.</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Arguments still streaming</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Keep one provisional ToolCall and append fragments. Do not infer dispatch from an incomplete request.</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Tool result absent</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Use unknown/pending/canceled status as supported by events. Do not fabricate a returned payload.</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Evidence not delivered</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provides may record extraction, but infer and grounded_in must not imply access by a model invocation that never received it.</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Source reference unresolved</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Keep the literal citation and its location as unresolved metadata. Do not fill missing content from memory.</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Repeated query</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Check objective and retry lineage. Repetition alone does not distinguish retry, verification, or a new search strategy.</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Partial page or snippet</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Annotate only observed content and its representation. Do not infer full-document claims from a snippet.</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Late metadata</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Use recorded logical availability when supported. Otherwise keep the candidate unresolved rather than drawing a backward edge.</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Changed segmentation</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Preserve the original source and offsets. Retire old node/edge versions atomically and recompute affected relations.</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Tool action succeeded?</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 request or dispatch is not success. Show the executor acknowledgment and scope; outcomes beyond what it confirms remain unverified.</w:t>
            </w:r>
          </w:p>
        </w:tc>
      </w:tr>
      <w:tr>
        <w:trPr>
          <w:cantSplit/>
        </w:trPr>
        <w:tc>
          <w:tcPr>
            <w:tcW w:type="dxa" w:w="200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Disconnected evidence</w:t>
            </w:r>
          </w:p>
        </w:tc>
        <w:tc>
          <w:tcPr>
            <w:tcW w:type="dxa" w:w="7023"/>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Absence of an annotated path means no path was found in this graph version. It does not prove absence of internal use.</w:t>
            </w:r>
          </w:p>
        </w:tc>
      </w:tr>
    </w:tbl>
    <w:p>
      <w:pPr>
        <w:keepNext w:val="0"/>
        <w:widowControl/>
        <w:spacing w:after="140" w:before="60" w:line="257" w:lineRule="auto"/>
        <w:jc w:val="center"/>
      </w:pPr>
      <w:r>
        <w:rPr>
          <w:rFonts w:ascii="Times New Roman" w:hAnsi="Times New Roman" w:cs="Times New Roman"/>
          <w:i w:val="0"/>
          <w:sz w:val="18"/>
        </w:rPr>
        <w:t>Table A.E11: Boundary cases and adjudication rules for the proposed extension.</w:t>
      </w:r>
    </w:p>
    <w:p>
      <w:pPr>
        <w:keepNext w:val="0"/>
        <w:widowControl/>
        <w:spacing w:after="120" w:before="0" w:line="257" w:lineRule="auto"/>
      </w:pPr>
      <w:r>
        <w:rPr>
          <w:rFonts w:ascii="Times New Roman" w:hAnsi="Times New Roman" w:cs="Times New Roman"/>
          <w:i w:val="0"/>
          <w:sz w:val="20"/>
        </w:rPr>
        <w:t>A reviewer should resolve disagreement by examining the exact source, event identifiers, and context availability, then applying the most specific label whose definition is satisfied. If the evidence remains insufficient, keep an unresolved candidate or no edge. Do not force every node to have a predecessor.</w:t>
      </w:r>
    </w:p>
    <w:p>
      <w:pPr>
        <w:keepNext w:val="0"/>
        <w:widowControl/>
        <w:spacing w:after="120" w:before="0" w:line="257" w:lineRule="auto"/>
      </w:pPr>
      <w:r>
        <w:rPr>
          <w:rFonts w:ascii="Times New Roman" w:hAnsi="Times New Roman" w:cs="Times New Roman"/>
          <w:i w:val="0"/>
          <w:sz w:val="20"/>
        </w:rPr>
        <w:t>For an interrupted interaction, retain observed content and status. The paper's post-hoc procedure ensures conclusions for its completed dataset traces; this supplement does not impose that requirement on incomplete episodes. A final reconciliation pass may update roles and edges but must not rewrite the source text.</w:t>
      </w:r>
    </w:p>
    <w:p>
      <w:pPr>
        <w:pStyle w:val="Heading1"/>
        <w:pageBreakBefore/>
        <w:widowControl/>
      </w:pPr>
      <w:r>
        <w:t>A.E7  Label colors and rendering rules</w:t>
      </w:r>
    </w:p>
    <w:p>
      <w:pPr>
        <w:keepNext w:val="0"/>
        <w:widowControl/>
        <w:spacing w:after="120" w:before="0" w:line="257" w:lineRule="auto"/>
      </w:pPr>
      <w:r>
        <w:rPr>
          <w:rFonts w:ascii="Times New Roman" w:hAnsi="Times New Roman" w:cs="Times New Roman"/>
          <w:i w:val="0"/>
          <w:sz w:val="20"/>
        </w:rPr>
        <w:t>The tables below preserve the original Appendix A label-fill colors from the supplied PDF. New labels use the operational and provenance palette of the proposed design. The approved legend uses a harmonized UI treatment; it remains the visual reference for boxes and line patterns. Exact fill values below make appendix-style labels reproducible. [1, Appendix A; 2]</w:t>
      </w:r>
    </w:p>
    <w:tbl>
      <w:tblPr>
        <w:tblW w:type="auto" w:w="0"/>
        <w:jc w:val="center"/>
        <w:tblLayout w:type="fixed"/>
        <w:tblLook w:firstColumn="1" w:firstRow="1" w:lastColumn="0" w:lastRow="0" w:noHBand="0" w:noVBand="1" w:val="04A0"/>
      </w:tblPr>
      <w:tblGrid>
        <w:gridCol w:w="2448"/>
        <w:gridCol w:w="1498"/>
        <w:gridCol w:w="3269"/>
        <w:gridCol w:w="1810"/>
      </w:tblGrid>
      <w:tr>
        <w:trPr>
          <w:cantSplit/>
          <w:tblHeader/>
        </w:trPr>
        <w:tc>
          <w:tcPr>
            <w:tcW w:type="dxa" w:w="2448"/>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Node label</w:t>
            </w:r>
          </w:p>
        </w:tc>
        <w:tc>
          <w:tcPr>
            <w:tcW w:type="dxa" w:w="1498"/>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Fill</w:t>
            </w:r>
          </w:p>
        </w:tc>
        <w:tc>
          <w:tcPr>
            <w:tcW w:type="dxa" w:w="3269"/>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Node label</w:t>
            </w:r>
          </w:p>
        </w:tc>
        <w:tc>
          <w:tcPr>
            <w:tcW w:type="dxa" w:w="1810"/>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Fill</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0E0E0"/>
              </w:rPr>
              <w:t xml:space="preserve"> Context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#E0E0E0</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ADAD"/>
              </w:rPr>
              <w:t xml:space="preserve"> Planning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#FFADAD</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D6A5"/>
              </w:rPr>
              <w:t xml:space="preserve"> Fact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#FFD6A5</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DFFB6"/>
              </w:rPr>
              <w:t xml:space="preserve"> Reasoning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#FDFFB6</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AFFBF"/>
              </w:rPr>
              <w:t xml:space="preserve"> Restatement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#CAFFBF</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BDFBDF"/>
              </w:rPr>
              <w:t xml:space="preserve"> Assumption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#BDFBDF</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9BF6FF"/>
              </w:rPr>
              <w:t xml:space="preserve"> Example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#9BF6FF</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A0C4FF"/>
              </w:rPr>
              <w:t xml:space="preserve"> Reflection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#A0C4FF</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3B1E1"/>
              </w:rPr>
              <w:t xml:space="preserve"> Conclusion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#C3B1E1</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DEFEF"/>
              </w:rPr>
              <w:t xml:space="preserve"> ToolCall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#CDEFEF</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9E7FC"/>
              </w:rPr>
              <w:t xml:space="preserve"> ToolResult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#D9E7FC</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r>
          </w:p>
        </w:tc>
      </w:tr>
    </w:tbl>
    <w:p>
      <w:pPr>
        <w:keepNext w:val="0"/>
        <w:widowControl/>
        <w:spacing w:after="140" w:before="60" w:line="257" w:lineRule="auto"/>
        <w:jc w:val="center"/>
      </w:pPr>
      <w:r>
        <w:rPr>
          <w:rFonts w:ascii="Times New Roman" w:hAnsi="Times New Roman" w:cs="Times New Roman"/>
          <w:i w:val="0"/>
          <w:sz w:val="18"/>
        </w:rPr>
        <w:t>Table A.E12: Original node-label fills and the two proposed operational fills.</w:t>
      </w:r>
    </w:p>
    <w:tbl>
      <w:tblPr>
        <w:tblW w:type="auto" w:w="0"/>
        <w:jc w:val="center"/>
        <w:tblLayout w:type="fixed"/>
        <w:tblLook w:firstColumn="1" w:firstRow="1" w:lastColumn="0" w:lastRow="0" w:noHBand="0" w:noVBand="1" w:val="04A0"/>
      </w:tblPr>
      <w:tblGrid>
        <w:gridCol w:w="2448"/>
        <w:gridCol w:w="1498"/>
        <w:gridCol w:w="3269"/>
        <w:gridCol w:w="1810"/>
      </w:tblGrid>
      <w:tr>
        <w:trPr>
          <w:cantSplit/>
          <w:tblHeader/>
        </w:trPr>
        <w:tc>
          <w:tcPr>
            <w:tcW w:type="dxa" w:w="2448"/>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Edge label</w:t>
            </w:r>
          </w:p>
        </w:tc>
        <w:tc>
          <w:tcPr>
            <w:tcW w:type="dxa" w:w="1498"/>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Fill</w:t>
            </w:r>
          </w:p>
        </w:tc>
        <w:tc>
          <w:tcPr>
            <w:tcW w:type="dxa" w:w="3269"/>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Edge label</w:t>
            </w:r>
          </w:p>
        </w:tc>
        <w:tc>
          <w:tcPr>
            <w:tcW w:type="dxa" w:w="1810"/>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Fill</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0E0E0"/>
              </w:rPr>
              <w:t xml:space="preserve"> infer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#E0E0E0</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D8D8"/>
              </w:rPr>
              <w:t xml:space="preserve"> execute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#D8D8D8</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0D0D0"/>
              </w:rPr>
              <w:t xml:space="preserve"> restate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#D0D0D0</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8C8C8"/>
              </w:rPr>
              <w:t xml:space="preserve"> elaborate-fact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#C8C8C8</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0C0C0"/>
              </w:rPr>
              <w:t xml:space="preserve"> exemplify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#C0C0C0</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CDCD"/>
              </w:rPr>
              <w:t xml:space="preserve"> proceed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#FFCDCD</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C4C4"/>
              </w:rPr>
              <w:t xml:space="preserve"> verify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#FFC4C4</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B9B9"/>
              </w:rPr>
              <w:t xml:space="preserve"> decompose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#FFB9B9</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ADAD"/>
              </w:rPr>
              <w:t xml:space="preserve"> backtrack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#FFADAD</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0E4FF"/>
              </w:rPr>
              <w:t xml:space="preserve"> positive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#D0E4FF</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8DBFF"/>
              </w:rPr>
              <w:t xml:space="preserve"> uncertain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#C8DBFF</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C0D4FF"/>
              </w:rPr>
              <w:t xml:space="preserve"> negative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#C0D4FF</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E5C5"/>
              </w:rPr>
              <w:t xml:space="preserve"> support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#FFE5C5</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FFCD8E"/>
              </w:rPr>
              <w:t xml:space="preserve"> attack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#FFCD8E</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invokes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#D8F4F4</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returns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#D8F4F4</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D8F4F4"/>
              </w:rPr>
              <w:t xml:space="preserve"> provides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#D8F4F4</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grounded_in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#EEDFF8</w:t>
            </w:r>
          </w:p>
        </w:tc>
      </w:tr>
      <w:tr>
        <w:trPr>
          <w:cantSplit/>
        </w:trPr>
        <w:tc>
          <w:tcPr>
            <w:tcW w:type="dxa" w:w="244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cites </w:t>
            </w:r>
          </w:p>
        </w:tc>
        <w:tc>
          <w:tcPr>
            <w:tcW w:type="dxa" w:w="1498"/>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#EEDFF8</w:t>
            </w:r>
          </w:p>
        </w:tc>
        <w:tc>
          <w:tcPr>
            <w:tcW w:type="dxa" w:w="3269"/>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Consolas" w:hAnsi="Consolas" w:cs="Consolas"/>
                <w:sz w:val="17"/>
                <w:shd w:val="clear" w:color="auto" w:fill="EEDFF8"/>
              </w:rPr>
              <w:t xml:space="preserve"> retry_of </w:t>
            </w:r>
          </w:p>
        </w:tc>
        <w:tc>
          <w:tcPr>
            <w:tcW w:type="dxa" w:w="1810"/>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#EEDFF8</w:t>
            </w:r>
          </w:p>
        </w:tc>
      </w:tr>
    </w:tbl>
    <w:p>
      <w:pPr>
        <w:keepNext w:val="0"/>
        <w:widowControl/>
        <w:spacing w:after="140" w:before="60" w:line="257" w:lineRule="auto"/>
        <w:jc w:val="center"/>
      </w:pPr>
      <w:r>
        <w:rPr>
          <w:rFonts w:ascii="Times New Roman" w:hAnsi="Times New Roman" w:cs="Times New Roman"/>
          <w:i w:val="0"/>
          <w:sz w:val="18"/>
        </w:rPr>
        <w:t>Table A.E13: Original edge-label fills and proposed added-edge fills.</w:t>
      </w:r>
    </w:p>
    <w:p>
      <w:pPr>
        <w:keepNext w:val="0"/>
        <w:widowControl/>
        <w:spacing w:after="120" w:before="0" w:line="257" w:lineRule="auto"/>
      </w:pPr>
      <w:r>
        <w:rPr>
          <w:rFonts w:ascii="Times New Roman" w:hAnsi="Times New Roman" w:cs="Times New Roman"/>
          <w:i w:val="0"/>
          <w:sz w:val="20"/>
        </w:rPr>
        <w:t>Print each label as dark text within its colored box. Use the same rectangular treatment for ToolCall and ToolResult as the original node types. A role name and edge label must remain visible without reliance on hue alone. Put “Provisional,” “Recorded,” or “Inferred” in a separate badge or inspector field; do not change the meaning of a line pattern.</w:t>
      </w:r>
    </w:p>
    <w:p>
      <w:pPr>
        <w:pStyle w:val="Heading2"/>
        <w:pageBreakBefore w:val="0"/>
        <w:widowControl/>
      </w:pPr>
      <w:r>
        <w:t>Source references</w:t>
      </w:r>
    </w:p>
    <w:p>
      <w:pPr>
        <w:keepNext w:val="0"/>
        <w:widowControl/>
        <w:spacing w:after="120" w:before="0" w:line="257" w:lineRule="auto"/>
      </w:pPr>
      <w:r>
        <w:rPr>
          <w:rFonts w:ascii="Times New Roman" w:hAnsi="Times New Roman" w:cs="Times New Roman"/>
          <w:i w:val="0"/>
          <w:sz w:val="18"/>
        </w:rPr>
        <w:t>[1] Jinu Lee, Shivam Agarwal, Amruta Parulekar, Siddarth Madala, Dilek Hakkani-Tür, and Julia Hockenmaier. 2026. ReasoningFlow: Discourse Structures for Understanding LLM Reasoning Traces. arXiv:2606.05402v1, 3 June 2026. Supplied paper, Appendix A, Tables 3–4; §3; Appendix C.1; Appendix I.</w:t>
      </w:r>
    </w:p>
    <w:p>
      <w:pPr>
        <w:keepNext w:val="0"/>
        <w:widowControl/>
        <w:spacing w:after="120" w:before="0" w:line="257" w:lineRule="auto"/>
      </w:pPr>
      <w:r>
        <w:rPr>
          <w:rFonts w:ascii="Times New Roman" w:hAnsi="Times New Roman" w:cs="Times New Roman"/>
          <w:i w:val="0"/>
          <w:sz w:val="18"/>
        </w:rPr>
        <w:t>[2] Nathan Conklin and ChatGPT. ReasoningFlow with tool calls and web search: current design discussion and final approved legend, 11 October 2026. Proposed extension. Companion: ReasoningFlowWithToolCall.docx.</w:t>
      </w:r>
    </w:p>
    <w:p>
      <w:pPr>
        <w:pStyle w:val="Heading1"/>
        <w:pageBreakBefore/>
        <w:widowControl/>
      </w:pPr>
      <w:r>
        <w:t>A.E8  Annotation record and completion checklist</w:t>
      </w:r>
    </w:p>
    <w:p>
      <w:pPr>
        <w:keepNext w:val="0"/>
        <w:widowControl/>
        <w:spacing w:after="120" w:before="0" w:line="257" w:lineRule="auto"/>
      </w:pPr>
      <w:r>
        <w:rPr>
          <w:rFonts w:ascii="Times New Roman" w:hAnsi="Times New Roman" w:cs="Times New Roman"/>
          <w:i w:val="0"/>
          <w:sz w:val="20"/>
        </w:rPr>
        <w:t>Store an edge as a versioned annotation with independently auditable evidence. This minimal synthetic record follows the earlier-to-later convention. Its null confidence value avoids implying calibration that has not been established.</w:t>
      </w:r>
    </w:p>
    <w:tbl>
      <w:tblPr>
        <w:tblW w:type="auto" w:w="0"/>
        <w:tblLook w:firstColumn="1" w:firstRow="1" w:lastColumn="0" w:lastRow="0" w:noHBand="0" w:noVBand="1" w:val="04A0"/>
      </w:tblPr>
      <w:tblGrid>
        <w:gridCol w:w="9025"/>
      </w:tblGrid>
      <w:tr>
        <w:tc>
          <w:tcPr>
            <w:tcW w:type="dxa" w:w="9025"/>
            <w:shd w:fill="F5F5F5"/>
            <w:tcBorders>
              <w:top w:val="single" w:sz="4" w:color="BBBBBB"/>
              <w:bottom w:val="single" w:sz="4" w:color="BBBBBB"/>
              <w:left w:val="single" w:sz="4" w:color="BBBBBB"/>
              <w:right w:val="single" w:sz="4" w:color="BBBBBB"/>
            </w:tcBorders>
          </w:tcPr>
          <w:p>
            <w:pPr>
              <w:widowControl/>
              <w:spacing w:after="0" w:line="240" w:lineRule="auto"/>
            </w:pPr>
            <w:r/>
            <w:r>
              <w:rPr>
                <w:rFonts w:ascii="Consolas" w:hAnsi="Consolas" w:cs="Consolas"/>
                <w:sz w:val="16"/>
              </w:rPr>
              <w:t>{</w:t>
            </w:r>
          </w:p>
          <w:p>
            <w:pPr>
              <w:widowControl/>
              <w:spacing w:after="0" w:line="240" w:lineRule="auto"/>
            </w:pPr>
            <w:r>
              <w:rPr>
                <w:rFonts w:ascii="Consolas" w:hAnsi="Consolas" w:cs="Consolas"/>
                <w:sz w:val="16"/>
              </w:rPr>
              <w:t xml:space="preserve">  "source_id": "C2",</w:t>
            </w:r>
          </w:p>
          <w:p>
            <w:pPr>
              <w:widowControl/>
              <w:spacing w:after="0" w:line="240" w:lineRule="auto"/>
            </w:pPr>
            <w:r>
              <w:rPr>
                <w:rFonts w:ascii="Consolas" w:hAnsi="Consolas" w:cs="Consolas"/>
                <w:sz w:val="16"/>
              </w:rPr>
              <w:t xml:space="preserve">  "target_id": "K2",</w:t>
            </w:r>
          </w:p>
          <w:p>
            <w:pPr>
              <w:widowControl/>
              <w:spacing w:after="0" w:line="240" w:lineRule="auto"/>
            </w:pPr>
            <w:r>
              <w:rPr>
                <w:rFonts w:ascii="Consolas" w:hAnsi="Consolas" w:cs="Consolas"/>
                <w:sz w:val="16"/>
              </w:rPr>
              <w:t xml:space="preserve">  "label": "grounded_in",</w:t>
            </w:r>
          </w:p>
          <w:p>
            <w:pPr>
              <w:widowControl/>
              <w:spacing w:after="0" w:line="240" w:lineRule="auto"/>
            </w:pPr>
            <w:r>
              <w:rPr>
                <w:rFonts w:ascii="Consolas" w:hAnsi="Consolas" w:cs="Consolas"/>
                <w:sz w:val="16"/>
              </w:rPr>
              <w:t xml:space="preserve">  "family": "provenance",</w:t>
            </w:r>
          </w:p>
          <w:p>
            <w:pPr>
              <w:widowControl/>
              <w:spacing w:after="0" w:line="240" w:lineRule="auto"/>
            </w:pPr>
            <w:r>
              <w:rPr>
                <w:rFonts w:ascii="Consolas" w:hAnsi="Consolas" w:cs="Consolas"/>
                <w:sz w:val="16"/>
              </w:rPr>
              <w:t xml:space="preserve">  "evidence_method": "annotator_inferred",</w:t>
            </w:r>
          </w:p>
          <w:p>
            <w:pPr>
              <w:widowControl/>
              <w:spacing w:after="0" w:line="240" w:lineRule="auto"/>
            </w:pPr>
            <w:r>
              <w:rPr>
                <w:rFonts w:ascii="Consolas" w:hAnsi="Consolas" w:cs="Consolas"/>
                <w:sz w:val="16"/>
              </w:rPr>
              <w:t xml:space="preserve">  "evidence": {</w:t>
            </w:r>
          </w:p>
          <w:p>
            <w:pPr>
              <w:widowControl/>
              <w:spacing w:after="0" w:line="240" w:lineRule="auto"/>
            </w:pPr>
            <w:r>
              <w:rPr>
                <w:rFonts w:ascii="Consolas" w:hAnsi="Consolas" w:cs="Consolas"/>
                <w:sz w:val="16"/>
              </w:rPr>
              <w:t xml:space="preserve">    "source_id": "manual-S2-text",</w:t>
            </w:r>
          </w:p>
          <w:p>
            <w:pPr>
              <w:widowControl/>
              <w:spacing w:after="0" w:line="240" w:lineRule="auto"/>
            </w:pPr>
            <w:r>
              <w:rPr>
                <w:rFonts w:ascii="Consolas" w:hAnsi="Consolas" w:cs="Consolas"/>
                <w:sz w:val="16"/>
              </w:rPr>
              <w:t xml:space="preserve">    "span_text": "The default timeout is 30 seconds.",</w:t>
            </w:r>
          </w:p>
          <w:p>
            <w:pPr>
              <w:widowControl/>
              <w:spacing w:after="0" w:line="240" w:lineRule="auto"/>
            </w:pPr>
            <w:r>
              <w:rPr>
                <w:rFonts w:ascii="Consolas" w:hAnsi="Consolas" w:cs="Consolas"/>
                <w:sz w:val="16"/>
              </w:rPr>
              <w:t xml:space="preserve">    "context_manifest_ref": "invocation-2"</w:t>
            </w:r>
          </w:p>
          <w:p>
            <w:pPr>
              <w:widowControl/>
              <w:spacing w:after="0" w:line="240" w:lineRule="auto"/>
            </w:pPr>
            <w:r>
              <w:rPr>
                <w:rFonts w:ascii="Consolas" w:hAnsi="Consolas" w:cs="Consolas"/>
                <w:sz w:val="16"/>
              </w:rPr>
              <w:t xml:space="preserve">  },</w:t>
            </w:r>
          </w:p>
          <w:p>
            <w:pPr>
              <w:widowControl/>
              <w:spacing w:after="0" w:line="240" w:lineRule="auto"/>
            </w:pPr>
            <w:r>
              <w:rPr>
                <w:rFonts w:ascii="Consolas" w:hAnsi="Consolas" w:cs="Consolas"/>
                <w:sz w:val="16"/>
              </w:rPr>
              <w:t xml:space="preserve">  "annotation_basis": "The answer uses the cited timeout value.",</w:t>
            </w:r>
          </w:p>
          <w:p>
            <w:pPr>
              <w:widowControl/>
              <w:spacing w:after="0" w:line="240" w:lineRule="auto"/>
            </w:pPr>
            <w:r>
              <w:rPr>
                <w:rFonts w:ascii="Consolas" w:hAnsi="Consolas" w:cs="Consolas"/>
                <w:sz w:val="16"/>
              </w:rPr>
              <w:t xml:space="preserve">  "annotator_confidence": null,</w:t>
            </w:r>
          </w:p>
          <w:p>
            <w:pPr>
              <w:widowControl/>
              <w:spacing w:after="0" w:line="240" w:lineRule="auto"/>
            </w:pPr>
            <w:r>
              <w:rPr>
                <w:rFonts w:ascii="Consolas" w:hAnsi="Consolas" w:cs="Consolas"/>
                <w:sz w:val="16"/>
              </w:rPr>
              <w:t xml:space="preserve">  "state": "committed",</w:t>
            </w:r>
          </w:p>
          <w:p>
            <w:pPr>
              <w:widowControl/>
              <w:spacing w:after="0" w:line="240" w:lineRule="auto"/>
            </w:pPr>
            <w:r>
              <w:rPr>
                <w:rFonts w:ascii="Consolas" w:hAnsi="Consolas" w:cs="Consolas"/>
                <w:sz w:val="16"/>
              </w:rPr>
              <w:t xml:space="preserve">  "version": 1</w:t>
            </w:r>
          </w:p>
          <w:p>
            <w:pPr>
              <w:widowControl/>
              <w:spacing w:after="0" w:line="240" w:lineRule="auto"/>
            </w:pPr>
            <w:r>
              <w:rPr>
                <w:rFonts w:ascii="Consolas" w:hAnsi="Consolas" w:cs="Consolas"/>
                <w:sz w:val="16"/>
              </w:rPr>
              <w:t>}</w:t>
            </w:r>
          </w:p>
        </w:tc>
      </w:tr>
    </w:tbl>
    <w:p>
      <w:pPr>
        <w:keepNext w:val="0"/>
        <w:widowControl/>
        <w:spacing w:after="120" w:before="100" w:line="257" w:lineRule="auto"/>
      </w:pPr>
      <w:r>
        <w:rPr>
          <w:rFonts w:ascii="Times New Roman" w:hAnsi="Times New Roman" w:cs="Times New Roman"/>
          <w:i w:val="0"/>
          <w:sz w:val="19"/>
        </w:rPr>
        <w:t>A production record should additionally use the immutable source hash and numeric offsets defined in the developer specification. The quoted span above is included for readability; it does not replace source identity.</w:t>
      </w:r>
    </w:p>
    <w:tbl>
      <w:tblPr>
        <w:tblW w:type="auto" w:w="0"/>
        <w:jc w:val="center"/>
        <w:tblLayout w:type="fixed"/>
        <w:tblLook w:firstColumn="1" w:firstRow="1" w:lastColumn="0" w:lastRow="0" w:noHBand="0" w:noVBand="1" w:val="04A0"/>
      </w:tblPr>
      <w:tblGrid>
        <w:gridCol w:w="1872"/>
        <w:gridCol w:w="7152"/>
      </w:tblGrid>
      <w:tr>
        <w:trPr>
          <w:cantSplit/>
          <w:tblHeader/>
        </w:trPr>
        <w:tc>
          <w:tcPr>
            <w:tcW w:type="dxa" w:w="1872"/>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Check</w:t>
            </w:r>
          </w:p>
        </w:tc>
        <w:tc>
          <w:tcPr>
            <w:tcW w:type="dxa" w:w="7152"/>
            <w:vAlign w:val="top"/>
            <w:tcMar>
              <w:top w:w="55" w:type="dxa"/>
              <w:bottom w:w="55" w:type="dxa"/>
              <w:left w:w="55" w:type="dxa"/>
              <w:right w:w="65" w:type="dxa"/>
            </w:tcMar>
            <w:tcBorders>
              <w:top w:val="single" w:sz="7" w:color="333333"/>
              <w:bottom w:val="single" w:sz="5" w:color="333333"/>
              <w:left w:val="nil" w:sz="4" w:color="333333"/>
              <w:right w:val="nil" w:sz="4" w:color="333333"/>
            </w:tcBorders>
          </w:tcPr>
          <w:p>
            <w:pPr>
              <w:widowControl/>
            </w:pPr>
            <w:r>
              <w:rPr>
                <w:rFonts w:ascii="Times New Roman" w:hAnsi="Times New Roman" w:cs="Times New Roman"/>
                <w:b/>
                <w:sz w:val="18"/>
              </w:rPr>
              <w:t>Completion criterion</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Taxonomy</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Only the original nine displayed categories plus ToolCall and ToolResult; only the original 14 edges plus the six additions.</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Direction</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Every committed edge respects earlier-to-later logical order; inverse-reading labels have correctly assigned endpoints.</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Identity</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Call, attempt, result-item, event, and source identifiers are preserved and do not depend on display text.</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Source fidelity</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Text spans match the identified immutable representation. Extraction transformations and source availability are recorded.</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Evidence origin</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Observed associations, explicit references, and inferred semantic judgments remain distinguishable.</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Semantic boundaries</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No automatic cites→grounded_in, returns→support, or ToolCall→Reasoning conversion.</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Graph validity</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No cycles, missing endpoints, or self-loops; valid multi-label relations between the same endpoints are retained.</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Streaming status</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Incomplete units, unresolved references, and interrupted episodes remain visibly provisional or incomplete.</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Visual consistency</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All nodes are boxes. Label text is boxed and colored. Solid, dashed, and dotted patterns encode family, not confidence.</w:t>
            </w:r>
          </w:p>
        </w:tc>
      </w:tr>
      <w:tr>
        <w:trPr>
          <w:cantSplit/>
        </w:trPr>
        <w:tc>
          <w:tcPr>
            <w:tcW w:type="dxa" w:w="187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Reviewability</w:t>
            </w:r>
          </w:p>
        </w:tc>
        <w:tc>
          <w:tcPr>
            <w:tcW w:type="dxa" w:w="7152"/>
            <w:vAlign w:val="top"/>
            <w:tcMar>
              <w:top w:w="55" w:type="dxa"/>
              <w:bottom w:w="55" w:type="dxa"/>
              <w:left w:w="55" w:type="dxa"/>
              <w:right w:w="65" w:type="dxa"/>
            </w:tcMar>
            <w:tcBorders>
              <w:top w:val="nil" w:sz="4" w:color="333333"/>
              <w:bottom w:val="single" w:sz="3" w:color="777777"/>
              <w:left w:val="nil" w:sz="4" w:color="333333"/>
              <w:right w:val="nil" w:sz="4" w:color="333333"/>
            </w:tcBorders>
          </w:tcPr>
          <w:p>
            <w:pPr>
              <w:widowControl/>
              <w:spacing w:after="0" w:line="250" w:lineRule="auto"/>
            </w:pPr>
            <w:r>
              <w:rPr>
                <w:rFonts w:ascii="Times New Roman" w:hAnsi="Times New Roman" w:cs="Times New Roman"/>
                <w:i w:val="0"/>
                <w:sz w:val="18"/>
              </w:rPr>
              <w:t>Each annotation can be checked against exact spans or events; rejected and corrected versions remain auditable.</w:t>
            </w:r>
          </w:p>
        </w:tc>
      </w:tr>
    </w:tbl>
    <w:p>
      <w:pPr>
        <w:keepNext w:val="0"/>
        <w:widowControl/>
        <w:spacing w:after="140" w:before="60" w:line="257" w:lineRule="auto"/>
        <w:jc w:val="center"/>
      </w:pPr>
      <w:r>
        <w:rPr>
          <w:rFonts w:ascii="Times New Roman" w:hAnsi="Times New Roman" w:cs="Times New Roman"/>
          <w:i w:val="0"/>
          <w:sz w:val="18"/>
        </w:rPr>
        <w:t>Table A.E14: Completion checks for manual or automated annotation.</w:t>
      </w:r>
    </w:p>
    <w:p>
      <w:pPr>
        <w:keepNext w:val="0"/>
        <w:widowControl/>
        <w:spacing w:after="120" w:before="0" w:line="257" w:lineRule="auto"/>
      </w:pPr>
      <w:r>
        <w:rPr>
          <w:rFonts w:ascii="Times New Roman" w:hAnsi="Times New Roman" w:cs="Times New Roman"/>
          <w:i w:val="0"/>
          <w:sz w:val="20"/>
        </w:rPr>
        <w:t>An annotation is complete for a chosen graph version when the observed events are represented, text spans and labels are valid, and unresolved items are explicitly identified. Completion does not mean the graph is a faithful account of hidden model computation or that the underlying answer is correct. The proposed extension requires its own agreement and accuracy evaluation.</w:t>
      </w:r>
    </w:p>
    <w:sectPr w:rsidR="00FC693F" w:rsidRPr="0006063C" w:rsidSect="00034616">
      <w:footerReference w:type="default" r:id="rId9"/>
      <w:pgSz w:w="11905" w:h="16838"/>
      <w:pgMar w:top="1195" w:right="1440" w:bottom="1152" w:left="1440" w:header="432"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0"/>
      </w:rPr>
      <w:fldChar w:fldCharType="begin"/>
    </w:r>
    <w:r>
      <w:instrText xml:space="preserve"> PAGE </w:instrText>
    </w:r>
    <w:r>
      <w:fldChar w:fldCharType="separate"/>
    </w:r>
    <w:r>
      <w:rPr>
        <w:rFonts w:ascii="Times New Roman" w:hAnsi="Times New Roman" w:cs="Times New Roman"/>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7" w:lineRule="auto" w:after="120"/>
    </w:pPr>
    <w:rPr>
      <w:rFonts w:ascii="Times New Roman" w:hAnsi="Times New Roman"/>
      <w:sz w:val="21"/>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b/>
      <w:bCs/>
      <w:color w:val="000000"/>
      <w:sz w:val="24"/>
      <w:szCs w:val="28"/>
      <w:rFonts w:ascii="Times New Roman" w:hAnsi="Times New Roman"/>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Times New Roman" w:hAnsi="Times New Roman"/>
      <w:b/>
      <w:bCs/>
      <w:color w:val="000000"/>
      <w:sz w:val="22"/>
      <w:szCs w:val="26"/>
      <w:rFonts w:ascii="Times New Roman" w:hAnsi="Times New Roman"/>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Times New Roman" w:hAnsi="Times New Roman"/>
      <w:b/>
      <w:bCs/>
      <w:color w:val="000000"/>
      <w:sz w:val="21"/>
      <w:rFonts w:ascii="Times New Roman" w:hAnsi="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7" w:lineRule="auto"/>
    </w:pPr>
    <w:rPr>
      <w:rFonts w:ascii="Times New Roman" w:hAnsi="Times New Roman"/>
      <w:sz w:val="21"/>
      <w:rFonts w:ascii="Times New Roman" w:hAnsi="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Extension: Tool Calls and Web Search</dc:title>
  <dc:subject>Proposed Appendix A supplement to ReasoningFlow</dc:subject>
  <dc:creator>Nathan Conklin</dc:creator>
  <cp:keywords/>
  <dc:description>generated by python-docx</dc:description>
  <cp:lastModifiedBy/>
  <cp:revision>1</cp:revision>
  <dcterms:created xsi:type="dcterms:W3CDTF">2013-12-23T23:15:00Z</dcterms:created>
  <dcterms:modified xsi:type="dcterms:W3CDTF">2013-12-23T23:15:00Z</dcterms:modified>
  <cp:category/>
</cp:coreProperties>
</file>