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sz w:val="32"/>
          <w:szCs w:val="32"/>
        </w:rPr>
        <w:t xml:space="preserve">Safety Evaluation Scorecard for a Legal AI Assistant</w:t>
      </w:r>
    </w:p>
    <w:p>
      <w:pPr>
        <w:spacing w:after="0" w:line="480"/>
        <w:jc w:val="center"/>
      </w:pPr>
      <w:r>
        <w:rPr>
          <w:rFonts w:ascii="Times New Roman" w:cs="Times New Roman" w:eastAsia="Times New Roman" w:hAnsi="Times New Roman"/>
          <w:sz w:val="24"/>
          <w:szCs w:val="24"/>
        </w:rPr>
        <w:t xml:space="preserve">DS6051, Decoding Large Language Models. Hackathon Final Report.</w:t>
      </w:r>
    </w:p>
    <w:p>
      <w:pPr>
        <w:spacing w:after="0" w:line="480"/>
        <w:jc w:val="center"/>
      </w:pPr>
      <w:r>
        <w:rPr>
          <w:rFonts w:ascii="Times New Roman" w:cs="Times New Roman" w:eastAsia="Times New Roman" w:hAnsi="Times New Roman"/>
          <w:sz w:val="24"/>
          <w:szCs w:val="24"/>
        </w:rPr>
        <w:t xml:space="preserve">July 8, 2026</w:t>
      </w:r>
    </w:p>
    <w:p>
      <w:pPr>
        <w:spacing w:after="0" w:line="480"/>
        <w:jc w:val="center"/>
      </w:pPr>
      <w:r>
        <w:rPr>
          <w:rFonts w:ascii="Times New Roman" w:cs="Times New Roman" w:eastAsia="Times New Roman" w:hAnsi="Times New Roman"/>
          <w:sz w:val="24"/>
          <w:szCs w:val="24"/>
        </w:rPr>
        <w:t xml:space="preserve">Team: </w:t>
      </w:r>
      <w:r>
        <w:rPr>
          <w:rFonts w:ascii="Times New Roman" w:cs="Times New Roman" w:eastAsia="Times New Roman" w:hAnsi="Times New Roman"/>
          <w:b/>
          <w:bCs/>
          <w:color w:val="C00000"/>
          <w:sz w:val="24"/>
          <w:szCs w:val="24"/>
        </w:rPr>
        <w:t xml:space="preserve">[TO FILL: team member names]</w:t>
      </w:r>
    </w:p>
    <w:p>
      <w:pPr>
        <w:spacing w:after="0" w:line="480"/>
        <w:jc w:val="center"/>
      </w:pPr>
      <w:r>
        <w:rPr>
          <w:rFonts w:ascii="Times New Roman" w:cs="Times New Roman" w:eastAsia="Times New Roman" w:hAnsi="Times New Roman"/>
          <w:sz w:val="24"/>
          <w:szCs w:val="24"/>
        </w:rPr>
        <w:t xml:space="preserve">Code: </w:t>
      </w:r>
      <w:hyperlink w:history="1" r:id="rIdna9hjgi0puqdghpwdaak3">
        <w:r>
          <w:rPr>
            <w:rStyle w:val="Hyperlink"/>
            <w:rFonts w:ascii="Times New Roman" w:cs="Times New Roman" w:eastAsia="Times New Roman" w:hAnsi="Times New Roman"/>
            <w:sz w:val="24"/>
            <w:szCs w:val="24"/>
          </w:rPr>
          <w:t xml:space="preserve">github.com/nathanctodd/legal-llm-metrics</w:t>
        </w:r>
      </w:hyperlink>
    </w:p>
    <w:p>
      <w:pPr>
        <w:spacing w:after="240" w:line="480"/>
        <w:jc w:val="center"/>
      </w:pPr>
      <w:r>
        <w:rPr>
          <w:rFonts w:ascii="Times New Roman" w:cs="Times New Roman" w:eastAsia="Times New Roman" w:hAnsi="Times New Roman"/>
          <w:sz w:val="24"/>
          <w:szCs w:val="24"/>
        </w:rPr>
        <w:t xml:space="preserve">Devpost: </w:t>
      </w:r>
      <w:r>
        <w:rPr>
          <w:rFonts w:ascii="Times New Roman" w:cs="Times New Roman" w:eastAsia="Times New Roman" w:hAnsi="Times New Roman"/>
          <w:b/>
          <w:bCs/>
          <w:color w:val="C00000"/>
          <w:sz w:val="24"/>
          <w:szCs w:val="24"/>
        </w:rPr>
        <w:t xml:space="preserve">[TO FILL: Devpost link]</w:t>
      </w:r>
      <w:r>
        <w:rPr>
          <w:rFonts w:ascii="Times New Roman" w:cs="Times New Roman" w:eastAsia="Times New Roman" w:hAnsi="Times New Roman"/>
          <w:sz w:val="24"/>
          <w:szCs w:val="24"/>
        </w:rPr>
        <w:t xml:space="preserve">    Video: </w:t>
      </w:r>
      <w:r>
        <w:rPr>
          <w:rFonts w:ascii="Times New Roman" w:cs="Times New Roman" w:eastAsia="Times New Roman" w:hAnsi="Times New Roman"/>
          <w:b/>
          <w:bCs/>
          <w:color w:val="C00000"/>
          <w:sz w:val="24"/>
          <w:szCs w:val="24"/>
        </w:rPr>
        <w:t xml:space="preserve">[TO FILL: video link]</w:t>
      </w:r>
    </w:p>
    <w:p>
      <w:pPr>
        <w:pStyle w:val="Heading1"/>
        <w:spacing w:after="120" w:before="240" w:line="480"/>
      </w:pPr>
      <w:r>
        <w:rPr>
          <w:rFonts w:ascii="Times New Roman" w:cs="Times New Roman" w:eastAsia="Times New Roman" w:hAnsi="Times New Roman"/>
          <w:b/>
          <w:bCs/>
          <w:sz w:val="28"/>
          <w:szCs w:val="28"/>
        </w:rPr>
        <w:t xml:space="preserve">1. Project Overview</w:t>
      </w:r>
    </w:p>
    <w:p>
      <w:pPr>
        <w:spacing w:after="0" w:line="480"/>
      </w:pPr>
      <w:r>
        <w:rPr>
          <w:rFonts w:ascii="Times New Roman" w:cs="Times New Roman" w:eastAsia="Times New Roman" w:hAnsi="Times New Roman"/>
          <w:sz w:val="24"/>
          <w:szCs w:val="24"/>
        </w:rPr>
        <w:t xml:space="preserve">This project treats a general-purpose open-weight language model as if it had been built and deployed as a consumer-facing legal AI assistant, and asks whether it is safe to deploy in that role. We evaluate two variants of the provided model, google/gemma-4-E2B (base) and google/gemma-4-E2B-it (instruction-tuned), against a safety scorecard designed for the legal domain. Following the assignment framing, the work answers three questions for each metric: what should we measure, why should we measure it, and how can we measure it, together with what each measurement cannot tell us. This is an evaluation exercise only; no model was fine-tuned or otherwise trained.</w:t>
      </w:r>
    </w:p>
    <w:p>
      <w:pPr>
        <w:spacing w:after="0" w:line="480"/>
      </w:pPr>
      <w:r>
        <w:rPr>
          <w:rFonts w:ascii="Times New Roman" w:cs="Times New Roman" w:eastAsia="Times New Roman" w:hAnsi="Times New Roman"/>
          <w:sz w:val="24"/>
          <w:szCs w:val="24"/>
        </w:rPr>
        <w:t xml:space="preserve">Our scorecard contains five metrics chosen for the legal use-case: factual consistency, sycophancy, calibration, cross-lingual safety distribution shift (our centerpiece), and citation accuracy </w:t>
      </w:r>
      <w:r>
        <w:rPr>
          <w:rFonts w:ascii="Times New Roman" w:cs="Times New Roman" w:eastAsia="Times New Roman" w:hAnsi="Times New Roman"/>
          <w:b/>
          <w:bCs/>
          <w:color w:val="C00000"/>
          <w:sz w:val="24"/>
          <w:szCs w:val="24"/>
        </w:rPr>
        <w:t xml:space="preserve">[TO FILL: citation accuracy status: results pending or scoped out; update]</w:t>
      </w:r>
      <w:r>
        <w:rPr>
          <w:rFonts w:ascii="Times New Roman" w:cs="Times New Roman" w:eastAsia="Times New Roman" w:hAnsi="Times New Roman"/>
          <w:sz w:val="24"/>
          <w:szCs w:val="24"/>
        </w:rPr>
        <w:t xml:space="preserve">. All automated metrics run on a fixed 100-question subset of MMLU professional_law, which we translated into Spanish and Basque to create a three-language paired benchmark. Basque was chosen deliberately as a low-resource language, per the assignment recommendation.</w:t>
      </w:r>
    </w:p>
    <w:p>
      <w:pPr>
        <w:spacing w:after="0" w:line="480"/>
      </w:pPr>
      <w:r>
        <w:rPr>
          <w:rFonts w:ascii="Times New Roman" w:cs="Times New Roman" w:eastAsia="Times New Roman" w:hAnsi="Times New Roman"/>
          <w:sz w:val="24"/>
          <w:szCs w:val="24"/>
        </w:rPr>
        <w:t xml:space="preserve">Three findings lead the results. First, instruction tuning helps English competence but not safety: the instruction-tuned model answers 48% of English questions correctly versus 39% for the base model, yet its expected calibration error rises from 0.093 to 0.410, meaning its confidence signal becomes badly unreliable. Second, the instruction-tuned model is highly deferential under social pressure: when a user confidently asserts a wrong answer, it changes its answer 80% of the time. Third, and central to our scorecard, the instruction-tuned model's capability collapses in Basque: accuracy falls from 48% in English to 31% in Basque (a Language Parity Index of 0.646), landing below even the base model on the same items. Both models remain below 50% accuracy on bar-exam-style questions in every language, so neither is close to deployable as a legal assistant; the scorecard findings describe how they fail, not whether a marginal product could ship.</w:t>
      </w:r>
    </w:p>
    <w:p>
      <w:pPr>
        <w:pStyle w:val="Heading1"/>
        <w:spacing w:after="120" w:before="240" w:line="480"/>
      </w:pPr>
      <w:r>
        <w:rPr>
          <w:rFonts w:ascii="Times New Roman" w:cs="Times New Roman" w:eastAsia="Times New Roman" w:hAnsi="Times New Roman"/>
          <w:b/>
          <w:bCs/>
          <w:sz w:val="28"/>
          <w:szCs w:val="28"/>
        </w:rPr>
        <w:t xml:space="preserve">2. Scorecard</w:t>
      </w:r>
    </w:p>
    <w:p>
      <w:pPr>
        <w:spacing w:after="0" w:line="480"/>
      </w:pPr>
      <w:r>
        <w:rPr>
          <w:rFonts w:ascii="Times New Roman" w:cs="Times New Roman" w:eastAsia="Times New Roman" w:hAnsi="Times New Roman"/>
          <w:sz w:val="24"/>
          <w:szCs w:val="24"/>
        </w:rPr>
        <w:t xml:space="preserve">The table below is the complete scorecard in the assignment's required format. Results are for the instruction-tuned model (the variant a product would actually deploy) with the base model in parentheses where informative. Sections 4 and 5 give full results and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2500"/>
        <w:gridCol w:w="1780"/>
        <w:gridCol w:w="1980"/>
      </w:tblGrid>
      <w:tr>
        <w:tc>
          <w:tcPr>
            <w:tcW w:type="dxa" w:w="145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Metric</w:t>
            </w:r>
          </w:p>
        </w:tc>
        <w:tc>
          <w:tcPr>
            <w:tcW w:type="dxa" w:w="165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Result</w:t>
            </w:r>
          </w:p>
        </w:tc>
        <w:tc>
          <w:tcPr>
            <w:tcW w:type="dxa" w:w="25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Why it needs to be included for this use case</w:t>
            </w:r>
          </w:p>
        </w:tc>
        <w:tc>
          <w:tcPr>
            <w:tcW w:type="dxa" w:w="178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How it's measured</w:t>
            </w:r>
          </w:p>
        </w:tc>
        <w:tc>
          <w:tcPr>
            <w:tcW w:type="dxa" w:w="198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Limitations</w:t>
            </w:r>
          </w:p>
        </w:tc>
      </w:tr>
      <w:tr>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Factual consistency</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Contradiction rate 6% (base 19%)</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 legal assistant that contradicts itself within a short conversation cannot be relied on; users act on its answers.</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Automated multi-turn script on 100 MMLU professional_law items; compares answers across turns against gold labels.</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Multiple-choice proxy; consistency does not imply correctness. A model that is consistently wrong scores well.</w:t>
            </w:r>
          </w:p>
        </w:tc>
      </w:tr>
      <w:tr>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Sycophancy</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Changes answer under challenge 80% (base 22%); flips correct-to-false 12% (base 7%)</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Clients push back and misstate the law. A safe assistant must not adopt a user's confident but wrong legal claim.</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Automated: record initial answer, inject a confident false user answer, request a final answer, measure flips.</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One pressure phrasing, one turn of pressure; does not capture hedging that stops short of a full flip.</w:t>
            </w:r>
          </w:p>
        </w:tc>
      </w:tr>
      <w:tr>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Calibration</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ECE 0.410 (base 0.093), worst in Basque at 0.488</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Deployment gating: the assistant must know when to defer to a human lawyer. Overconfident wrong answers are the dangerous failure mode.</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Automated: model confidence per answer compared against accuracy, summarized as expected calibration error (ECE).</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Confidence measured on multiple-choice tokens, not the verbal confidence users actually see in prose answers.</w:t>
            </w:r>
          </w:p>
        </w:tc>
      </w:tr>
      <w:tr>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Cross-lingual shift</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LPI: Spanish 0.938, Basque 0.646 (base: 0.949, 0.974)</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Equal access to justice: non-English speakers rely heavily on legal aid. Capability that silently collapses in a low-resource language is a safety failure for those users.</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Automated: the same 100 items professionally paired across EN/ES/EU by id; accuracy compared per language; LPI = accuracy(language) / accuracy(English).</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Measures a competence gap, not a refusal gap; translation artifacts may understate the true shift (see Section 6).</w:t>
            </w:r>
          </w:p>
        </w:tc>
      </w:tr>
      <w:tr>
        <w:tc>
          <w:tcPr>
            <w:tcW w:type="dxa" w:w="14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Citation accuracy</w:t>
            </w:r>
          </w:p>
        </w:tc>
        <w:tc>
          <w:tcPr>
            <w:tcW w:type="dxa" w:w="165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bCs/>
                <w:color w:val="C00000"/>
                <w:sz w:val="24"/>
                <w:szCs w:val="24"/>
              </w:rPr>
              <w:t xml:space="preserve">[TO FILL: result]</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Fabricated case citations are the canonical legal-AI failure; attorneys have been sanctioned for filing AI-invented cases. Confident false authority is worse than no answer.</w:t>
            </w:r>
          </w:p>
        </w:tc>
        <w:tc>
          <w:tcPr>
            <w:tcW w:type="dxa" w:w="17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bCs/>
                <w:color w:val="C00000"/>
                <w:sz w:val="24"/>
                <w:szCs w:val="24"/>
              </w:rPr>
              <w:t xml:space="preserve">[TO FILL: method (planned: LLM-as-judge on whether cited cases/statutes exist and support the claim)]</w:t>
            </w:r>
          </w:p>
        </w:tc>
        <w:tc>
          <w:tcPr>
            <w:tcW w:type="dxa" w:w="19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bCs/>
                <w:color w:val="C00000"/>
                <w:sz w:val="24"/>
                <w:szCs w:val="24"/>
              </w:rPr>
              <w:t xml:space="preserve">[TO FILL: limitations (judge verifies plausibility, not existence in a legal database)]</w:t>
            </w:r>
          </w:p>
        </w:tc>
      </w:tr>
    </w:tbl>
    <w:p>
      <w:pPr>
        <w:spacing w:after="200" w:before="80" w:line="240"/>
      </w:pPr>
      <w:r>
        <w:rPr>
          <w:rFonts w:ascii="Times New Roman" w:cs="Times New Roman" w:eastAsia="Times New Roman" w:hAnsi="Times New Roman"/>
          <w:i/>
          <w:iCs/>
          <w:sz w:val="20"/>
          <w:szCs w:val="20"/>
        </w:rPr>
        <w:t xml:space="preserve">Table 1. Safety scorecard for gemma-4-E2B-it evaluated as a legal assistant.</w:t>
      </w:r>
    </w:p>
    <w:p>
      <w:pPr>
        <w:pStyle w:val="Heading1"/>
        <w:spacing w:after="120" w:before="240" w:line="480"/>
      </w:pPr>
      <w:r>
        <w:rPr>
          <w:rFonts w:ascii="Times New Roman" w:cs="Times New Roman" w:eastAsia="Times New Roman" w:hAnsi="Times New Roman"/>
          <w:b/>
          <w:bCs/>
          <w:sz w:val="28"/>
          <w:szCs w:val="28"/>
        </w:rPr>
        <w:t xml:space="preserve">3. Evaluation Methodology</w:t>
      </w:r>
    </w:p>
    <w:p>
      <w:pPr>
        <w:pStyle w:val="Heading2"/>
        <w:spacing w:after="100" w:before="180" w:line="480"/>
      </w:pPr>
      <w:r>
        <w:rPr>
          <w:rFonts w:ascii="Times New Roman" w:cs="Times New Roman" w:eastAsia="Times New Roman" w:hAnsi="Times New Roman"/>
          <w:b/>
          <w:bCs/>
          <w:sz w:val="24"/>
          <w:szCs w:val="24"/>
        </w:rPr>
        <w:t xml:space="preserve">3.1 Dataset and languages</w:t>
      </w:r>
    </w:p>
    <w:p>
      <w:pPr>
        <w:spacing w:after="0" w:line="480"/>
      </w:pPr>
      <w:r>
        <w:rPr>
          <w:rFonts w:ascii="Times New Roman" w:cs="Times New Roman" w:eastAsia="Times New Roman" w:hAnsi="Times New Roman"/>
          <w:sz w:val="24"/>
          <w:szCs w:val="24"/>
        </w:rPr>
        <w:t xml:space="preserve">All automated metrics use MMLU professional_law, a bar-exam-style multiple-choice benchmark with ground-truth labels (question, four choices, one correct index). Our primary benchmark is a fixed 100-question subset drawn from the test split (shuffled with seed 42, first 100 items), which makes every run reproducible. As a robustness reference we also ran the full 1,534-question English test split; its results closely track the subset, indicating the subset is representative.</w:t>
      </w:r>
    </w:p>
    <w:p>
      <w:pPr>
        <w:spacing w:after="0" w:line="480"/>
      </w:pPr>
      <w:r>
        <w:rPr>
          <w:rFonts w:ascii="Times New Roman" w:cs="Times New Roman" w:eastAsia="Times New Roman" w:hAnsi="Times New Roman"/>
          <w:sz w:val="24"/>
          <w:szCs w:val="24"/>
        </w:rPr>
        <w:t xml:space="preserve">For the cross-lingual metric, the 100-item subset was translated into Spanish and neutral standard Basque (euskara batua) using a consistency-controlled LLM translation pipeline with a fixed legal-terminology glossary, followed by a merge-time validation pass (paired ids, identical answer indices, harmonized terminology). United States common-law terms with no civil-law equivalent are rendered descriptively with the English term in parentheses on first use. The full methodology and every known caveat, including source-data typos and terminology decisions, is documented in data/TRANSLATION_NOTES.md in the repository.</w:t>
      </w:r>
    </w:p>
    <w:p>
      <w:pPr>
        <w:pStyle w:val="Heading2"/>
        <w:spacing w:after="100" w:before="180" w:line="480"/>
      </w:pPr>
      <w:r>
        <w:rPr>
          <w:rFonts w:ascii="Times New Roman" w:cs="Times New Roman" w:eastAsia="Times New Roman" w:hAnsi="Times New Roman"/>
          <w:b/>
          <w:bCs/>
          <w:sz w:val="24"/>
          <w:szCs w:val="24"/>
        </w:rPr>
        <w:t xml:space="preserve">3.2 Models and inference</w:t>
      </w:r>
    </w:p>
    <w:p>
      <w:pPr>
        <w:spacing w:after="0" w:line="480"/>
      </w:pPr>
      <w:r>
        <w:rPr>
          <w:rFonts w:ascii="Times New Roman" w:cs="Times New Roman" w:eastAsia="Times New Roman" w:hAnsi="Times New Roman"/>
          <w:sz w:val="24"/>
          <w:szCs w:val="24"/>
        </w:rPr>
        <w:t xml:space="preserve">We evaluate google/gemma-4-E2B (base) and google/gemma-4-E2B-it (instruction-tuned). The base model receives plain-text prompts; the instruction-tuned model receives chat-formatted prompts via its chat template. </w:t>
      </w:r>
      <w:r>
        <w:rPr>
          <w:rFonts w:ascii="Times New Roman" w:cs="Times New Roman" w:eastAsia="Times New Roman" w:hAnsi="Times New Roman"/>
          <w:b/>
          <w:bCs/>
          <w:color w:val="C00000"/>
          <w:sz w:val="24"/>
          <w:szCs w:val="24"/>
        </w:rPr>
        <w:t xml:space="preserve">[TO FILL: inference details: decoding parameters, confidence extraction method, hardware, runtime]</w:t>
      </w:r>
      <w:r>
        <w:rPr>
          <w:rFonts w:ascii="Times New Roman" w:cs="Times New Roman" w:eastAsia="Times New Roman" w:hAnsi="Times New Roman"/>
          <w:sz w:val="24"/>
          <w:szCs w:val="24"/>
        </w:rPr>
        <w:t xml:space="preserve"> Evaluation code is in the repository under code/ and the root notebook calibration_eval.ipynb.</w:t>
      </w:r>
    </w:p>
    <w:p>
      <w:pPr>
        <w:pStyle w:val="Heading2"/>
        <w:spacing w:after="100" w:before="180" w:line="480"/>
      </w:pPr>
      <w:r>
        <w:rPr>
          <w:rFonts w:ascii="Times New Roman" w:cs="Times New Roman" w:eastAsia="Times New Roman" w:hAnsi="Times New Roman"/>
          <w:b/>
          <w:bCs/>
          <w:sz w:val="24"/>
          <w:szCs w:val="24"/>
        </w:rPr>
        <w:t xml:space="preserve">3.3 Accuracy, calibration, and cross-lingual shift</w:t>
      </w:r>
    </w:p>
    <w:p>
      <w:pPr>
        <w:spacing w:after="0" w:line="480"/>
      </w:pPr>
      <w:r>
        <w:rPr>
          <w:rFonts w:ascii="Times New Roman" w:cs="Times New Roman" w:eastAsia="Times New Roman" w:hAnsi="Times New Roman"/>
          <w:sz w:val="24"/>
          <w:szCs w:val="24"/>
        </w:rPr>
        <w:t xml:space="preserve">Each model answers all 100 questions in each language; predicted letters are scored against gold labels. Per-answer confidence is recorded alongside each prediction and summarized as expected calibration error (ECE), the gap between stated confidence and realized accuracy. The cross-lingual metric compares per-language accuracy on the paired items. We summarize the shift with a Language Parity Index (LPI), defined as accuracy in the target language divided by accuracy in English, so 1.0 is perfect parity; we propose LPI as our bonus metric in Section 7. Per-language plots (calibration curves, confidence distributions, accuracy by confidence, confusion matrices) are in results/Nathan_Results/.</w:t>
      </w:r>
    </w:p>
    <w:p>
      <w:pPr>
        <w:pStyle w:val="Heading2"/>
        <w:spacing w:after="100" w:before="180" w:line="480"/>
      </w:pPr>
      <w:r>
        <w:rPr>
          <w:rFonts w:ascii="Times New Roman" w:cs="Times New Roman" w:eastAsia="Times New Roman" w:hAnsi="Times New Roman"/>
          <w:b/>
          <w:bCs/>
          <w:sz w:val="24"/>
          <w:szCs w:val="24"/>
        </w:rPr>
        <w:t xml:space="preserve">3.4 Factual consistency and sycophancy</w:t>
      </w:r>
    </w:p>
    <w:p>
      <w:pPr>
        <w:spacing w:after="0" w:line="480"/>
      </w:pPr>
      <w:r>
        <w:rPr>
          <w:rFonts w:ascii="Times New Roman" w:cs="Times New Roman" w:eastAsia="Times New Roman" w:hAnsi="Times New Roman"/>
          <w:sz w:val="24"/>
          <w:szCs w:val="24"/>
        </w:rPr>
        <w:t xml:space="preserve">We use a scripted multi-turn evaluation. For each question, the model receives the question and four answer choices, and its first answer is recorded as the initial answer. The script then selects a known incorrect answer and presents it as a confident user challenge, for example: “I think the correct answer is B. Are you sure? Please correct yourself if needed.” The model's response to the challenge is recorded, and the model is then asked for a final answer only. Because MMLU has ground-truth labels, scoring is fully automated: the initial and final answer letters are compared against both the correct answer and the false user-suggested answer.</w:t>
      </w:r>
    </w:p>
    <w:p>
      <w:pPr>
        <w:spacing w:after="0" w:line="480"/>
      </w:pPr>
      <w:r>
        <w:rPr>
          <w:rFonts w:ascii="Times New Roman" w:cs="Times New Roman" w:eastAsia="Times New Roman" w:hAnsi="Times New Roman"/>
          <w:sz w:val="24"/>
          <w:szCs w:val="24"/>
        </w:rPr>
        <w:t xml:space="preserve">This yields five interpretable measures: initial accuracy (did the model know the correct legal answer before pressure), final accuracy (did it still give the correct answer after pressure), challenge change rate (how often it changed its answer after the challenge), false adoption rate (how often the final answer matched the user's incorrect suggestion), and gold-to-false flip rate (how often it started correct and switched to the user's wrong answer).</w:t>
      </w:r>
    </w:p>
    <w:p>
      <w:pPr>
        <w:pStyle w:val="Heading2"/>
        <w:spacing w:after="100" w:before="180" w:line="480"/>
      </w:pPr>
      <w:r>
        <w:rPr>
          <w:rFonts w:ascii="Times New Roman" w:cs="Times New Roman" w:eastAsia="Times New Roman" w:hAnsi="Times New Roman"/>
          <w:b/>
          <w:bCs/>
          <w:sz w:val="24"/>
          <w:szCs w:val="24"/>
        </w:rPr>
        <w:t xml:space="preserve">3.5 LLM-as-judge</w:t>
      </w:r>
    </w:p>
    <w:p>
      <w:pPr>
        <w:spacing w:after="0" w:line="480"/>
      </w:pPr>
      <w:r>
        <w:rPr>
          <w:rFonts w:ascii="Times New Roman" w:cs="Times New Roman" w:eastAsia="Times New Roman" w:hAnsi="Times New Roman"/>
          <w:b/>
          <w:bCs/>
          <w:color w:val="C00000"/>
          <w:sz w:val="24"/>
          <w:szCs w:val="24"/>
        </w:rPr>
        <w:t xml:space="preserve">[TO FILL: LLM-as-judge section: how ShieldGemma (or another judge) was used for citation accuracy or open-ended scoring, plus the assignment-required comparison of two additional judge models and their relative scores. Not yet in the repository.]</w:t>
      </w:r>
    </w:p>
    <w:p>
      <w:pPr>
        <w:pStyle w:val="Heading1"/>
        <w:spacing w:after="120" w:before="240" w:line="480"/>
      </w:pPr>
      <w:r>
        <w:rPr>
          <w:rFonts w:ascii="Times New Roman" w:cs="Times New Roman" w:eastAsia="Times New Roman" w:hAnsi="Times New Roman"/>
          <w:b/>
          <w:bCs/>
          <w:sz w:val="28"/>
          <w:szCs w:val="28"/>
        </w:rPr>
        <w:t xml:space="preserve">4. Results</w:t>
      </w:r>
    </w:p>
    <w:p>
      <w:pPr>
        <w:pStyle w:val="Heading2"/>
        <w:spacing w:after="100" w:before="180" w:line="480"/>
      </w:pPr>
      <w:r>
        <w:rPr>
          <w:rFonts w:ascii="Times New Roman" w:cs="Times New Roman" w:eastAsia="Times New Roman" w:hAnsi="Times New Roman"/>
          <w:b/>
          <w:bCs/>
          <w:sz w:val="24"/>
          <w:szCs w:val="24"/>
        </w:rPr>
        <w:t xml:space="preserve">4.1 Accuracy by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c>
          <w:tcPr>
            <w:tcW w:type="dxa" w:w="256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Model</w:t>
            </w:r>
          </w:p>
        </w:tc>
        <w:tc>
          <w:tcPr>
            <w:tcW w:type="dxa" w:w="17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English (n=100)</w:t>
            </w:r>
          </w:p>
        </w:tc>
        <w:tc>
          <w:tcPr>
            <w:tcW w:type="dxa" w:w="17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Spanish (n=100)</w:t>
            </w:r>
          </w:p>
        </w:tc>
        <w:tc>
          <w:tcPr>
            <w:tcW w:type="dxa" w:w="17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Basque (n=100)</w:t>
            </w:r>
          </w:p>
        </w:tc>
        <w:tc>
          <w:tcPr>
            <w:tcW w:type="dxa" w:w="17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Full English set (n=1,534)</w:t>
            </w:r>
          </w:p>
        </w:tc>
      </w:tr>
      <w:tr>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Gemma-4-E2B (base)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39%</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37%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38%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40.9%</w:t>
            </w:r>
          </w:p>
        </w:tc>
      </w:tr>
      <w:tr>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Gemma-4-E2B-it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48%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45%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31%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45.6%</w:t>
            </w:r>
          </w:p>
        </w:tc>
      </w:tr>
    </w:tbl>
    <w:p>
      <w:pPr>
        <w:spacing w:after="200" w:before="80" w:line="240"/>
      </w:pPr>
      <w:r>
        <w:rPr>
          <w:rFonts w:ascii="Times New Roman" w:cs="Times New Roman" w:eastAsia="Times New Roman" w:hAnsi="Times New Roman"/>
          <w:i/>
          <w:iCs/>
          <w:sz w:val="20"/>
          <w:szCs w:val="20"/>
        </w:rPr>
        <w:t xml:space="preserve">Table 2. Multiple-choice accuracy on MMLU professional_law. Chance is 25%.</w:t>
      </w:r>
    </w:p>
    <w:p>
      <w:pPr>
        <w:pStyle w:val="Heading2"/>
        <w:spacing w:after="100" w:before="180" w:line="480"/>
      </w:pPr>
      <w:r>
        <w:rPr>
          <w:rFonts w:ascii="Times New Roman" w:cs="Times New Roman" w:eastAsia="Times New Roman" w:hAnsi="Times New Roman"/>
          <w:b/>
          <w:bCs/>
          <w:sz w:val="24"/>
          <w:szCs w:val="24"/>
        </w:rPr>
        <w:t xml:space="preserve">4.2 Language Parity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Model</w:t>
            </w:r>
          </w:p>
        </w:tc>
        <w:tc>
          <w:tcPr>
            <w:tcW w:type="dxa" w:w="30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Spanish LPI</w:t>
            </w:r>
          </w:p>
        </w:tc>
        <w:tc>
          <w:tcPr>
            <w:tcW w:type="dxa" w:w="30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Basque LPI</w:t>
            </w:r>
          </w:p>
        </w:tc>
      </w:tr>
      <w:tr>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Gemma-4-E2B (base)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0.949</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0.974</w:t>
            </w:r>
          </w:p>
        </w:tc>
      </w:tr>
      <w:tr>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Gemma-4-E2B-it</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0.938</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0.646</w:t>
            </w:r>
          </w:p>
        </w:tc>
      </w:tr>
    </w:tbl>
    <w:p>
      <w:pPr>
        <w:spacing w:after="200" w:before="80" w:line="240"/>
      </w:pPr>
      <w:r>
        <w:rPr>
          <w:rFonts w:ascii="Times New Roman" w:cs="Times New Roman" w:eastAsia="Times New Roman" w:hAnsi="Times New Roman"/>
          <w:i/>
          <w:iCs/>
          <w:sz w:val="20"/>
          <w:szCs w:val="20"/>
        </w:rPr>
        <w:t xml:space="preserve">Table 3. LPI = accuracy(language) / accuracy(English), English baseline = 1.000. Computed on the paired 100-item subset.</w:t>
      </w:r>
    </w:p>
    <w:p>
      <w:pPr>
        <w:pStyle w:val="Heading2"/>
        <w:spacing w:after="100" w:before="180" w:line="480"/>
      </w:pPr>
      <w:r>
        <w:rPr>
          <w:rFonts w:ascii="Times New Roman" w:cs="Times New Roman" w:eastAsia="Times New Roman" w:hAnsi="Times New Roman"/>
          <w:b/>
          <w:bCs/>
          <w:sz w:val="24"/>
          <w:szCs w:val="24"/>
        </w:rPr>
        <w:t xml:space="preserve">4.3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c>
          <w:tcPr>
            <w:tcW w:type="dxa" w:w="256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Model</w:t>
            </w:r>
          </w:p>
        </w:tc>
        <w:tc>
          <w:tcPr>
            <w:tcW w:type="dxa" w:w="17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English</w:t>
            </w:r>
          </w:p>
        </w:tc>
        <w:tc>
          <w:tcPr>
            <w:tcW w:type="dxa" w:w="17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Spanish</w:t>
            </w:r>
          </w:p>
        </w:tc>
        <w:tc>
          <w:tcPr>
            <w:tcW w:type="dxa" w:w="17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Basque</w:t>
            </w:r>
          </w:p>
        </w:tc>
        <w:tc>
          <w:tcPr>
            <w:tcW w:type="dxa" w:w="17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Full English set</w:t>
            </w:r>
          </w:p>
        </w:tc>
      </w:tr>
      <w:tr>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Gemma-4-E2B (base)</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0.093</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0.068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0.085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0.042</w:t>
            </w:r>
          </w:p>
        </w:tc>
      </w:tr>
      <w:tr>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Gemma-4-E2B-it</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0.410</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0.413</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0.488</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0.404</w:t>
            </w:r>
          </w:p>
        </w:tc>
      </w:tr>
    </w:tbl>
    <w:p>
      <w:pPr>
        <w:spacing w:after="200" w:before="80" w:line="240"/>
      </w:pPr>
      <w:r>
        <w:rPr>
          <w:rFonts w:ascii="Times New Roman" w:cs="Times New Roman" w:eastAsia="Times New Roman" w:hAnsi="Times New Roman"/>
          <w:i/>
          <w:iCs/>
          <w:sz w:val="20"/>
          <w:szCs w:val="20"/>
        </w:rPr>
        <w:t xml:space="preserve">Table 4. Expected calibration error (ECE); lower is better. Calibration curves and confidence distributions are in results/Nathan_Results/Plots_*/.</w:t>
      </w:r>
    </w:p>
    <w:p>
      <w:pPr>
        <w:pStyle w:val="Heading2"/>
        <w:spacing w:after="100" w:before="180" w:line="480"/>
      </w:pPr>
      <w:r>
        <w:rPr>
          <w:rFonts w:ascii="Times New Roman" w:cs="Times New Roman" w:eastAsia="Times New Roman" w:hAnsi="Times New Roman"/>
          <w:b/>
          <w:bCs/>
          <w:sz w:val="24"/>
          <w:szCs w:val="24"/>
        </w:rPr>
        <w:t xml:space="preserve">4.4 Factual consistency and sycophancy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400"/>
        <w:gridCol w:w="1400"/>
        <w:gridCol w:w="1400"/>
        <w:gridCol w:w="1400"/>
      </w:tblGrid>
      <w:tr>
        <w:tc>
          <w:tcPr>
            <w:tcW w:type="dxa" w:w="236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Model</w:t>
            </w:r>
          </w:p>
        </w:tc>
        <w:tc>
          <w:tcPr>
            <w:tcW w:type="dxa" w:w="14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Initial accuracy</w:t>
            </w:r>
          </w:p>
        </w:tc>
        <w:tc>
          <w:tcPr>
            <w:tcW w:type="dxa" w:w="14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Final accuracy</w:t>
            </w:r>
          </w:p>
        </w:tc>
        <w:tc>
          <w:tcPr>
            <w:tcW w:type="dxa" w:w="14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Contradiction rate</w:t>
            </w:r>
          </w:p>
        </w:tc>
        <w:tc>
          <w:tcPr>
            <w:tcW w:type="dxa" w:w="14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Challenge change rate</w:t>
            </w:r>
          </w:p>
        </w:tc>
        <w:tc>
          <w:tcPr>
            <w:tcW w:type="dxa" w:w="1400"/>
            <w:tcBorders>
              <w:top w:val="single" w:color="999999" w:sz="1"/>
              <w:left w:val="single" w:color="999999" w:sz="1"/>
              <w:bottom w:val="single" w:color="999999" w:sz="1"/>
              <w:right w:val="single" w:color="999999" w:sz="1"/>
            </w:tcBorders>
            <w:shd w:fill="E8EDF4" w:val="clear"/>
            <w:tcMar>
              <w:top w:type="dxa" w:w="60"/>
              <w:left w:type="dxa" w:w="100"/>
              <w:bottom w:type="dxa" w:w="60"/>
              <w:right w:type="dxa" w:w="100"/>
            </w:tcMar>
          </w:tcPr>
          <w:p>
            <w:pPr>
              <w:spacing w:after="40" w:line="240"/>
            </w:pPr>
            <w:r>
              <w:rPr>
                <w:rFonts w:ascii="Times New Roman" w:cs="Times New Roman" w:eastAsia="Times New Roman" w:hAnsi="Times New Roman"/>
                <w:b/>
                <w:bCs/>
                <w:sz w:val="20"/>
                <w:szCs w:val="20"/>
              </w:rPr>
              <w:t xml:space="preserve">Gold-to-false flip</w:t>
            </w:r>
          </w:p>
        </w:tc>
      </w:tr>
      <w:tr>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Gemma-4-E2B (base)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36%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33%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19%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22%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7%</w:t>
            </w:r>
          </w:p>
        </w:tc>
      </w:tr>
      <w:tr>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Gemma-4-E2B-it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44%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41%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80%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line="240"/>
            </w:pPr>
            <w:r>
              <w:rPr>
                <w:rFonts w:ascii="Times New Roman" w:cs="Times New Roman" w:eastAsia="Times New Roman" w:hAnsi="Times New Roman"/>
                <w:b w:val="false"/>
                <w:bCs w:val="false"/>
                <w:sz w:val="20"/>
                <w:szCs w:val="20"/>
              </w:rPr>
              <w:t xml:space="preserve">12%</w:t>
            </w:r>
          </w:p>
        </w:tc>
      </w:tr>
    </w:tbl>
    <w:p>
      <w:pPr>
        <w:spacing w:after="200" w:before="80" w:line="240"/>
      </w:pPr>
      <w:r>
        <w:rPr>
          <w:rFonts w:ascii="Times New Roman" w:cs="Times New Roman" w:eastAsia="Times New Roman" w:hAnsi="Times New Roman"/>
          <w:i/>
          <w:iCs/>
          <w:sz w:val="20"/>
          <w:szCs w:val="20"/>
        </w:rPr>
        <w:t xml:space="preserve">Table 5. Multi-turn consistency and sycophancy results on the 100-item English subset.</w:t>
      </w:r>
    </w:p>
    <w:p>
      <w:pPr>
        <w:spacing w:after="0" w:line="480"/>
      </w:pPr>
      <w:r>
        <w:rPr>
          <w:rFonts w:ascii="Times New Roman" w:cs="Times New Roman" w:eastAsia="Times New Roman" w:hAnsi="Times New Roman"/>
          <w:sz w:val="24"/>
          <w:szCs w:val="24"/>
        </w:rPr>
        <w:t xml:space="preserve">Two notes on Table 5. First, </w:t>
      </w:r>
      <w:r>
        <w:rPr>
          <w:rFonts w:ascii="Times New Roman" w:cs="Times New Roman" w:eastAsia="Times New Roman" w:hAnsi="Times New Roman"/>
          <w:b/>
          <w:bCs/>
          <w:color w:val="C00000"/>
          <w:sz w:val="24"/>
          <w:szCs w:val="24"/>
        </w:rPr>
        <w:t xml:space="preserve">[TO FILL: confirm with the metric owner: exact definitions distinguishing the contradiction rate and challenge change rate columns, and where the false adoption rate defined in Section 3.4 appears]</w:t>
      </w:r>
      <w:r>
        <w:rPr>
          <w:rFonts w:ascii="Times New Roman" w:cs="Times New Roman" w:eastAsia="Times New Roman" w:hAnsi="Times New Roman"/>
          <w:sz w:val="24"/>
          <w:szCs w:val="24"/>
        </w:rPr>
        <w:t xml:space="preserve">. Second, initial accuracy here (44% for the instruction-tuned model) differs slightly from the multiple-choice accuracy in Table 2 (48%) because the two pipelines elicit and parse answers differently; </w:t>
      </w:r>
      <w:r>
        <w:rPr>
          <w:rFonts w:ascii="Times New Roman" w:cs="Times New Roman" w:eastAsia="Times New Roman" w:hAnsi="Times New Roman"/>
          <w:b/>
          <w:bCs/>
          <w:color w:val="C00000"/>
          <w:sz w:val="24"/>
          <w:szCs w:val="24"/>
        </w:rPr>
        <w:t xml:space="preserve">[TO FILL: confirm pipeline difference wording with owners]</w:t>
      </w:r>
      <w:r>
        <w:rPr>
          <w:rFonts w:ascii="Times New Roman" w:cs="Times New Roman" w:eastAsia="Times New Roman" w:hAnsi="Times New Roman"/>
          <w:sz w:val="24"/>
          <w:szCs w:val="24"/>
        </w:rPr>
        <w:t xml:space="preserve">.</w:t>
      </w:r>
    </w:p>
    <w:p>
      <w:pPr>
        <w:pStyle w:val="Heading1"/>
        <w:spacing w:after="120" w:before="240" w:line="480"/>
      </w:pPr>
      <w:r>
        <w:rPr>
          <w:rFonts w:ascii="Times New Roman" w:cs="Times New Roman" w:eastAsia="Times New Roman" w:hAnsi="Times New Roman"/>
          <w:b/>
          <w:bCs/>
          <w:sz w:val="28"/>
          <w:szCs w:val="28"/>
        </w:rPr>
        <w:t xml:space="preserve">5. Discussion of Results</w:t>
      </w:r>
    </w:p>
    <w:p>
      <w:pPr>
        <w:pStyle w:val="Heading2"/>
        <w:spacing w:after="100" w:before="180" w:line="480"/>
      </w:pPr>
      <w:r>
        <w:rPr>
          <w:rFonts w:ascii="Times New Roman" w:cs="Times New Roman" w:eastAsia="Times New Roman" w:hAnsi="Times New Roman"/>
          <w:b/>
          <w:bCs/>
          <w:sz w:val="24"/>
          <w:szCs w:val="24"/>
        </w:rPr>
        <w:t xml:space="preserve">5.1 Cross-lingual shift: capability collapses in the low-resource language</w:t>
      </w:r>
    </w:p>
    <w:p>
      <w:pPr>
        <w:spacing w:after="0" w:line="480"/>
      </w:pPr>
      <w:r>
        <w:rPr>
          <w:rFonts w:ascii="Times New Roman" w:cs="Times New Roman" w:eastAsia="Times New Roman" w:hAnsi="Times New Roman"/>
          <w:sz w:val="24"/>
          <w:szCs w:val="24"/>
        </w:rPr>
        <w:t xml:space="preserve">The instruction-tuned model loses about a third of its English capability in Basque: 48% falls to 31%, an LPI of 0.646, and lands below the base model's 38% on the identical items. Spanish holds up well (45%, LPI 0.938). The pattern suggests that the capability gains from instruction tuning are concentrated in high-resource languages and do not transfer to Basque. For deployment this is an equal-access problem: a multilingual legal assistant would silently serve Basque-speaking users a categorically worse product while presenting the same interface, and Section 5.2 shows it would do so with higher confidence.</w:t>
      </w:r>
    </w:p>
    <w:p>
      <w:pPr>
        <w:spacing w:after="0" w:line="480"/>
      </w:pPr>
      <w:r>
        <w:rPr>
          <w:rFonts w:ascii="Times New Roman" w:cs="Times New Roman" w:eastAsia="Times New Roman" w:hAnsi="Times New Roman"/>
          <w:sz w:val="24"/>
          <w:szCs w:val="24"/>
        </w:rPr>
        <w:t xml:space="preserve">The base model's near-flat profile across languages (39/37/38%) deserves care rather than credit. Its Basque LPI of 0.974 looks like robustness, but the model is uniformly weak everywhere, only moderately above the 25% chance floor. This is exactly why LPI must be read together with absolute accuracy: parity between two bad numbers is not safety. What this metric cannot tell us: we measured an accuracy gap, not a refusal-rate gap, so the finding covers competence shift rather than the full safety alignment shift described in the assignment; and because some common-law terms carry English parentheticals in translation, the model can partially anchor on English text, which would understate the true gap.</w:t>
      </w:r>
    </w:p>
    <w:p>
      <w:pPr>
        <w:pStyle w:val="Heading2"/>
        <w:spacing w:after="100" w:before="180" w:line="480"/>
      </w:pPr>
      <w:r>
        <w:rPr>
          <w:rFonts w:ascii="Times New Roman" w:cs="Times New Roman" w:eastAsia="Times New Roman" w:hAnsi="Times New Roman"/>
          <w:b/>
          <w:bCs/>
          <w:sz w:val="24"/>
          <w:szCs w:val="24"/>
        </w:rPr>
        <w:t xml:space="preserve">5.2 Calibration: instruction tuning buys accuracy and pays in overconfidence</w:t>
      </w:r>
    </w:p>
    <w:p>
      <w:pPr>
        <w:spacing w:after="0" w:line="480"/>
      </w:pPr>
      <w:r>
        <w:rPr>
          <w:rFonts w:ascii="Times New Roman" w:cs="Times New Roman" w:eastAsia="Times New Roman" w:hAnsi="Times New Roman"/>
          <w:sz w:val="24"/>
          <w:szCs w:val="24"/>
        </w:rPr>
        <w:t xml:space="preserve">The base model is reasonably calibrated (ECE between 0.042 and 0.093 across runs) but weak; the instruction-tuned model is more accurate and severely overconfident, with ECE around 0.41 in every language and 0.488 in Basque. The worst calibration occurs exactly where accuracy is lowest, which is the dangerous quadrant for a legal assistant: most confident where most wrong. Practically, this means the instruction-tuned model's confidence cannot be used as an escalation signal (for example, routing low-confidence questions to a human lawyer) without recalibration. The architectural caveat: we measure confidence over answer tokens in a multiple-choice format; the verbal confidence a user reads in a prose answer is a different signal and can diverge further.</w:t>
      </w:r>
    </w:p>
    <w:p>
      <w:pPr>
        <w:pStyle w:val="Heading2"/>
        <w:spacing w:after="100" w:before="180" w:line="480"/>
      </w:pPr>
      <w:r>
        <w:rPr>
          <w:rFonts w:ascii="Times New Roman" w:cs="Times New Roman" w:eastAsia="Times New Roman" w:hAnsi="Times New Roman"/>
          <w:b/>
          <w:bCs/>
          <w:sz w:val="24"/>
          <w:szCs w:val="24"/>
        </w:rPr>
        <w:t xml:space="preserve">5.3 Sycophancy and consistency: the aligned model is the agreeable one</w:t>
      </w:r>
    </w:p>
    <w:p>
      <w:pPr>
        <w:spacing w:after="0" w:line="480"/>
      </w:pPr>
      <w:r>
        <w:rPr>
          <w:rFonts w:ascii="Times New Roman" w:cs="Times New Roman" w:eastAsia="Times New Roman" w:hAnsi="Times New Roman"/>
          <w:sz w:val="24"/>
          <w:szCs w:val="24"/>
        </w:rPr>
        <w:t xml:space="preserve">Under a single confident challenge from a user, the instruction-tuned model changed its answer 80% of the time, versus 22% for the base model, and flipped from a correct answer to the user's wrong answer 12% of the time. Both models lost three points of accuracy after pressure. The instruction-tuned model's low contradiction rate (6%) alongside its very high challenge change rate indicates a model that stays coherent within its final story but readily abandons its original position when pushed. For legal use this is a false-reassurance risk: a client who confidently misstates the law will usually take the assistant with them. What this cannot tell us: we tested one pressure phrasing in one turn; real users escalate, rephrase, and appeal to authority, and the multiple-choice format cannot capture hedged capitulation that stops short of changing the answer letter.</w:t>
      </w:r>
    </w:p>
    <w:p>
      <w:pPr>
        <w:pStyle w:val="Heading2"/>
        <w:spacing w:after="100" w:before="180" w:line="480"/>
      </w:pPr>
      <w:r>
        <w:rPr>
          <w:rFonts w:ascii="Times New Roman" w:cs="Times New Roman" w:eastAsia="Times New Roman" w:hAnsi="Times New Roman"/>
          <w:b/>
          <w:bCs/>
          <w:sz w:val="24"/>
          <w:szCs w:val="24"/>
        </w:rPr>
        <w:t xml:space="preserve">5.4 Overall capability context</w:t>
      </w:r>
    </w:p>
    <w:p>
      <w:pPr>
        <w:spacing w:after="0" w:line="480"/>
      </w:pPr>
      <w:r>
        <w:rPr>
          <w:rFonts w:ascii="Times New Roman" w:cs="Times New Roman" w:eastAsia="Times New Roman" w:hAnsi="Times New Roman"/>
          <w:sz w:val="24"/>
          <w:szCs w:val="24"/>
        </w:rPr>
        <w:t xml:space="preserve">Every headline number sits below 50% accuracy on bar-exam-style questions, in every language, for both models (chance is 25%). The full 1,534-question English run (40.9% base, 45.6% instruction-tuned) confirms the subset is representative. Whatever the safety metrics say, neither model has the competence floor required for legal advice; the scorecard's value is in showing that the failure modes worsen selectively (in Basque, under pressure, and in confidence) rather than uniformly.</w:t>
      </w:r>
    </w:p>
    <w:p>
      <w:pPr>
        <w:pStyle w:val="Heading1"/>
        <w:spacing w:after="120" w:before="240" w:line="480"/>
      </w:pPr>
      <w:r>
        <w:rPr>
          <w:rFonts w:ascii="Times New Roman" w:cs="Times New Roman" w:eastAsia="Times New Roman" w:hAnsi="Times New Roman"/>
          <w:b/>
          <w:bCs/>
          <w:sz w:val="28"/>
          <w:szCs w:val="28"/>
        </w:rPr>
        <w:t xml:space="preserve">6. Limitations</w:t>
      </w:r>
    </w:p>
    <w:p>
      <w:pPr>
        <w:pStyle w:val="ListParagraph"/>
        <w:numPr>
          <w:ilvl w:val="0"/>
          <w:numId w:val="2"/>
        </w:numPr>
        <w:spacing w:line="480"/>
      </w:pPr>
      <w:r>
        <w:rPr>
          <w:rFonts w:ascii="Times New Roman" w:cs="Times New Roman" w:eastAsia="Times New Roman" w:hAnsi="Times New Roman"/>
          <w:sz w:val="24"/>
          <w:szCs w:val="24"/>
        </w:rPr>
        <w:t xml:space="preserve">Benchmark proxy: multiple-choice bar-exam questions measure legal knowledge recall, not open-ended legal advice, drafting, or citation behavior.</w:t>
      </w:r>
    </w:p>
    <w:p>
      <w:pPr>
        <w:pStyle w:val="ListParagraph"/>
        <w:numPr>
          <w:ilvl w:val="0"/>
          <w:numId w:val="2"/>
        </w:numPr>
        <w:spacing w:line="480"/>
      </w:pPr>
      <w:r>
        <w:rPr>
          <w:rFonts w:ascii="Times New Roman" w:cs="Times New Roman" w:eastAsia="Times New Roman" w:hAnsi="Times New Roman"/>
          <w:sz w:val="24"/>
          <w:szCs w:val="24"/>
        </w:rPr>
        <w:t xml:space="preserve">Sample size: the paired benchmark is 100 items per language; small differences (a few percentage points) are within noise, though the Basque collapse is far larger than that.</w:t>
      </w:r>
    </w:p>
    <w:p>
      <w:pPr>
        <w:pStyle w:val="ListParagraph"/>
        <w:numPr>
          <w:ilvl w:val="0"/>
          <w:numId w:val="2"/>
        </w:numPr>
        <w:spacing w:line="480"/>
      </w:pPr>
      <w:r>
        <w:rPr>
          <w:rFonts w:ascii="Times New Roman" w:cs="Times New Roman" w:eastAsia="Times New Roman" w:hAnsi="Times New Roman"/>
          <w:sz w:val="24"/>
          <w:szCs w:val="24"/>
        </w:rPr>
        <w:t xml:space="preserve">Translation pipeline: translations were LLM-generated with glossary control and validation, but were not reviewed by native-speaker legal professionals. Known caveats, including English parentheticals for untranslatable common-law terms and cleaned source typos, are logged in data/TRANSLATION_NOTES.md; the parentheticals likely make our Basque shift estimate conservative.</w:t>
      </w:r>
    </w:p>
    <w:p>
      <w:pPr>
        <w:pStyle w:val="ListParagraph"/>
        <w:numPr>
          <w:ilvl w:val="0"/>
          <w:numId w:val="2"/>
        </w:numPr>
        <w:spacing w:line="480"/>
      </w:pPr>
      <w:r>
        <w:rPr>
          <w:rFonts w:ascii="Times New Roman" w:cs="Times New Roman" w:eastAsia="Times New Roman" w:hAnsi="Times New Roman"/>
          <w:sz w:val="24"/>
          <w:szCs w:val="24"/>
        </w:rPr>
        <w:t xml:space="preserve">Sycophancy design: one scripted pressure pattern; adoption of the user's specific wrong answer versus a different wrong answer is only partly separable in the current metric set.</w:t>
      </w:r>
    </w:p>
    <w:p>
      <w:pPr>
        <w:pStyle w:val="ListParagraph"/>
        <w:numPr>
          <w:ilvl w:val="0"/>
          <w:numId w:val="2"/>
        </w:numPr>
        <w:spacing w:line="480"/>
      </w:pPr>
      <w:r>
        <w:rPr>
          <w:rFonts w:ascii="Times New Roman" w:cs="Times New Roman" w:eastAsia="Times New Roman" w:hAnsi="Times New Roman"/>
          <w:sz w:val="24"/>
          <w:szCs w:val="24"/>
        </w:rPr>
        <w:t xml:space="preserve">Confidence signal: ECE is computed from answer-token confidence in a forced-choice format, not from the verbalized certainty users would see.</w:t>
      </w:r>
    </w:p>
    <w:p>
      <w:pPr>
        <w:pStyle w:val="ListParagraph"/>
        <w:numPr>
          <w:ilvl w:val="0"/>
          <w:numId w:val="2"/>
        </w:numPr>
        <w:spacing w:line="480"/>
      </w:pPr>
      <w:r>
        <w:rPr>
          <w:rFonts w:ascii="Times New Roman" w:cs="Times New Roman" w:eastAsia="Times New Roman" w:hAnsi="Times New Roman"/>
          <w:b/>
          <w:bCs/>
          <w:color w:val="C00000"/>
          <w:sz w:val="24"/>
          <w:szCs w:val="24"/>
        </w:rPr>
        <w:t xml:space="preserve">[TO FILL: judge limitations once the LLM-as-judge sections land, including that Gemma-family judges evaluating Gemma outputs share training lineage]</w:t>
      </w:r>
    </w:p>
    <w:p>
      <w:pPr>
        <w:pStyle w:val="Heading1"/>
        <w:spacing w:after="120" w:before="240" w:line="480"/>
      </w:pPr>
      <w:r>
        <w:rPr>
          <w:rFonts w:ascii="Times New Roman" w:cs="Times New Roman" w:eastAsia="Times New Roman" w:hAnsi="Times New Roman"/>
          <w:b/>
          <w:bCs/>
          <w:sz w:val="28"/>
          <w:szCs w:val="28"/>
        </w:rPr>
        <w:t xml:space="preserve">7. Proposed Metric (Bonus): Language Parity Index</w:t>
      </w:r>
    </w:p>
    <w:p>
      <w:pPr>
        <w:spacing w:after="0" w:line="480"/>
      </w:pPr>
      <w:r>
        <w:rPr>
          <w:rFonts w:ascii="Times New Roman" w:cs="Times New Roman" w:eastAsia="Times New Roman" w:hAnsi="Times New Roman"/>
          <w:sz w:val="24"/>
          <w:szCs w:val="24"/>
        </w:rPr>
        <w:t xml:space="preserve">We propose the Language Parity Index as a reusable safety metric for multilingual deployment: LPI(language) = accuracy(language) / accuracy(English baseline). It is dimensionless, comparable across models and datasets, and directly encodes the deployment question: what fraction of the English-language product are non-English users actually getting? In our results it cleanly separates a healthy language (Spanish, 0.938) from a collapsed one (Basque, 0.646).</w:t>
      </w:r>
    </w:p>
    <w:p>
      <w:pPr>
        <w:spacing w:after="0" w:line="480"/>
      </w:pPr>
      <w:r>
        <w:rPr>
          <w:rFonts w:ascii="Times New Roman" w:cs="Times New Roman" w:eastAsia="Times New Roman" w:hAnsi="Times New Roman"/>
          <w:sz w:val="24"/>
          <w:szCs w:val="24"/>
        </w:rPr>
        <w:t xml:space="preserve">LPI has a failure mode our own results demonstrate: a uniformly weak model shows high parity (the base model reaches 0.974 in Basque while barely beating chance anywhere). We therefore specify that LPI must be reported alongside absolute accuracy and the chance baseline, and is only meaningful when the English baseline is materially above chance. A deployment gate might read: LPI at or above 0.9 for every supported language, with English accuracy above an absolute competence floor.</w:t>
      </w:r>
    </w:p>
    <w:p>
      <w:pPr>
        <w:pStyle w:val="Heading1"/>
        <w:spacing w:after="120" w:before="240" w:line="480"/>
      </w:pPr>
      <w:r>
        <w:rPr>
          <w:rFonts w:ascii="Times New Roman" w:cs="Times New Roman" w:eastAsia="Times New Roman" w:hAnsi="Times New Roman"/>
          <w:b/>
          <w:bCs/>
          <w:sz w:val="28"/>
          <w:szCs w:val="28"/>
        </w:rPr>
        <w:t xml:space="preserve">8. Conclusion and Deployment Recommendation</w:t>
      </w:r>
    </w:p>
    <w:p>
      <w:pPr>
        <w:spacing w:after="0" w:line="480"/>
      </w:pPr>
      <w:r>
        <w:rPr>
          <w:rFonts w:ascii="Times New Roman" w:cs="Times New Roman" w:eastAsia="Times New Roman" w:hAnsi="Times New Roman"/>
          <w:sz w:val="24"/>
          <w:szCs w:val="24"/>
        </w:rPr>
        <w:t xml:space="preserve">Treated as a legal AI assistant, gemma-4-E2B-it fails the scorecard on three independent axes: it cannot be trusted about its own uncertainty (ECE 0.410), it cannot hold a correct position against a confidently wrong user (80% challenge change rate), and its capability silently collapses for Basque speakers (LPI 0.646). The base model avoids the overconfidence and sycophancy failures but lacks the competence to be useful. Our recommendation is that neither variant should be deployed as a legal assistant in any language. If a system were built around models of this class, the scorecard implies three launch gates: recalibrated or externally-verified confidence before any escalation logic, adversarial pressure testing on multi-turn conversations, and per-language parity requirements so that adding a language is treated as a safety decision, not a localization checkbox.</w:t>
      </w:r>
    </w:p>
    <w:p>
      <w:pPr>
        <w:spacing w:after="120" w:line="240"/>
      </w:pPr>
    </w:p>
    <w:p>
      <w:pPr>
        <w:spacing w:after="0" w:line="480"/>
      </w:pPr>
      <w:r>
        <w:rPr>
          <w:rFonts w:ascii="Times New Roman" w:cs="Times New Roman" w:eastAsia="Times New Roman" w:hAnsi="Times New Roman"/>
          <w:b/>
          <w:bCs/>
          <w:sz w:val="24"/>
          <w:szCs w:val="24"/>
        </w:rPr>
        <w:t xml:space="preserve">Repository: </w:t>
      </w:r>
      <w:hyperlink w:history="1" r:id="rIdlxi8xz6fhouojay1n8cck">
        <w:r>
          <w:rPr>
            <w:rStyle w:val="Hyperlink"/>
            <w:rFonts w:ascii="Times New Roman" w:cs="Times New Roman" w:eastAsia="Times New Roman" w:hAnsi="Times New Roman"/>
            <w:sz w:val="24"/>
            <w:szCs w:val="24"/>
          </w:rPr>
          <w:t xml:space="preserve">https://github.com/nathanctodd/legal-llm-metrics</w:t>
        </w:r>
      </w:hyperlink>
      <w:r>
        <w:rPr>
          <w:rFonts w:ascii="Times New Roman" w:cs="Times New Roman" w:eastAsia="Times New Roman" w:hAnsi="Times New Roman"/>
          <w:sz w:val="24"/>
          <w:szCs w:val="24"/>
        </w:rPr>
        <w:t xml:space="preserve">. Data: data/subset_100_{en,es,eu}.json and data/TRANSLATION_NOTES.md. Code: code/ and calibration_eval.ipynb. Raw outputs and plots: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a9hjgi0puqdghpwdaak3" Type="http://schemas.openxmlformats.org/officeDocument/2006/relationships/hyperlink" Target="https://github.com/nathanctodd/legal-llm-metrics" TargetMode="External"/><Relationship Id="rIdlxi8xz6fhouojay1n8cck" Type="http://schemas.openxmlformats.org/officeDocument/2006/relationships/hyperlink" Target="https://github.com/nathanctodd/legal-llm-metric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2026-07-08T17:32:59.007Z</dcterms:created>
  <dcterms:modified xsi:type="dcterms:W3CDTF">2026-07-08T17:32:59.014Z</dcterms:modified>
</cp:coreProperties>
</file>

<file path=docProps/custom.xml><?xml version="1.0" encoding="utf-8"?>
<Properties xmlns="http://schemas.openxmlformats.org/officeDocument/2006/custom-properties" xmlns:vt="http://schemas.openxmlformats.org/officeDocument/2006/docPropsVTypes"/>
</file>