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60"/>
        <w:jc w:val="center"/>
      </w:pPr>
      <w:r>
        <w:rPr>
          <w:rFonts w:ascii="Times New Roman" w:cs="Times New Roman" w:eastAsia="Times New Roman" w:hAnsi="Times New Roman"/>
          <w:b/>
          <w:bCs/>
          <w:sz w:val="32"/>
          <w:szCs w:val="32"/>
        </w:rPr>
        <w:t xml:space="preserve">Safety Evaluation Scorecard for a Legal AI Assistant</w:t>
      </w:r>
    </w:p>
    <w:p>
      <w:pPr>
        <w:spacing w:after="0" w:line="360"/>
        <w:jc w:val="center"/>
      </w:pPr>
      <w:r>
        <w:rPr>
          <w:rFonts w:ascii="Times New Roman" w:cs="Times New Roman" w:eastAsia="Times New Roman" w:hAnsi="Times New Roman"/>
          <w:sz w:val="24"/>
          <w:szCs w:val="24"/>
        </w:rPr>
        <w:t xml:space="preserve">DS6051, Decoding Large Language Models. Hackathon Final Report. July 8, 2026.</w:t>
      </w:r>
    </w:p>
    <w:p>
      <w:pPr>
        <w:spacing w:after="0" w:line="360"/>
        <w:jc w:val="center"/>
      </w:pPr>
      <w:r>
        <w:rPr>
          <w:rFonts w:ascii="Times New Roman" w:cs="Times New Roman" w:eastAsia="Times New Roman" w:hAnsi="Times New Roman"/>
          <w:sz w:val="24"/>
          <w:szCs w:val="24"/>
        </w:rPr>
        <w:t xml:space="preserve">Team: Hudson Noyes, Ryan Dallas, Lino De Ros, Jackson Kennedy, Nathan Todd</w:t>
      </w:r>
    </w:p>
    <w:p>
      <w:pPr>
        <w:spacing w:after="0" w:line="360"/>
        <w:jc w:val="center"/>
      </w:pPr>
      <w:r>
        <w:rPr>
          <w:rFonts w:ascii="Times New Roman" w:cs="Times New Roman" w:eastAsia="Times New Roman" w:hAnsi="Times New Roman"/>
          <w:sz w:val="24"/>
          <w:szCs w:val="24"/>
        </w:rPr>
        <w:t xml:space="preserve">Code: </w:t>
      </w:r>
      <w:hyperlink w:history="1" r:id="rIdhuvltgvj_jvctp6qpf-i0">
        <w:r>
          <w:rPr>
            <w:rStyle w:val="Hyperlink"/>
            <w:rFonts w:ascii="Times New Roman" w:cs="Times New Roman" w:eastAsia="Times New Roman" w:hAnsi="Times New Roman"/>
            <w:sz w:val="24"/>
            <w:szCs w:val="24"/>
          </w:rPr>
          <w:t xml:space="preserve">github.com/nathanctodd/legal-llm-metrics</w:t>
        </w:r>
      </w:hyperlink>
      <w:r>
        <w:rPr>
          <w:rFonts w:ascii="Times New Roman" w:cs="Times New Roman" w:eastAsia="Times New Roman" w:hAnsi="Times New Roman"/>
          <w:sz w:val="24"/>
          <w:szCs w:val="24"/>
        </w:rPr>
        <w:t xml:space="preserve">    Devpost: </w:t>
      </w:r>
      <w:hyperlink w:history="1" r:id="rIdgbrwt-tvbvmwyhyhkb_nu">
        <w:r>
          <w:rPr>
            <w:rStyle w:val="Hyperlink"/>
            <w:rFonts w:ascii="Times New Roman" w:cs="Times New Roman" w:eastAsia="Times New Roman" w:hAnsi="Times New Roman"/>
            <w:sz w:val="24"/>
            <w:szCs w:val="24"/>
          </w:rPr>
          <w:t xml:space="preserve">devpost.com/software/uva-decoding-llms-project</w:t>
        </w:r>
      </w:hyperlink>
    </w:p>
    <w:p>
      <w:pPr>
        <w:spacing w:after="160" w:line="360"/>
        <w:jc w:val="center"/>
      </w:pPr>
      <w:r>
        <w:rPr>
          <w:rFonts w:ascii="Times New Roman" w:cs="Times New Roman" w:eastAsia="Times New Roman" w:hAnsi="Times New Roman"/>
          <w:sz w:val="24"/>
          <w:szCs w:val="24"/>
        </w:rPr>
        <w:t xml:space="preserve">Video: </w:t>
      </w:r>
      <w:r>
        <w:rPr>
          <w:rFonts w:ascii="Times New Roman" w:cs="Times New Roman" w:eastAsia="Times New Roman" w:hAnsi="Times New Roman"/>
          <w:b/>
          <w:bCs/>
          <w:color w:val="C00000"/>
          <w:sz w:val="24"/>
          <w:szCs w:val="24"/>
        </w:rPr>
        <w:t xml:space="preserve">[TO FILL: video link]</w:t>
      </w:r>
    </w:p>
    <w:p>
      <w:pPr>
        <w:pStyle w:val="Heading1"/>
        <w:spacing w:after="60" w:before="120" w:line="360"/>
      </w:pPr>
      <w:r>
        <w:rPr>
          <w:rFonts w:ascii="Times New Roman" w:cs="Times New Roman" w:eastAsia="Times New Roman" w:hAnsi="Times New Roman"/>
          <w:b/>
          <w:bCs/>
          <w:sz w:val="28"/>
          <w:szCs w:val="28"/>
        </w:rPr>
        <w:t xml:space="preserve">1. Project Overview</w:t>
      </w:r>
    </w:p>
    <w:p>
      <w:pPr>
        <w:spacing w:after="0" w:line="480"/>
      </w:pPr>
      <w:r>
        <w:rPr>
          <w:rFonts w:ascii="Times New Roman" w:cs="Times New Roman" w:eastAsia="Times New Roman" w:hAnsi="Times New Roman"/>
          <w:sz w:val="24"/>
          <w:szCs w:val="24"/>
        </w:rPr>
        <w:t xml:space="preserve">This project treats a general-purpose open-weight language model as if it had been built and deployed as a consumer-facing legal AI assistant, and asks whether it is safe to deploy in that role. We evaluate google/gemma-4-E2B (base) and google/gemma-4-E2B-it (instruction-tuned) against a five-metric safety scorecard built for the legal domain: factual consistency, sycophancy, calibration, cross-lingual safety distribution shift (our centerpiece), and citation accuracy. For each metric we answer what we measure, why, how, and what the measurement cannot tell us. This is an evaluation exercise only; no model was trained or fine-tuned. All automated metrics run on a fixed 100-question subset of MMLU professional_law translated into Spanish and Basque, a deliberately low-resource choice.</w:t>
      </w:r>
    </w:p>
    <w:p>
      <w:pPr>
        <w:spacing w:after="0" w:line="480"/>
      </w:pPr>
      <w:r>
        <w:rPr>
          <w:rFonts w:ascii="Times New Roman" w:cs="Times New Roman" w:eastAsia="Times New Roman" w:hAnsi="Times New Roman"/>
          <w:sz w:val="24"/>
          <w:szCs w:val="24"/>
        </w:rPr>
        <w:t xml:space="preserve">Three findings lead the results. First, instruction tuning helps English competence but not safety: accuracy rises from 39% to 48% while expected calibration error rises from 0.093 to 0.410. Second, the instruction-tuned model is highly deferential under social pressure, changing its answer 80% of the time when a user confidently asserts a wrong one. Third, its capability collapses in Basque, falling from 48% in English to 31% (Language Parity Index 0.646), below even the base model on identical items. Both models stay under 50% accuracy in every language; neither is close to deployable.</w:t>
      </w:r>
    </w:p>
    <w:p>
      <w:pPr>
        <w:pStyle w:val="Heading1"/>
        <w:spacing w:after="60" w:before="120" w:line="360"/>
      </w:pPr>
      <w:r>
        <w:rPr>
          <w:rFonts w:ascii="Times New Roman" w:cs="Times New Roman" w:eastAsia="Times New Roman" w:hAnsi="Times New Roman"/>
          <w:b/>
          <w:bCs/>
          <w:sz w:val="28"/>
          <w:szCs w:val="28"/>
        </w:rPr>
        <w:t xml:space="preserve">2. Scorecard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1650"/>
        <w:gridCol w:w="2500"/>
        <w:gridCol w:w="1780"/>
        <w:gridCol w:w="1980"/>
      </w:tblGrid>
      <w:tr>
        <w:tc>
          <w:tcPr>
            <w:tcW w:type="dxa" w:w="1450"/>
            <w:tcBorders>
              <w:top w:val="single" w:color="999999" w:sz="1"/>
              <w:left w:val="single" w:color="999999" w:sz="1"/>
              <w:bottom w:val="single" w:color="999999" w:sz="1"/>
              <w:right w:val="single" w:color="999999" w:sz="1"/>
            </w:tcBorders>
            <w:shd w:fill="E8EDF4" w:val="clear"/>
            <w:tcMar>
              <w:top w:type="dxa" w:w="60"/>
              <w:left w:type="dxa" w:w="100"/>
              <w:bottom w:type="dxa" w:w="60"/>
              <w:right w:type="dxa" w:w="100"/>
            </w:tcMar>
          </w:tcPr>
          <w:p>
            <w:pPr>
              <w:spacing w:after="40" w:line="240"/>
            </w:pPr>
            <w:r>
              <w:rPr>
                <w:rFonts w:ascii="Times New Roman" w:cs="Times New Roman" w:eastAsia="Times New Roman" w:hAnsi="Times New Roman"/>
                <w:b/>
                <w:bCs/>
                <w:sz w:val="20"/>
                <w:szCs w:val="20"/>
              </w:rPr>
              <w:t xml:space="preserve">Metric</w:t>
            </w:r>
          </w:p>
        </w:tc>
        <w:tc>
          <w:tcPr>
            <w:tcW w:type="dxa" w:w="1650"/>
            <w:tcBorders>
              <w:top w:val="single" w:color="999999" w:sz="1"/>
              <w:left w:val="single" w:color="999999" w:sz="1"/>
              <w:bottom w:val="single" w:color="999999" w:sz="1"/>
              <w:right w:val="single" w:color="999999" w:sz="1"/>
            </w:tcBorders>
            <w:shd w:fill="E8EDF4" w:val="clear"/>
            <w:tcMar>
              <w:top w:type="dxa" w:w="60"/>
              <w:left w:type="dxa" w:w="100"/>
              <w:bottom w:type="dxa" w:w="60"/>
              <w:right w:type="dxa" w:w="100"/>
            </w:tcMar>
          </w:tcPr>
          <w:p>
            <w:pPr>
              <w:spacing w:after="40" w:line="240"/>
            </w:pPr>
            <w:r>
              <w:rPr>
                <w:rFonts w:ascii="Times New Roman" w:cs="Times New Roman" w:eastAsia="Times New Roman" w:hAnsi="Times New Roman"/>
                <w:b/>
                <w:bCs/>
                <w:sz w:val="20"/>
                <w:szCs w:val="20"/>
              </w:rPr>
              <w:t xml:space="preserve">Result</w:t>
            </w:r>
          </w:p>
        </w:tc>
        <w:tc>
          <w:tcPr>
            <w:tcW w:type="dxa" w:w="2500"/>
            <w:tcBorders>
              <w:top w:val="single" w:color="999999" w:sz="1"/>
              <w:left w:val="single" w:color="999999" w:sz="1"/>
              <w:bottom w:val="single" w:color="999999" w:sz="1"/>
              <w:right w:val="single" w:color="999999" w:sz="1"/>
            </w:tcBorders>
            <w:shd w:fill="E8EDF4" w:val="clear"/>
            <w:tcMar>
              <w:top w:type="dxa" w:w="60"/>
              <w:left w:type="dxa" w:w="100"/>
              <w:bottom w:type="dxa" w:w="60"/>
              <w:right w:type="dxa" w:w="100"/>
            </w:tcMar>
          </w:tcPr>
          <w:p>
            <w:pPr>
              <w:spacing w:after="40" w:line="240"/>
            </w:pPr>
            <w:r>
              <w:rPr>
                <w:rFonts w:ascii="Times New Roman" w:cs="Times New Roman" w:eastAsia="Times New Roman" w:hAnsi="Times New Roman"/>
                <w:b/>
                <w:bCs/>
                <w:sz w:val="20"/>
                <w:szCs w:val="20"/>
              </w:rPr>
              <w:t xml:space="preserve">Why it needs to be included for this use case</w:t>
            </w:r>
          </w:p>
        </w:tc>
        <w:tc>
          <w:tcPr>
            <w:tcW w:type="dxa" w:w="1780"/>
            <w:tcBorders>
              <w:top w:val="single" w:color="999999" w:sz="1"/>
              <w:left w:val="single" w:color="999999" w:sz="1"/>
              <w:bottom w:val="single" w:color="999999" w:sz="1"/>
              <w:right w:val="single" w:color="999999" w:sz="1"/>
            </w:tcBorders>
            <w:shd w:fill="E8EDF4" w:val="clear"/>
            <w:tcMar>
              <w:top w:type="dxa" w:w="60"/>
              <w:left w:type="dxa" w:w="100"/>
              <w:bottom w:type="dxa" w:w="60"/>
              <w:right w:type="dxa" w:w="100"/>
            </w:tcMar>
          </w:tcPr>
          <w:p>
            <w:pPr>
              <w:spacing w:after="40" w:line="240"/>
            </w:pPr>
            <w:r>
              <w:rPr>
                <w:rFonts w:ascii="Times New Roman" w:cs="Times New Roman" w:eastAsia="Times New Roman" w:hAnsi="Times New Roman"/>
                <w:b/>
                <w:bCs/>
                <w:sz w:val="20"/>
                <w:szCs w:val="20"/>
              </w:rPr>
              <w:t xml:space="preserve">How it's measured</w:t>
            </w:r>
          </w:p>
        </w:tc>
        <w:tc>
          <w:tcPr>
            <w:tcW w:type="dxa" w:w="1980"/>
            <w:tcBorders>
              <w:top w:val="single" w:color="999999" w:sz="1"/>
              <w:left w:val="single" w:color="999999" w:sz="1"/>
              <w:bottom w:val="single" w:color="999999" w:sz="1"/>
              <w:right w:val="single" w:color="999999" w:sz="1"/>
            </w:tcBorders>
            <w:shd w:fill="E8EDF4" w:val="clear"/>
            <w:tcMar>
              <w:top w:type="dxa" w:w="60"/>
              <w:left w:type="dxa" w:w="100"/>
              <w:bottom w:type="dxa" w:w="60"/>
              <w:right w:type="dxa" w:w="100"/>
            </w:tcMar>
          </w:tcPr>
          <w:p>
            <w:pPr>
              <w:spacing w:after="40" w:line="240"/>
            </w:pPr>
            <w:r>
              <w:rPr>
                <w:rFonts w:ascii="Times New Roman" w:cs="Times New Roman" w:eastAsia="Times New Roman" w:hAnsi="Times New Roman"/>
                <w:b/>
                <w:bCs/>
                <w:sz w:val="20"/>
                <w:szCs w:val="20"/>
              </w:rPr>
              <w:t xml:space="preserve">Limitations</w:t>
            </w:r>
          </w:p>
        </w:tc>
      </w:tr>
      <w:tr>
        <w:tc>
          <w:tcPr>
            <w:tcW w:type="dxa" w:w="145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line="240"/>
            </w:pPr>
            <w:r>
              <w:rPr>
                <w:rFonts w:ascii="Times New Roman" w:cs="Times New Roman" w:eastAsia="Times New Roman" w:hAnsi="Times New Roman"/>
                <w:b w:val="false"/>
                <w:bCs w:val="false"/>
                <w:sz w:val="20"/>
                <w:szCs w:val="20"/>
              </w:rPr>
              <w:t xml:space="preserve">Factual consistency</w:t>
            </w:r>
          </w:p>
        </w:tc>
        <w:tc>
          <w:tcPr>
            <w:tcW w:type="dxa" w:w="165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line="240"/>
            </w:pPr>
            <w:r>
              <w:rPr>
                <w:rFonts w:ascii="Times New Roman" w:cs="Times New Roman" w:eastAsia="Times New Roman" w:hAnsi="Times New Roman"/>
                <w:b w:val="false"/>
                <w:bCs w:val="false"/>
                <w:sz w:val="20"/>
                <w:szCs w:val="20"/>
              </w:rPr>
              <w:t xml:space="preserve">Contradiction rate 6% (base 19%)</w:t>
            </w:r>
          </w:p>
        </w:tc>
        <w:tc>
          <w:tcPr>
            <w:tcW w:type="dxa" w:w="2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line="240"/>
            </w:pPr>
            <w:r>
              <w:rPr>
                <w:rFonts w:ascii="Times New Roman" w:cs="Times New Roman" w:eastAsia="Times New Roman" w:hAnsi="Times New Roman"/>
                <w:b w:val="false"/>
                <w:bCs w:val="false"/>
                <w:sz w:val="20"/>
                <w:szCs w:val="20"/>
              </w:rPr>
              <w:t xml:space="preserve">An assistant that contradicts itself within a conversation cannot be relied on; users act on its answers.</w:t>
            </w:r>
          </w:p>
        </w:tc>
        <w:tc>
          <w:tcPr>
            <w:tcW w:type="dxa" w:w="178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line="240"/>
            </w:pPr>
            <w:r>
              <w:rPr>
                <w:rFonts w:ascii="Times New Roman" w:cs="Times New Roman" w:eastAsia="Times New Roman" w:hAnsi="Times New Roman"/>
                <w:b w:val="false"/>
                <w:bCs w:val="false"/>
                <w:sz w:val="20"/>
                <w:szCs w:val="20"/>
              </w:rPr>
              <w:t xml:space="preserve">Automated multi-turn script on the 100-item subset; answers compared across turns against gold labels.</w:t>
            </w:r>
          </w:p>
        </w:tc>
        <w:tc>
          <w:tcPr>
            <w:tcW w:type="dxa" w:w="198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line="240"/>
            </w:pPr>
            <w:r>
              <w:rPr>
                <w:rFonts w:ascii="Times New Roman" w:cs="Times New Roman" w:eastAsia="Times New Roman" w:hAnsi="Times New Roman"/>
                <w:b w:val="false"/>
                <w:bCs w:val="false"/>
                <w:sz w:val="20"/>
                <w:szCs w:val="20"/>
              </w:rPr>
              <w:t xml:space="preserve">Multiple-choice proxy; a consistently wrong model still scores well.</w:t>
            </w:r>
          </w:p>
        </w:tc>
      </w:tr>
      <w:tr>
        <w:tc>
          <w:tcPr>
            <w:tcW w:type="dxa" w:w="145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line="240"/>
            </w:pPr>
            <w:r>
              <w:rPr>
                <w:rFonts w:ascii="Times New Roman" w:cs="Times New Roman" w:eastAsia="Times New Roman" w:hAnsi="Times New Roman"/>
                <w:b w:val="false"/>
                <w:bCs w:val="false"/>
                <w:sz w:val="20"/>
                <w:szCs w:val="20"/>
              </w:rPr>
              <w:t xml:space="preserve">Sycophancy</w:t>
            </w:r>
          </w:p>
        </w:tc>
        <w:tc>
          <w:tcPr>
            <w:tcW w:type="dxa" w:w="165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line="240"/>
            </w:pPr>
            <w:r>
              <w:rPr>
                <w:rFonts w:ascii="Times New Roman" w:cs="Times New Roman" w:eastAsia="Times New Roman" w:hAnsi="Times New Roman"/>
                <w:b w:val="false"/>
                <w:bCs w:val="false"/>
                <w:sz w:val="20"/>
                <w:szCs w:val="20"/>
              </w:rPr>
              <w:t xml:space="preserve">Changes answer under challenge 80% (base 22%); flips correct-to-false 12% (base 7%)</w:t>
            </w:r>
          </w:p>
        </w:tc>
        <w:tc>
          <w:tcPr>
            <w:tcW w:type="dxa" w:w="2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line="240"/>
            </w:pPr>
            <w:r>
              <w:rPr>
                <w:rFonts w:ascii="Times New Roman" w:cs="Times New Roman" w:eastAsia="Times New Roman" w:hAnsi="Times New Roman"/>
                <w:b w:val="false"/>
                <w:bCs w:val="false"/>
                <w:sz w:val="20"/>
                <w:szCs w:val="20"/>
              </w:rPr>
              <w:t xml:space="preserve">Clients push back and misstate the law; a safe assistant must not adopt a confident but wrong user claim.</w:t>
            </w:r>
          </w:p>
        </w:tc>
        <w:tc>
          <w:tcPr>
            <w:tcW w:type="dxa" w:w="178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line="240"/>
            </w:pPr>
            <w:r>
              <w:rPr>
                <w:rFonts w:ascii="Times New Roman" w:cs="Times New Roman" w:eastAsia="Times New Roman" w:hAnsi="Times New Roman"/>
                <w:b w:val="false"/>
                <w:bCs w:val="false"/>
                <w:sz w:val="20"/>
                <w:szCs w:val="20"/>
              </w:rPr>
              <w:t xml:space="preserve">Automated: record initial answer, inject a confident false user answer, request a final answer, measure flips.</w:t>
            </w:r>
          </w:p>
        </w:tc>
        <w:tc>
          <w:tcPr>
            <w:tcW w:type="dxa" w:w="198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line="240"/>
            </w:pPr>
            <w:r>
              <w:rPr>
                <w:rFonts w:ascii="Times New Roman" w:cs="Times New Roman" w:eastAsia="Times New Roman" w:hAnsi="Times New Roman"/>
                <w:b w:val="false"/>
                <w:bCs w:val="false"/>
                <w:sz w:val="20"/>
                <w:szCs w:val="20"/>
              </w:rPr>
              <w:t xml:space="preserve">One pressure phrasing and one turn; misses hedging that stops short of a full flip.</w:t>
            </w:r>
          </w:p>
        </w:tc>
      </w:tr>
      <w:tr>
        <w:tc>
          <w:tcPr>
            <w:tcW w:type="dxa" w:w="145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line="240"/>
            </w:pPr>
            <w:r>
              <w:rPr>
                <w:rFonts w:ascii="Times New Roman" w:cs="Times New Roman" w:eastAsia="Times New Roman" w:hAnsi="Times New Roman"/>
                <w:b w:val="false"/>
                <w:bCs w:val="false"/>
                <w:sz w:val="20"/>
                <w:szCs w:val="20"/>
              </w:rPr>
              <w:t xml:space="preserve">Calibration</w:t>
            </w:r>
          </w:p>
        </w:tc>
        <w:tc>
          <w:tcPr>
            <w:tcW w:type="dxa" w:w="165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line="240"/>
            </w:pPr>
            <w:r>
              <w:rPr>
                <w:rFonts w:ascii="Times New Roman" w:cs="Times New Roman" w:eastAsia="Times New Roman" w:hAnsi="Times New Roman"/>
                <w:b w:val="false"/>
                <w:bCs w:val="false"/>
                <w:sz w:val="20"/>
                <w:szCs w:val="20"/>
              </w:rPr>
              <w:t xml:space="preserve">ECE 0.410 (base 0.093), worst in Basque at 0.488</w:t>
            </w:r>
          </w:p>
        </w:tc>
        <w:tc>
          <w:tcPr>
            <w:tcW w:type="dxa" w:w="2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line="240"/>
            </w:pPr>
            <w:r>
              <w:rPr>
                <w:rFonts w:ascii="Times New Roman" w:cs="Times New Roman" w:eastAsia="Times New Roman" w:hAnsi="Times New Roman"/>
                <w:b w:val="false"/>
                <w:bCs w:val="false"/>
                <w:sz w:val="20"/>
                <w:szCs w:val="20"/>
              </w:rPr>
              <w:t xml:space="preserve">The assistant must know when to defer to a human lawyer; overconfident wrong answers are the dangerous failure mode.</w:t>
            </w:r>
          </w:p>
        </w:tc>
        <w:tc>
          <w:tcPr>
            <w:tcW w:type="dxa" w:w="178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line="240"/>
            </w:pPr>
            <w:r>
              <w:rPr>
                <w:rFonts w:ascii="Times New Roman" w:cs="Times New Roman" w:eastAsia="Times New Roman" w:hAnsi="Times New Roman"/>
                <w:b w:val="false"/>
                <w:bCs w:val="false"/>
                <w:sz w:val="20"/>
                <w:szCs w:val="20"/>
              </w:rPr>
              <w:t xml:space="preserve">Automated: per-answer confidence versus accuracy, summarized as expected calibration error (ECE).</w:t>
            </w:r>
          </w:p>
        </w:tc>
        <w:tc>
          <w:tcPr>
            <w:tcW w:type="dxa" w:w="198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line="240"/>
            </w:pPr>
            <w:r>
              <w:rPr>
                <w:rFonts w:ascii="Times New Roman" w:cs="Times New Roman" w:eastAsia="Times New Roman" w:hAnsi="Times New Roman"/>
                <w:b w:val="false"/>
                <w:bCs w:val="false"/>
                <w:sz w:val="20"/>
                <w:szCs w:val="20"/>
              </w:rPr>
              <w:t xml:space="preserve">Confidence measured on answer tokens, not the verbal confidence users see in prose.</w:t>
            </w:r>
          </w:p>
        </w:tc>
      </w:tr>
      <w:tr>
        <w:tc>
          <w:tcPr>
            <w:tcW w:type="dxa" w:w="145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line="240"/>
            </w:pPr>
            <w:r>
              <w:rPr>
                <w:rFonts w:ascii="Times New Roman" w:cs="Times New Roman" w:eastAsia="Times New Roman" w:hAnsi="Times New Roman"/>
                <w:b w:val="false"/>
                <w:bCs w:val="false"/>
                <w:sz w:val="20"/>
                <w:szCs w:val="20"/>
              </w:rPr>
              <w:t xml:space="preserve">Cross-lingual shift</w:t>
            </w:r>
          </w:p>
        </w:tc>
        <w:tc>
          <w:tcPr>
            <w:tcW w:type="dxa" w:w="165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line="240"/>
            </w:pPr>
            <w:r>
              <w:rPr>
                <w:rFonts w:ascii="Times New Roman" w:cs="Times New Roman" w:eastAsia="Times New Roman" w:hAnsi="Times New Roman"/>
                <w:b w:val="false"/>
                <w:bCs w:val="false"/>
                <w:sz w:val="20"/>
                <w:szCs w:val="20"/>
              </w:rPr>
              <w:t xml:space="preserve">LPI: Spanish 0.938, Basque 0.646 (base: 0.949, 0.974)</w:t>
            </w:r>
          </w:p>
        </w:tc>
        <w:tc>
          <w:tcPr>
            <w:tcW w:type="dxa" w:w="2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line="240"/>
            </w:pPr>
            <w:r>
              <w:rPr>
                <w:rFonts w:ascii="Times New Roman" w:cs="Times New Roman" w:eastAsia="Times New Roman" w:hAnsi="Times New Roman"/>
                <w:b w:val="false"/>
                <w:bCs w:val="false"/>
                <w:sz w:val="20"/>
                <w:szCs w:val="20"/>
              </w:rPr>
              <w:t xml:space="preserve">Equal access to justice: non-English speakers rely heavily on legal aid; capability that silently collapses in a low-resource language is a safety failure for those users.</w:t>
            </w:r>
          </w:p>
        </w:tc>
        <w:tc>
          <w:tcPr>
            <w:tcW w:type="dxa" w:w="178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line="240"/>
            </w:pPr>
            <w:r>
              <w:rPr>
                <w:rFonts w:ascii="Times New Roman" w:cs="Times New Roman" w:eastAsia="Times New Roman" w:hAnsi="Times New Roman"/>
                <w:b w:val="false"/>
                <w:bCs w:val="false"/>
                <w:sz w:val="20"/>
                <w:szCs w:val="20"/>
              </w:rPr>
              <w:t xml:space="preserve">Automated: the same 100 items paired across EN/ES/EU by id; LPI = accuracy(language) / accuracy(English).</w:t>
            </w:r>
          </w:p>
        </w:tc>
        <w:tc>
          <w:tcPr>
            <w:tcW w:type="dxa" w:w="198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line="240"/>
            </w:pPr>
            <w:r>
              <w:rPr>
                <w:rFonts w:ascii="Times New Roman" w:cs="Times New Roman" w:eastAsia="Times New Roman" w:hAnsi="Times New Roman"/>
                <w:b w:val="false"/>
                <w:bCs w:val="false"/>
                <w:sz w:val="20"/>
                <w:szCs w:val="20"/>
              </w:rPr>
              <w:t xml:space="preserve">Competence gap, not a refusal gap; translation artifacts may understate the shift (Section 6).</w:t>
            </w:r>
          </w:p>
        </w:tc>
      </w:tr>
      <w:tr>
        <w:tc>
          <w:tcPr>
            <w:tcW w:type="dxa" w:w="145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line="240"/>
            </w:pPr>
            <w:r>
              <w:rPr>
                <w:rFonts w:ascii="Times New Roman" w:cs="Times New Roman" w:eastAsia="Times New Roman" w:hAnsi="Times New Roman"/>
                <w:b w:val="false"/>
                <w:bCs w:val="false"/>
                <w:sz w:val="20"/>
                <w:szCs w:val="20"/>
              </w:rPr>
              <w:t xml:space="preserve">Citation accuracy</w:t>
            </w:r>
          </w:p>
        </w:tc>
        <w:tc>
          <w:tcPr>
            <w:tcW w:type="dxa" w:w="165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line="240"/>
            </w:pPr>
            <w:r>
              <w:rPr>
                <w:rFonts w:ascii="Times New Roman" w:cs="Times New Roman" w:eastAsia="Times New Roman" w:hAnsi="Times New Roman"/>
                <w:b/>
                <w:bCs/>
                <w:color w:val="C00000"/>
                <w:sz w:val="24"/>
                <w:szCs w:val="24"/>
              </w:rPr>
              <w:t xml:space="preserve">[TO FILL: result]</w:t>
            </w:r>
          </w:p>
        </w:tc>
        <w:tc>
          <w:tcPr>
            <w:tcW w:type="dxa" w:w="2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line="240"/>
            </w:pPr>
            <w:r>
              <w:rPr>
                <w:rFonts w:ascii="Times New Roman" w:cs="Times New Roman" w:eastAsia="Times New Roman" w:hAnsi="Times New Roman"/>
                <w:b w:val="false"/>
                <w:bCs w:val="false"/>
                <w:sz w:val="20"/>
                <w:szCs w:val="20"/>
              </w:rPr>
              <w:t xml:space="preserve">Fabricated case citations are the canonical legal-AI failure; attorneys have been sanctioned for filing AI-invented cases.</w:t>
            </w:r>
          </w:p>
        </w:tc>
        <w:tc>
          <w:tcPr>
            <w:tcW w:type="dxa" w:w="178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line="240"/>
            </w:pPr>
            <w:r>
              <w:rPr>
                <w:rFonts w:ascii="Times New Roman" w:cs="Times New Roman" w:eastAsia="Times New Roman" w:hAnsi="Times New Roman"/>
                <w:b w:val="false"/>
                <w:bCs w:val="false"/>
                <w:sz w:val="20"/>
                <w:szCs w:val="20"/>
              </w:rPr>
              <w:t xml:space="preserve">Measured across four conditions: a citation's existence (mitigating ghost citations), fidelity of quotations pulled directly from a citation, precision of each citation, and recall across all citations for a given response.</w:t>
            </w:r>
          </w:p>
        </w:tc>
        <w:tc>
          <w:tcPr>
            <w:tcW w:type="dxa" w:w="198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line="240"/>
            </w:pPr>
            <w:r>
              <w:rPr>
                <w:rFonts w:ascii="Times New Roman" w:cs="Times New Roman" w:eastAsia="Times New Roman" w:hAnsi="Times New Roman"/>
                <w:b w:val="false"/>
                <w:bCs w:val="false"/>
                <w:sz w:val="20"/>
                <w:szCs w:val="20"/>
              </w:rPr>
              <w:t xml:space="preserve">Convoluted process, can be computationally expensive.</w:t>
            </w:r>
          </w:p>
        </w:tc>
      </w:tr>
    </w:tbl>
    <w:p>
      <w:pPr>
        <w:spacing w:after="160" w:before="60" w:line="240"/>
      </w:pPr>
      <w:r>
        <w:rPr>
          <w:rFonts w:ascii="Times New Roman" w:cs="Times New Roman" w:eastAsia="Times New Roman" w:hAnsi="Times New Roman"/>
          <w:i/>
          <w:iCs/>
          <w:sz w:val="20"/>
          <w:szCs w:val="20"/>
        </w:rPr>
        <w:t xml:space="preserve">Table 1. Complete safety scorecard for gemma-4-E2B-it evaluated as a legal assistant, in the assignment's required format; base-model results in parentheses.</w:t>
      </w:r>
    </w:p>
    <w:p>
      <w:pPr>
        <w:pStyle w:val="Heading1"/>
        <w:spacing w:after="60" w:before="120" w:line="360"/>
      </w:pPr>
      <w:r>
        <w:rPr>
          <w:rFonts w:ascii="Times New Roman" w:cs="Times New Roman" w:eastAsia="Times New Roman" w:hAnsi="Times New Roman"/>
          <w:b/>
          <w:bCs/>
          <w:sz w:val="28"/>
          <w:szCs w:val="28"/>
        </w:rPr>
        <w:t xml:space="preserve">3. Evaluation Methodology</w:t>
      </w:r>
    </w:p>
    <w:p>
      <w:pPr>
        <w:pStyle w:val="Heading2"/>
        <w:spacing w:after="40" w:before="80" w:line="360"/>
      </w:pPr>
      <w:r>
        <w:rPr>
          <w:rFonts w:ascii="Times New Roman" w:cs="Times New Roman" w:eastAsia="Times New Roman" w:hAnsi="Times New Roman"/>
          <w:b/>
          <w:bCs/>
          <w:sz w:val="24"/>
          <w:szCs w:val="24"/>
        </w:rPr>
        <w:t xml:space="preserve">3.1 Dataset and languages</w:t>
      </w:r>
    </w:p>
    <w:p>
      <w:pPr>
        <w:spacing w:after="0" w:line="480"/>
      </w:pPr>
      <w:r>
        <w:rPr>
          <w:rFonts w:ascii="Times New Roman" w:cs="Times New Roman" w:eastAsia="Times New Roman" w:hAnsi="Times New Roman"/>
          <w:sz w:val="24"/>
          <w:szCs w:val="24"/>
        </w:rPr>
        <w:t xml:space="preserve">All automated metrics use MMLU professional_law, a bar-exam-style multiple-choice benchmark with ground-truth labels. The primary benchmark is a fixed, reproducible 100-question subset of the test split (shuffled with seed 42, first 100 items); the full 1,534-question English split serves as a robustness reference. The subset was translated into Spanish and standard Basque with a consistency-controlled LLM translation pipeline using a fixed legal-terminology glossary, then validated at merge (paired ids, identical answer indices, harmonized terminology). Common-law terms with no civil-law equivalent carry the English in parentheses on first use; methodology and caveats are in data/TRANSLATION_NOTES.md.</w:t>
      </w:r>
    </w:p>
    <w:p>
      <w:pPr>
        <w:pStyle w:val="Heading2"/>
        <w:spacing w:after="40" w:before="80" w:line="360"/>
      </w:pPr>
      <w:r>
        <w:rPr>
          <w:rFonts w:ascii="Times New Roman" w:cs="Times New Roman" w:eastAsia="Times New Roman" w:hAnsi="Times New Roman"/>
          <w:b/>
          <w:bCs/>
          <w:sz w:val="24"/>
          <w:szCs w:val="24"/>
        </w:rPr>
        <w:t xml:space="preserve">3.2 Models and inference</w:t>
      </w:r>
    </w:p>
    <w:p>
      <w:pPr>
        <w:spacing w:after="0" w:line="480"/>
      </w:pPr>
      <w:r>
        <w:rPr>
          <w:rFonts w:ascii="Times New Roman" w:cs="Times New Roman" w:eastAsia="Times New Roman" w:hAnsi="Times New Roman"/>
          <w:sz w:val="24"/>
          <w:szCs w:val="24"/>
        </w:rPr>
        <w:t xml:space="preserve">We evaluate google/gemma-4-E2B (base, plain-text prompts) and google/gemma-4-E2B-it (chat-formatted prompts via its chat template). </w:t>
      </w:r>
      <w:r>
        <w:rPr>
          <w:rFonts w:ascii="Times New Roman" w:cs="Times New Roman" w:eastAsia="Times New Roman" w:hAnsi="Times New Roman"/>
          <w:b/>
          <w:bCs/>
          <w:color w:val="C00000"/>
          <w:sz w:val="24"/>
          <w:szCs w:val="24"/>
        </w:rPr>
        <w:t xml:space="preserve">[TO FILL: inference details: decoding parameters, confidence extraction method, hardware]</w:t>
      </w:r>
      <w:r>
        <w:rPr>
          <w:rFonts w:ascii="Times New Roman" w:cs="Times New Roman" w:eastAsia="Times New Roman" w:hAnsi="Times New Roman"/>
          <w:sz w:val="24"/>
          <w:szCs w:val="24"/>
        </w:rPr>
        <w:t xml:space="preserve"> Evaluation code is in the repository under code/ and calibration_eval.ipynb.</w:t>
      </w:r>
    </w:p>
    <w:p>
      <w:pPr>
        <w:pStyle w:val="Heading2"/>
        <w:spacing w:after="40" w:before="80" w:line="360"/>
      </w:pPr>
      <w:r>
        <w:rPr>
          <w:rFonts w:ascii="Times New Roman" w:cs="Times New Roman" w:eastAsia="Times New Roman" w:hAnsi="Times New Roman"/>
          <w:b/>
          <w:bCs/>
          <w:sz w:val="24"/>
          <w:szCs w:val="24"/>
        </w:rPr>
        <w:t xml:space="preserve">3.3 Accuracy, calibration, and cross-lingual shift</w:t>
      </w:r>
    </w:p>
    <w:p>
      <w:pPr>
        <w:spacing w:after="0" w:line="480"/>
      </w:pPr>
      <w:r>
        <w:rPr>
          <w:rFonts w:ascii="Times New Roman" w:cs="Times New Roman" w:eastAsia="Times New Roman" w:hAnsi="Times New Roman"/>
          <w:sz w:val="24"/>
          <w:szCs w:val="24"/>
        </w:rPr>
        <w:t xml:space="preserve">Each model answers all 100 questions in each language; predicted letters are scored against gold labels, and per-answer confidence is summarized as expected calibration error (ECE), the gap between stated confidence and realized accuracy. Cross-lingual shift compares per-language accuracy on the paired items, summarized by the Language Parity Index (Section 7). Per-language plots are in results/Nathan_Results/.</w:t>
      </w:r>
    </w:p>
    <w:p>
      <w:pPr>
        <w:pStyle w:val="Heading2"/>
        <w:spacing w:after="40" w:before="80" w:line="360"/>
      </w:pPr>
      <w:r>
        <w:rPr>
          <w:rFonts w:ascii="Times New Roman" w:cs="Times New Roman" w:eastAsia="Times New Roman" w:hAnsi="Times New Roman"/>
          <w:b/>
          <w:bCs/>
          <w:sz w:val="24"/>
          <w:szCs w:val="24"/>
        </w:rPr>
        <w:t xml:space="preserve">3.4 Factual consistency and sycophancy</w:t>
      </w:r>
    </w:p>
    <w:p>
      <w:pPr>
        <w:spacing w:after="0" w:line="480"/>
      </w:pPr>
      <w:r>
        <w:rPr>
          <w:rFonts w:ascii="Times New Roman" w:cs="Times New Roman" w:eastAsia="Times New Roman" w:hAnsi="Times New Roman"/>
          <w:sz w:val="24"/>
          <w:szCs w:val="24"/>
        </w:rPr>
        <w:t xml:space="preserve">We use a scripted multi-turn evaluation: the model answers a question (initial answer), is challenged with a known-incorrect answer framed as a confident user claim (for example, “I think the correct answer is B. Are you sure? Please correct yourself if needed.”), and is then asked for a final answer only. Because MMLU has gold labels, scoring is fully automated, yielding initial accuracy, final accuracy, challenge change rate, false adoption rate, and gold-to-false flip rate (started correct, switched to the user's wrong answer).</w:t>
      </w:r>
    </w:p>
    <w:p>
      <w:pPr>
        <w:pStyle w:val="Heading2"/>
        <w:spacing w:after="40" w:before="80" w:line="360"/>
      </w:pPr>
      <w:r>
        <w:rPr>
          <w:rFonts w:ascii="Times New Roman" w:cs="Times New Roman" w:eastAsia="Times New Roman" w:hAnsi="Times New Roman"/>
          <w:b/>
          <w:bCs/>
          <w:sz w:val="24"/>
          <w:szCs w:val="24"/>
        </w:rPr>
        <w:t xml:space="preserve">3.5 LLM-as-judge</w:t>
      </w:r>
    </w:p>
    <w:p>
      <w:pPr>
        <w:spacing w:after="0" w:line="480"/>
      </w:pPr>
      <w:r>
        <w:rPr>
          <w:rFonts w:ascii="Times New Roman" w:cs="Times New Roman" w:eastAsia="Times New Roman" w:hAnsi="Times New Roman"/>
          <w:b/>
          <w:bCs/>
          <w:color w:val="C00000"/>
          <w:sz w:val="24"/>
          <w:szCs w:val="24"/>
        </w:rPr>
        <w:t xml:space="preserve">[TO FILL: how the judge was used for citation accuracy and open-ended scoring, plus the assignment-required comparison of two additional judge models and their relative scores]</w:t>
      </w:r>
    </w:p>
    <w:p>
      <w:pPr>
        <w:pStyle w:val="Heading1"/>
        <w:spacing w:after="60" w:before="120" w:line="360"/>
      </w:pPr>
      <w:r>
        <w:rPr>
          <w:rFonts w:ascii="Times New Roman" w:cs="Times New Roman" w:eastAsia="Times New Roman" w:hAnsi="Times New Roman"/>
          <w:b/>
          <w:bCs/>
          <w:sz w:val="28"/>
          <w:szCs w:val="28"/>
        </w:rPr>
        <w:t xml:space="preserve">4.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c>
          <w:tcPr>
            <w:tcW w:type="dxa" w:w="2560"/>
            <w:tcBorders>
              <w:top w:val="single" w:color="999999" w:sz="1"/>
              <w:left w:val="single" w:color="999999" w:sz="1"/>
              <w:bottom w:val="single" w:color="999999" w:sz="1"/>
              <w:right w:val="single" w:color="999999" w:sz="1"/>
            </w:tcBorders>
            <w:shd w:fill="E8EDF4" w:val="clear"/>
            <w:tcMar>
              <w:top w:type="dxa" w:w="60"/>
              <w:left w:type="dxa" w:w="100"/>
              <w:bottom w:type="dxa" w:w="60"/>
              <w:right w:type="dxa" w:w="100"/>
            </w:tcMar>
          </w:tcPr>
          <w:p>
            <w:pPr>
              <w:spacing w:after="40" w:line="240"/>
            </w:pPr>
            <w:r>
              <w:rPr>
                <w:rFonts w:ascii="Times New Roman" w:cs="Times New Roman" w:eastAsia="Times New Roman" w:hAnsi="Times New Roman"/>
                <w:b/>
                <w:bCs/>
                <w:sz w:val="20"/>
                <w:szCs w:val="20"/>
              </w:rPr>
              <w:t xml:space="preserve">Model</w:t>
            </w:r>
          </w:p>
        </w:tc>
        <w:tc>
          <w:tcPr>
            <w:tcW w:type="dxa" w:w="1700"/>
            <w:tcBorders>
              <w:top w:val="single" w:color="999999" w:sz="1"/>
              <w:left w:val="single" w:color="999999" w:sz="1"/>
              <w:bottom w:val="single" w:color="999999" w:sz="1"/>
              <w:right w:val="single" w:color="999999" w:sz="1"/>
            </w:tcBorders>
            <w:shd w:fill="E8EDF4" w:val="clear"/>
            <w:tcMar>
              <w:top w:type="dxa" w:w="60"/>
              <w:left w:type="dxa" w:w="100"/>
              <w:bottom w:type="dxa" w:w="60"/>
              <w:right w:type="dxa" w:w="100"/>
            </w:tcMar>
          </w:tcPr>
          <w:p>
            <w:pPr>
              <w:spacing w:after="40" w:line="240"/>
            </w:pPr>
            <w:r>
              <w:rPr>
                <w:rFonts w:ascii="Times New Roman" w:cs="Times New Roman" w:eastAsia="Times New Roman" w:hAnsi="Times New Roman"/>
                <w:b/>
                <w:bCs/>
                <w:sz w:val="20"/>
                <w:szCs w:val="20"/>
              </w:rPr>
              <w:t xml:space="preserve">English (n=100)</w:t>
            </w:r>
          </w:p>
        </w:tc>
        <w:tc>
          <w:tcPr>
            <w:tcW w:type="dxa" w:w="1700"/>
            <w:tcBorders>
              <w:top w:val="single" w:color="999999" w:sz="1"/>
              <w:left w:val="single" w:color="999999" w:sz="1"/>
              <w:bottom w:val="single" w:color="999999" w:sz="1"/>
              <w:right w:val="single" w:color="999999" w:sz="1"/>
            </w:tcBorders>
            <w:shd w:fill="E8EDF4" w:val="clear"/>
            <w:tcMar>
              <w:top w:type="dxa" w:w="60"/>
              <w:left w:type="dxa" w:w="100"/>
              <w:bottom w:type="dxa" w:w="60"/>
              <w:right w:type="dxa" w:w="100"/>
            </w:tcMar>
          </w:tcPr>
          <w:p>
            <w:pPr>
              <w:spacing w:after="40" w:line="240"/>
            </w:pPr>
            <w:r>
              <w:rPr>
                <w:rFonts w:ascii="Times New Roman" w:cs="Times New Roman" w:eastAsia="Times New Roman" w:hAnsi="Times New Roman"/>
                <w:b/>
                <w:bCs/>
                <w:sz w:val="20"/>
                <w:szCs w:val="20"/>
              </w:rPr>
              <w:t xml:space="preserve">Spanish (n=100)</w:t>
            </w:r>
          </w:p>
        </w:tc>
        <w:tc>
          <w:tcPr>
            <w:tcW w:type="dxa" w:w="1700"/>
            <w:tcBorders>
              <w:top w:val="single" w:color="999999" w:sz="1"/>
              <w:left w:val="single" w:color="999999" w:sz="1"/>
              <w:bottom w:val="single" w:color="999999" w:sz="1"/>
              <w:right w:val="single" w:color="999999" w:sz="1"/>
            </w:tcBorders>
            <w:shd w:fill="E8EDF4" w:val="clear"/>
            <w:tcMar>
              <w:top w:type="dxa" w:w="60"/>
              <w:left w:type="dxa" w:w="100"/>
              <w:bottom w:type="dxa" w:w="60"/>
              <w:right w:type="dxa" w:w="100"/>
            </w:tcMar>
          </w:tcPr>
          <w:p>
            <w:pPr>
              <w:spacing w:after="40" w:line="240"/>
            </w:pPr>
            <w:r>
              <w:rPr>
                <w:rFonts w:ascii="Times New Roman" w:cs="Times New Roman" w:eastAsia="Times New Roman" w:hAnsi="Times New Roman"/>
                <w:b/>
                <w:bCs/>
                <w:sz w:val="20"/>
                <w:szCs w:val="20"/>
              </w:rPr>
              <w:t xml:space="preserve">Basque (n=100)</w:t>
            </w:r>
          </w:p>
        </w:tc>
        <w:tc>
          <w:tcPr>
            <w:tcW w:type="dxa" w:w="1700"/>
            <w:tcBorders>
              <w:top w:val="single" w:color="999999" w:sz="1"/>
              <w:left w:val="single" w:color="999999" w:sz="1"/>
              <w:bottom w:val="single" w:color="999999" w:sz="1"/>
              <w:right w:val="single" w:color="999999" w:sz="1"/>
            </w:tcBorders>
            <w:shd w:fill="E8EDF4" w:val="clear"/>
            <w:tcMar>
              <w:top w:type="dxa" w:w="60"/>
              <w:left w:type="dxa" w:w="100"/>
              <w:bottom w:type="dxa" w:w="60"/>
              <w:right w:type="dxa" w:w="100"/>
            </w:tcMar>
          </w:tcPr>
          <w:p>
            <w:pPr>
              <w:spacing w:after="40" w:line="240"/>
            </w:pPr>
            <w:r>
              <w:rPr>
                <w:rFonts w:ascii="Times New Roman" w:cs="Times New Roman" w:eastAsia="Times New Roman" w:hAnsi="Times New Roman"/>
                <w:b/>
                <w:bCs/>
                <w:sz w:val="20"/>
                <w:szCs w:val="20"/>
              </w:rPr>
              <w:t xml:space="preserve">Full English set (n=1,534)</w:t>
            </w:r>
          </w:p>
        </w:tc>
      </w:tr>
      <w:tr>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line="240"/>
            </w:pPr>
            <w:r>
              <w:rPr>
                <w:rFonts w:ascii="Times New Roman" w:cs="Times New Roman" w:eastAsia="Times New Roman" w:hAnsi="Times New Roman"/>
                <w:b w:val="false"/>
                <w:bCs w:val="false"/>
                <w:sz w:val="20"/>
                <w:szCs w:val="20"/>
              </w:rPr>
              <w:t xml:space="preserve">Gemma-4-E2B (base)</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line="240"/>
            </w:pPr>
            <w:r>
              <w:rPr>
                <w:rFonts w:ascii="Times New Roman" w:cs="Times New Roman" w:eastAsia="Times New Roman" w:hAnsi="Times New Roman"/>
                <w:b w:val="false"/>
                <w:bCs w:val="false"/>
                <w:sz w:val="20"/>
                <w:szCs w:val="20"/>
              </w:rPr>
              <w:t xml:space="preserve">39%</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line="240"/>
            </w:pPr>
            <w:r>
              <w:rPr>
                <w:rFonts w:ascii="Times New Roman" w:cs="Times New Roman" w:eastAsia="Times New Roman" w:hAnsi="Times New Roman"/>
                <w:b w:val="false"/>
                <w:bCs w:val="false"/>
                <w:sz w:val="20"/>
                <w:szCs w:val="20"/>
              </w:rPr>
              <w:t xml:space="preserve">37%</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line="240"/>
            </w:pPr>
            <w:r>
              <w:rPr>
                <w:rFonts w:ascii="Times New Roman" w:cs="Times New Roman" w:eastAsia="Times New Roman" w:hAnsi="Times New Roman"/>
                <w:b w:val="false"/>
                <w:bCs w:val="false"/>
                <w:sz w:val="20"/>
                <w:szCs w:val="20"/>
              </w:rPr>
              <w:t xml:space="preserve">38%</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line="240"/>
            </w:pPr>
            <w:r>
              <w:rPr>
                <w:rFonts w:ascii="Times New Roman" w:cs="Times New Roman" w:eastAsia="Times New Roman" w:hAnsi="Times New Roman"/>
                <w:b w:val="false"/>
                <w:bCs w:val="false"/>
                <w:sz w:val="20"/>
                <w:szCs w:val="20"/>
              </w:rPr>
              <w:t xml:space="preserve">40.9%</w:t>
            </w:r>
          </w:p>
        </w:tc>
      </w:tr>
      <w:tr>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line="240"/>
            </w:pPr>
            <w:r>
              <w:rPr>
                <w:rFonts w:ascii="Times New Roman" w:cs="Times New Roman" w:eastAsia="Times New Roman" w:hAnsi="Times New Roman"/>
                <w:b w:val="false"/>
                <w:bCs w:val="false"/>
                <w:sz w:val="20"/>
                <w:szCs w:val="20"/>
              </w:rPr>
              <w:t xml:space="preserve">Gemma-4-E2B-it</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line="240"/>
            </w:pPr>
            <w:r>
              <w:rPr>
                <w:rFonts w:ascii="Times New Roman" w:cs="Times New Roman" w:eastAsia="Times New Roman" w:hAnsi="Times New Roman"/>
                <w:b w:val="false"/>
                <w:bCs w:val="false"/>
                <w:sz w:val="20"/>
                <w:szCs w:val="20"/>
              </w:rPr>
              <w:t xml:space="preserve">48%</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line="240"/>
            </w:pPr>
            <w:r>
              <w:rPr>
                <w:rFonts w:ascii="Times New Roman" w:cs="Times New Roman" w:eastAsia="Times New Roman" w:hAnsi="Times New Roman"/>
                <w:b w:val="false"/>
                <w:bCs w:val="false"/>
                <w:sz w:val="20"/>
                <w:szCs w:val="20"/>
              </w:rPr>
              <w:t xml:space="preserve">45%</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line="240"/>
            </w:pPr>
            <w:r>
              <w:rPr>
                <w:rFonts w:ascii="Times New Roman" w:cs="Times New Roman" w:eastAsia="Times New Roman" w:hAnsi="Times New Roman"/>
                <w:b w:val="false"/>
                <w:bCs w:val="false"/>
                <w:sz w:val="20"/>
                <w:szCs w:val="20"/>
              </w:rPr>
              <w:t xml:space="preserve">31%</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line="240"/>
            </w:pPr>
            <w:r>
              <w:rPr>
                <w:rFonts w:ascii="Times New Roman" w:cs="Times New Roman" w:eastAsia="Times New Roman" w:hAnsi="Times New Roman"/>
                <w:b w:val="false"/>
                <w:bCs w:val="false"/>
                <w:sz w:val="20"/>
                <w:szCs w:val="20"/>
              </w:rPr>
              <w:t xml:space="preserve">45.6%</w:t>
            </w:r>
          </w:p>
        </w:tc>
      </w:tr>
    </w:tbl>
    <w:p>
      <w:pPr>
        <w:spacing w:after="160" w:before="60" w:line="240"/>
      </w:pPr>
      <w:r>
        <w:rPr>
          <w:rFonts w:ascii="Times New Roman" w:cs="Times New Roman" w:eastAsia="Times New Roman" w:hAnsi="Times New Roman"/>
          <w:i/>
          <w:iCs/>
          <w:sz w:val="20"/>
          <w:szCs w:val="20"/>
        </w:rPr>
        <w:t xml:space="preserve">Table 2. Multiple-choice accuracy on MMLU professional_law. Chance is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3000"/>
        <w:gridCol w:w="3000"/>
      </w:tblGrid>
      <w:tr>
        <w:tc>
          <w:tcPr>
            <w:tcW w:type="dxa" w:w="3360"/>
            <w:tcBorders>
              <w:top w:val="single" w:color="999999" w:sz="1"/>
              <w:left w:val="single" w:color="999999" w:sz="1"/>
              <w:bottom w:val="single" w:color="999999" w:sz="1"/>
              <w:right w:val="single" w:color="999999" w:sz="1"/>
            </w:tcBorders>
            <w:shd w:fill="E8EDF4" w:val="clear"/>
            <w:tcMar>
              <w:top w:type="dxa" w:w="60"/>
              <w:left w:type="dxa" w:w="100"/>
              <w:bottom w:type="dxa" w:w="60"/>
              <w:right w:type="dxa" w:w="100"/>
            </w:tcMar>
          </w:tcPr>
          <w:p>
            <w:pPr>
              <w:spacing w:after="40" w:line="240"/>
            </w:pPr>
            <w:r>
              <w:rPr>
                <w:rFonts w:ascii="Times New Roman" w:cs="Times New Roman" w:eastAsia="Times New Roman" w:hAnsi="Times New Roman"/>
                <w:b/>
                <w:bCs/>
                <w:sz w:val="20"/>
                <w:szCs w:val="20"/>
              </w:rPr>
              <w:t xml:space="preserve">Model</w:t>
            </w:r>
          </w:p>
        </w:tc>
        <w:tc>
          <w:tcPr>
            <w:tcW w:type="dxa" w:w="3000"/>
            <w:tcBorders>
              <w:top w:val="single" w:color="999999" w:sz="1"/>
              <w:left w:val="single" w:color="999999" w:sz="1"/>
              <w:bottom w:val="single" w:color="999999" w:sz="1"/>
              <w:right w:val="single" w:color="999999" w:sz="1"/>
            </w:tcBorders>
            <w:shd w:fill="E8EDF4" w:val="clear"/>
            <w:tcMar>
              <w:top w:type="dxa" w:w="60"/>
              <w:left w:type="dxa" w:w="100"/>
              <w:bottom w:type="dxa" w:w="60"/>
              <w:right w:type="dxa" w:w="100"/>
            </w:tcMar>
          </w:tcPr>
          <w:p>
            <w:pPr>
              <w:spacing w:after="40" w:line="240"/>
            </w:pPr>
            <w:r>
              <w:rPr>
                <w:rFonts w:ascii="Times New Roman" w:cs="Times New Roman" w:eastAsia="Times New Roman" w:hAnsi="Times New Roman"/>
                <w:b/>
                <w:bCs/>
                <w:sz w:val="20"/>
                <w:szCs w:val="20"/>
              </w:rPr>
              <w:t xml:space="preserve">Spanish LPI</w:t>
            </w:r>
          </w:p>
        </w:tc>
        <w:tc>
          <w:tcPr>
            <w:tcW w:type="dxa" w:w="3000"/>
            <w:tcBorders>
              <w:top w:val="single" w:color="999999" w:sz="1"/>
              <w:left w:val="single" w:color="999999" w:sz="1"/>
              <w:bottom w:val="single" w:color="999999" w:sz="1"/>
              <w:right w:val="single" w:color="999999" w:sz="1"/>
            </w:tcBorders>
            <w:shd w:fill="E8EDF4" w:val="clear"/>
            <w:tcMar>
              <w:top w:type="dxa" w:w="60"/>
              <w:left w:type="dxa" w:w="100"/>
              <w:bottom w:type="dxa" w:w="60"/>
              <w:right w:type="dxa" w:w="100"/>
            </w:tcMar>
          </w:tcPr>
          <w:p>
            <w:pPr>
              <w:spacing w:after="40" w:line="240"/>
            </w:pPr>
            <w:r>
              <w:rPr>
                <w:rFonts w:ascii="Times New Roman" w:cs="Times New Roman" w:eastAsia="Times New Roman" w:hAnsi="Times New Roman"/>
                <w:b/>
                <w:bCs/>
                <w:sz w:val="20"/>
                <w:szCs w:val="20"/>
              </w:rPr>
              <w:t xml:space="preserve">Basque LPI</w:t>
            </w:r>
          </w:p>
        </w:tc>
      </w:tr>
      <w:tr>
        <w:tc>
          <w:tcPr>
            <w:tcW w:type="dxa" w:w="33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line="240"/>
            </w:pPr>
            <w:r>
              <w:rPr>
                <w:rFonts w:ascii="Times New Roman" w:cs="Times New Roman" w:eastAsia="Times New Roman" w:hAnsi="Times New Roman"/>
                <w:b w:val="false"/>
                <w:bCs w:val="false"/>
                <w:sz w:val="20"/>
                <w:szCs w:val="20"/>
              </w:rPr>
              <w:t xml:space="preserve">Gemma-4-E2B (base)</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line="240"/>
            </w:pPr>
            <w:r>
              <w:rPr>
                <w:rFonts w:ascii="Times New Roman" w:cs="Times New Roman" w:eastAsia="Times New Roman" w:hAnsi="Times New Roman"/>
                <w:b w:val="false"/>
                <w:bCs w:val="false"/>
                <w:sz w:val="20"/>
                <w:szCs w:val="20"/>
              </w:rPr>
              <w:t xml:space="preserve">0.949</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line="240"/>
            </w:pPr>
            <w:r>
              <w:rPr>
                <w:rFonts w:ascii="Times New Roman" w:cs="Times New Roman" w:eastAsia="Times New Roman" w:hAnsi="Times New Roman"/>
                <w:b w:val="false"/>
                <w:bCs w:val="false"/>
                <w:sz w:val="20"/>
                <w:szCs w:val="20"/>
              </w:rPr>
              <w:t xml:space="preserve">0.974</w:t>
            </w:r>
          </w:p>
        </w:tc>
      </w:tr>
      <w:tr>
        <w:tc>
          <w:tcPr>
            <w:tcW w:type="dxa" w:w="33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line="240"/>
            </w:pPr>
            <w:r>
              <w:rPr>
                <w:rFonts w:ascii="Times New Roman" w:cs="Times New Roman" w:eastAsia="Times New Roman" w:hAnsi="Times New Roman"/>
                <w:b w:val="false"/>
                <w:bCs w:val="false"/>
                <w:sz w:val="20"/>
                <w:szCs w:val="20"/>
              </w:rPr>
              <w:t xml:space="preserve">Gemma-4-E2B-it</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line="240"/>
            </w:pPr>
            <w:r>
              <w:rPr>
                <w:rFonts w:ascii="Times New Roman" w:cs="Times New Roman" w:eastAsia="Times New Roman" w:hAnsi="Times New Roman"/>
                <w:b w:val="false"/>
                <w:bCs w:val="false"/>
                <w:sz w:val="20"/>
                <w:szCs w:val="20"/>
              </w:rPr>
              <w:t xml:space="preserve">0.938</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line="240"/>
            </w:pPr>
            <w:r>
              <w:rPr>
                <w:rFonts w:ascii="Times New Roman" w:cs="Times New Roman" w:eastAsia="Times New Roman" w:hAnsi="Times New Roman"/>
                <w:b w:val="false"/>
                <w:bCs w:val="false"/>
                <w:sz w:val="20"/>
                <w:szCs w:val="20"/>
              </w:rPr>
              <w:t xml:space="preserve">0.646</w:t>
            </w:r>
          </w:p>
        </w:tc>
      </w:tr>
    </w:tbl>
    <w:p>
      <w:pPr>
        <w:spacing w:after="160" w:before="60" w:line="240"/>
      </w:pPr>
      <w:r>
        <w:rPr>
          <w:rFonts w:ascii="Times New Roman" w:cs="Times New Roman" w:eastAsia="Times New Roman" w:hAnsi="Times New Roman"/>
          <w:i/>
          <w:iCs/>
          <w:sz w:val="20"/>
          <w:szCs w:val="20"/>
        </w:rPr>
        <w:t xml:space="preserve">Table 3. LPI = accuracy(language) / accuracy(English), English baseline = 1.000. Paired 100-item subset.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c>
          <w:tcPr>
            <w:tcW w:type="dxa" w:w="2560"/>
            <w:tcBorders>
              <w:top w:val="single" w:color="999999" w:sz="1"/>
              <w:left w:val="single" w:color="999999" w:sz="1"/>
              <w:bottom w:val="single" w:color="999999" w:sz="1"/>
              <w:right w:val="single" w:color="999999" w:sz="1"/>
            </w:tcBorders>
            <w:shd w:fill="E8EDF4" w:val="clear"/>
            <w:tcMar>
              <w:top w:type="dxa" w:w="60"/>
              <w:left w:type="dxa" w:w="100"/>
              <w:bottom w:type="dxa" w:w="60"/>
              <w:right w:type="dxa" w:w="100"/>
            </w:tcMar>
          </w:tcPr>
          <w:p>
            <w:pPr>
              <w:spacing w:after="40" w:line="240"/>
            </w:pPr>
            <w:r>
              <w:rPr>
                <w:rFonts w:ascii="Times New Roman" w:cs="Times New Roman" w:eastAsia="Times New Roman" w:hAnsi="Times New Roman"/>
                <w:b/>
                <w:bCs/>
                <w:sz w:val="20"/>
                <w:szCs w:val="20"/>
              </w:rPr>
              <w:t xml:space="preserve">Model</w:t>
            </w:r>
          </w:p>
        </w:tc>
        <w:tc>
          <w:tcPr>
            <w:tcW w:type="dxa" w:w="1700"/>
            <w:tcBorders>
              <w:top w:val="single" w:color="999999" w:sz="1"/>
              <w:left w:val="single" w:color="999999" w:sz="1"/>
              <w:bottom w:val="single" w:color="999999" w:sz="1"/>
              <w:right w:val="single" w:color="999999" w:sz="1"/>
            </w:tcBorders>
            <w:shd w:fill="E8EDF4" w:val="clear"/>
            <w:tcMar>
              <w:top w:type="dxa" w:w="60"/>
              <w:left w:type="dxa" w:w="100"/>
              <w:bottom w:type="dxa" w:w="60"/>
              <w:right w:type="dxa" w:w="100"/>
            </w:tcMar>
          </w:tcPr>
          <w:p>
            <w:pPr>
              <w:spacing w:after="40" w:line="240"/>
            </w:pPr>
            <w:r>
              <w:rPr>
                <w:rFonts w:ascii="Times New Roman" w:cs="Times New Roman" w:eastAsia="Times New Roman" w:hAnsi="Times New Roman"/>
                <w:b/>
                <w:bCs/>
                <w:sz w:val="20"/>
                <w:szCs w:val="20"/>
              </w:rPr>
              <w:t xml:space="preserve">English</w:t>
            </w:r>
          </w:p>
        </w:tc>
        <w:tc>
          <w:tcPr>
            <w:tcW w:type="dxa" w:w="1700"/>
            <w:tcBorders>
              <w:top w:val="single" w:color="999999" w:sz="1"/>
              <w:left w:val="single" w:color="999999" w:sz="1"/>
              <w:bottom w:val="single" w:color="999999" w:sz="1"/>
              <w:right w:val="single" w:color="999999" w:sz="1"/>
            </w:tcBorders>
            <w:shd w:fill="E8EDF4" w:val="clear"/>
            <w:tcMar>
              <w:top w:type="dxa" w:w="60"/>
              <w:left w:type="dxa" w:w="100"/>
              <w:bottom w:type="dxa" w:w="60"/>
              <w:right w:type="dxa" w:w="100"/>
            </w:tcMar>
          </w:tcPr>
          <w:p>
            <w:pPr>
              <w:spacing w:after="40" w:line="240"/>
            </w:pPr>
            <w:r>
              <w:rPr>
                <w:rFonts w:ascii="Times New Roman" w:cs="Times New Roman" w:eastAsia="Times New Roman" w:hAnsi="Times New Roman"/>
                <w:b/>
                <w:bCs/>
                <w:sz w:val="20"/>
                <w:szCs w:val="20"/>
              </w:rPr>
              <w:t xml:space="preserve">Spanish</w:t>
            </w:r>
          </w:p>
        </w:tc>
        <w:tc>
          <w:tcPr>
            <w:tcW w:type="dxa" w:w="1700"/>
            <w:tcBorders>
              <w:top w:val="single" w:color="999999" w:sz="1"/>
              <w:left w:val="single" w:color="999999" w:sz="1"/>
              <w:bottom w:val="single" w:color="999999" w:sz="1"/>
              <w:right w:val="single" w:color="999999" w:sz="1"/>
            </w:tcBorders>
            <w:shd w:fill="E8EDF4" w:val="clear"/>
            <w:tcMar>
              <w:top w:type="dxa" w:w="60"/>
              <w:left w:type="dxa" w:w="100"/>
              <w:bottom w:type="dxa" w:w="60"/>
              <w:right w:type="dxa" w:w="100"/>
            </w:tcMar>
          </w:tcPr>
          <w:p>
            <w:pPr>
              <w:spacing w:after="40" w:line="240"/>
            </w:pPr>
            <w:r>
              <w:rPr>
                <w:rFonts w:ascii="Times New Roman" w:cs="Times New Roman" w:eastAsia="Times New Roman" w:hAnsi="Times New Roman"/>
                <w:b/>
                <w:bCs/>
                <w:sz w:val="20"/>
                <w:szCs w:val="20"/>
              </w:rPr>
              <w:t xml:space="preserve">Basque</w:t>
            </w:r>
          </w:p>
        </w:tc>
        <w:tc>
          <w:tcPr>
            <w:tcW w:type="dxa" w:w="1700"/>
            <w:tcBorders>
              <w:top w:val="single" w:color="999999" w:sz="1"/>
              <w:left w:val="single" w:color="999999" w:sz="1"/>
              <w:bottom w:val="single" w:color="999999" w:sz="1"/>
              <w:right w:val="single" w:color="999999" w:sz="1"/>
            </w:tcBorders>
            <w:shd w:fill="E8EDF4" w:val="clear"/>
            <w:tcMar>
              <w:top w:type="dxa" w:w="60"/>
              <w:left w:type="dxa" w:w="100"/>
              <w:bottom w:type="dxa" w:w="60"/>
              <w:right w:type="dxa" w:w="100"/>
            </w:tcMar>
          </w:tcPr>
          <w:p>
            <w:pPr>
              <w:spacing w:after="40" w:line="240"/>
            </w:pPr>
            <w:r>
              <w:rPr>
                <w:rFonts w:ascii="Times New Roman" w:cs="Times New Roman" w:eastAsia="Times New Roman" w:hAnsi="Times New Roman"/>
                <w:b/>
                <w:bCs/>
                <w:sz w:val="20"/>
                <w:szCs w:val="20"/>
              </w:rPr>
              <w:t xml:space="preserve">Full English set</w:t>
            </w:r>
          </w:p>
        </w:tc>
      </w:tr>
      <w:tr>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line="240"/>
            </w:pPr>
            <w:r>
              <w:rPr>
                <w:rFonts w:ascii="Times New Roman" w:cs="Times New Roman" w:eastAsia="Times New Roman" w:hAnsi="Times New Roman"/>
                <w:b w:val="false"/>
                <w:bCs w:val="false"/>
                <w:sz w:val="20"/>
                <w:szCs w:val="20"/>
              </w:rPr>
              <w:t xml:space="preserve">Gemma-4-E2B (base)</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line="240"/>
            </w:pPr>
            <w:r>
              <w:rPr>
                <w:rFonts w:ascii="Times New Roman" w:cs="Times New Roman" w:eastAsia="Times New Roman" w:hAnsi="Times New Roman"/>
                <w:b w:val="false"/>
                <w:bCs w:val="false"/>
                <w:sz w:val="20"/>
                <w:szCs w:val="20"/>
              </w:rPr>
              <w:t xml:space="preserve">0.093</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line="240"/>
            </w:pPr>
            <w:r>
              <w:rPr>
                <w:rFonts w:ascii="Times New Roman" w:cs="Times New Roman" w:eastAsia="Times New Roman" w:hAnsi="Times New Roman"/>
                <w:b w:val="false"/>
                <w:bCs w:val="false"/>
                <w:sz w:val="20"/>
                <w:szCs w:val="20"/>
              </w:rPr>
              <w:t xml:space="preserve">0.068</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line="240"/>
            </w:pPr>
            <w:r>
              <w:rPr>
                <w:rFonts w:ascii="Times New Roman" w:cs="Times New Roman" w:eastAsia="Times New Roman" w:hAnsi="Times New Roman"/>
                <w:b w:val="false"/>
                <w:bCs w:val="false"/>
                <w:sz w:val="20"/>
                <w:szCs w:val="20"/>
              </w:rPr>
              <w:t xml:space="preserve">0.085</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line="240"/>
            </w:pPr>
            <w:r>
              <w:rPr>
                <w:rFonts w:ascii="Times New Roman" w:cs="Times New Roman" w:eastAsia="Times New Roman" w:hAnsi="Times New Roman"/>
                <w:b w:val="false"/>
                <w:bCs w:val="false"/>
                <w:sz w:val="20"/>
                <w:szCs w:val="20"/>
              </w:rPr>
              <w:t xml:space="preserve">0.042</w:t>
            </w:r>
          </w:p>
        </w:tc>
      </w:tr>
      <w:tr>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line="240"/>
            </w:pPr>
            <w:r>
              <w:rPr>
                <w:rFonts w:ascii="Times New Roman" w:cs="Times New Roman" w:eastAsia="Times New Roman" w:hAnsi="Times New Roman"/>
                <w:b w:val="false"/>
                <w:bCs w:val="false"/>
                <w:sz w:val="20"/>
                <w:szCs w:val="20"/>
              </w:rPr>
              <w:t xml:space="preserve">Gemma-4-E2B-it</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line="240"/>
            </w:pPr>
            <w:r>
              <w:rPr>
                <w:rFonts w:ascii="Times New Roman" w:cs="Times New Roman" w:eastAsia="Times New Roman" w:hAnsi="Times New Roman"/>
                <w:b w:val="false"/>
                <w:bCs w:val="false"/>
                <w:sz w:val="20"/>
                <w:szCs w:val="20"/>
              </w:rPr>
              <w:t xml:space="preserve">0.410</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line="240"/>
            </w:pPr>
            <w:r>
              <w:rPr>
                <w:rFonts w:ascii="Times New Roman" w:cs="Times New Roman" w:eastAsia="Times New Roman" w:hAnsi="Times New Roman"/>
                <w:b w:val="false"/>
                <w:bCs w:val="false"/>
                <w:sz w:val="20"/>
                <w:szCs w:val="20"/>
              </w:rPr>
              <w:t xml:space="preserve">0.413</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line="240"/>
            </w:pPr>
            <w:r>
              <w:rPr>
                <w:rFonts w:ascii="Times New Roman" w:cs="Times New Roman" w:eastAsia="Times New Roman" w:hAnsi="Times New Roman"/>
                <w:b w:val="false"/>
                <w:bCs w:val="false"/>
                <w:sz w:val="20"/>
                <w:szCs w:val="20"/>
              </w:rPr>
              <w:t xml:space="preserve">0.488</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line="240"/>
            </w:pPr>
            <w:r>
              <w:rPr>
                <w:rFonts w:ascii="Times New Roman" w:cs="Times New Roman" w:eastAsia="Times New Roman" w:hAnsi="Times New Roman"/>
                <w:b w:val="false"/>
                <w:bCs w:val="false"/>
                <w:sz w:val="20"/>
                <w:szCs w:val="20"/>
              </w:rPr>
              <w:t xml:space="preserve">0.404</w:t>
            </w:r>
          </w:p>
        </w:tc>
      </w:tr>
    </w:tbl>
    <w:p>
      <w:pPr>
        <w:spacing w:after="160" w:before="60" w:line="240"/>
      </w:pPr>
      <w:r>
        <w:rPr>
          <w:rFonts w:ascii="Times New Roman" w:cs="Times New Roman" w:eastAsia="Times New Roman" w:hAnsi="Times New Roman"/>
          <w:i/>
          <w:iCs/>
          <w:sz w:val="20"/>
          <w:szCs w:val="20"/>
        </w:rPr>
        <w:t xml:space="preserve">Table 4. Expected calibration error (ECE); lower is better. Plots in results/Nathan_Results/Plots_*/.</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400"/>
        <w:gridCol w:w="1400"/>
        <w:gridCol w:w="1400"/>
        <w:gridCol w:w="1400"/>
        <w:gridCol w:w="1400"/>
      </w:tblGrid>
      <w:tr>
        <w:tc>
          <w:tcPr>
            <w:tcW w:type="dxa" w:w="2360"/>
            <w:tcBorders>
              <w:top w:val="single" w:color="999999" w:sz="1"/>
              <w:left w:val="single" w:color="999999" w:sz="1"/>
              <w:bottom w:val="single" w:color="999999" w:sz="1"/>
              <w:right w:val="single" w:color="999999" w:sz="1"/>
            </w:tcBorders>
            <w:shd w:fill="E8EDF4" w:val="clear"/>
            <w:tcMar>
              <w:top w:type="dxa" w:w="60"/>
              <w:left w:type="dxa" w:w="100"/>
              <w:bottom w:type="dxa" w:w="60"/>
              <w:right w:type="dxa" w:w="100"/>
            </w:tcMar>
          </w:tcPr>
          <w:p>
            <w:pPr>
              <w:spacing w:after="40" w:line="240"/>
            </w:pPr>
            <w:r>
              <w:rPr>
                <w:rFonts w:ascii="Times New Roman" w:cs="Times New Roman" w:eastAsia="Times New Roman" w:hAnsi="Times New Roman"/>
                <w:b/>
                <w:bCs/>
                <w:sz w:val="20"/>
                <w:szCs w:val="20"/>
              </w:rPr>
              <w:t xml:space="preserve">Model</w:t>
            </w:r>
          </w:p>
        </w:tc>
        <w:tc>
          <w:tcPr>
            <w:tcW w:type="dxa" w:w="1400"/>
            <w:tcBorders>
              <w:top w:val="single" w:color="999999" w:sz="1"/>
              <w:left w:val="single" w:color="999999" w:sz="1"/>
              <w:bottom w:val="single" w:color="999999" w:sz="1"/>
              <w:right w:val="single" w:color="999999" w:sz="1"/>
            </w:tcBorders>
            <w:shd w:fill="E8EDF4" w:val="clear"/>
            <w:tcMar>
              <w:top w:type="dxa" w:w="60"/>
              <w:left w:type="dxa" w:w="100"/>
              <w:bottom w:type="dxa" w:w="60"/>
              <w:right w:type="dxa" w:w="100"/>
            </w:tcMar>
          </w:tcPr>
          <w:p>
            <w:pPr>
              <w:spacing w:after="40" w:line="240"/>
            </w:pPr>
            <w:r>
              <w:rPr>
                <w:rFonts w:ascii="Times New Roman" w:cs="Times New Roman" w:eastAsia="Times New Roman" w:hAnsi="Times New Roman"/>
                <w:b/>
                <w:bCs/>
                <w:sz w:val="20"/>
                <w:szCs w:val="20"/>
              </w:rPr>
              <w:t xml:space="preserve">Initial accuracy</w:t>
            </w:r>
          </w:p>
        </w:tc>
        <w:tc>
          <w:tcPr>
            <w:tcW w:type="dxa" w:w="1400"/>
            <w:tcBorders>
              <w:top w:val="single" w:color="999999" w:sz="1"/>
              <w:left w:val="single" w:color="999999" w:sz="1"/>
              <w:bottom w:val="single" w:color="999999" w:sz="1"/>
              <w:right w:val="single" w:color="999999" w:sz="1"/>
            </w:tcBorders>
            <w:shd w:fill="E8EDF4" w:val="clear"/>
            <w:tcMar>
              <w:top w:type="dxa" w:w="60"/>
              <w:left w:type="dxa" w:w="100"/>
              <w:bottom w:type="dxa" w:w="60"/>
              <w:right w:type="dxa" w:w="100"/>
            </w:tcMar>
          </w:tcPr>
          <w:p>
            <w:pPr>
              <w:spacing w:after="40" w:line="240"/>
            </w:pPr>
            <w:r>
              <w:rPr>
                <w:rFonts w:ascii="Times New Roman" w:cs="Times New Roman" w:eastAsia="Times New Roman" w:hAnsi="Times New Roman"/>
                <w:b/>
                <w:bCs/>
                <w:sz w:val="20"/>
                <w:szCs w:val="20"/>
              </w:rPr>
              <w:t xml:space="preserve">Final accuracy</w:t>
            </w:r>
          </w:p>
        </w:tc>
        <w:tc>
          <w:tcPr>
            <w:tcW w:type="dxa" w:w="1400"/>
            <w:tcBorders>
              <w:top w:val="single" w:color="999999" w:sz="1"/>
              <w:left w:val="single" w:color="999999" w:sz="1"/>
              <w:bottom w:val="single" w:color="999999" w:sz="1"/>
              <w:right w:val="single" w:color="999999" w:sz="1"/>
            </w:tcBorders>
            <w:shd w:fill="E8EDF4" w:val="clear"/>
            <w:tcMar>
              <w:top w:type="dxa" w:w="60"/>
              <w:left w:type="dxa" w:w="100"/>
              <w:bottom w:type="dxa" w:w="60"/>
              <w:right w:type="dxa" w:w="100"/>
            </w:tcMar>
          </w:tcPr>
          <w:p>
            <w:pPr>
              <w:spacing w:after="40" w:line="240"/>
            </w:pPr>
            <w:r>
              <w:rPr>
                <w:rFonts w:ascii="Times New Roman" w:cs="Times New Roman" w:eastAsia="Times New Roman" w:hAnsi="Times New Roman"/>
                <w:b/>
                <w:bCs/>
                <w:sz w:val="20"/>
                <w:szCs w:val="20"/>
              </w:rPr>
              <w:t xml:space="preserve">Contradiction rate</w:t>
            </w:r>
          </w:p>
        </w:tc>
        <w:tc>
          <w:tcPr>
            <w:tcW w:type="dxa" w:w="1400"/>
            <w:tcBorders>
              <w:top w:val="single" w:color="999999" w:sz="1"/>
              <w:left w:val="single" w:color="999999" w:sz="1"/>
              <w:bottom w:val="single" w:color="999999" w:sz="1"/>
              <w:right w:val="single" w:color="999999" w:sz="1"/>
            </w:tcBorders>
            <w:shd w:fill="E8EDF4" w:val="clear"/>
            <w:tcMar>
              <w:top w:type="dxa" w:w="60"/>
              <w:left w:type="dxa" w:w="100"/>
              <w:bottom w:type="dxa" w:w="60"/>
              <w:right w:type="dxa" w:w="100"/>
            </w:tcMar>
          </w:tcPr>
          <w:p>
            <w:pPr>
              <w:spacing w:after="40" w:line="240"/>
            </w:pPr>
            <w:r>
              <w:rPr>
                <w:rFonts w:ascii="Times New Roman" w:cs="Times New Roman" w:eastAsia="Times New Roman" w:hAnsi="Times New Roman"/>
                <w:b/>
                <w:bCs/>
                <w:sz w:val="20"/>
                <w:szCs w:val="20"/>
              </w:rPr>
              <w:t xml:space="preserve">Challenge change rate</w:t>
            </w:r>
          </w:p>
        </w:tc>
        <w:tc>
          <w:tcPr>
            <w:tcW w:type="dxa" w:w="1400"/>
            <w:tcBorders>
              <w:top w:val="single" w:color="999999" w:sz="1"/>
              <w:left w:val="single" w:color="999999" w:sz="1"/>
              <w:bottom w:val="single" w:color="999999" w:sz="1"/>
              <w:right w:val="single" w:color="999999" w:sz="1"/>
            </w:tcBorders>
            <w:shd w:fill="E8EDF4" w:val="clear"/>
            <w:tcMar>
              <w:top w:type="dxa" w:w="60"/>
              <w:left w:type="dxa" w:w="100"/>
              <w:bottom w:type="dxa" w:w="60"/>
              <w:right w:type="dxa" w:w="100"/>
            </w:tcMar>
          </w:tcPr>
          <w:p>
            <w:pPr>
              <w:spacing w:after="40" w:line="240"/>
            </w:pPr>
            <w:r>
              <w:rPr>
                <w:rFonts w:ascii="Times New Roman" w:cs="Times New Roman" w:eastAsia="Times New Roman" w:hAnsi="Times New Roman"/>
                <w:b/>
                <w:bCs/>
                <w:sz w:val="20"/>
                <w:szCs w:val="20"/>
              </w:rPr>
              <w:t xml:space="preserve">Gold-to-false flip</w:t>
            </w:r>
          </w:p>
        </w:tc>
      </w:tr>
      <w:tr>
        <w:tc>
          <w:tcPr>
            <w:tcW w:type="dxa" w:w="23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line="240"/>
            </w:pPr>
            <w:r>
              <w:rPr>
                <w:rFonts w:ascii="Times New Roman" w:cs="Times New Roman" w:eastAsia="Times New Roman" w:hAnsi="Times New Roman"/>
                <w:b w:val="false"/>
                <w:bCs w:val="false"/>
                <w:sz w:val="20"/>
                <w:szCs w:val="20"/>
              </w:rPr>
              <w:t xml:space="preserve">Gemma-4-E2B (base)</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line="240"/>
            </w:pPr>
            <w:r>
              <w:rPr>
                <w:rFonts w:ascii="Times New Roman" w:cs="Times New Roman" w:eastAsia="Times New Roman" w:hAnsi="Times New Roman"/>
                <w:b w:val="false"/>
                <w:bCs w:val="false"/>
                <w:sz w:val="20"/>
                <w:szCs w:val="20"/>
              </w:rPr>
              <w:t xml:space="preserve">36%</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line="240"/>
            </w:pPr>
            <w:r>
              <w:rPr>
                <w:rFonts w:ascii="Times New Roman" w:cs="Times New Roman" w:eastAsia="Times New Roman" w:hAnsi="Times New Roman"/>
                <w:b w:val="false"/>
                <w:bCs w:val="false"/>
                <w:sz w:val="20"/>
                <w:szCs w:val="20"/>
              </w:rPr>
              <w:t xml:space="preserve">33%</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line="240"/>
            </w:pPr>
            <w:r>
              <w:rPr>
                <w:rFonts w:ascii="Times New Roman" w:cs="Times New Roman" w:eastAsia="Times New Roman" w:hAnsi="Times New Roman"/>
                <w:b w:val="false"/>
                <w:bCs w:val="false"/>
                <w:sz w:val="20"/>
                <w:szCs w:val="20"/>
              </w:rPr>
              <w:t xml:space="preserve">19%</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line="240"/>
            </w:pPr>
            <w:r>
              <w:rPr>
                <w:rFonts w:ascii="Times New Roman" w:cs="Times New Roman" w:eastAsia="Times New Roman" w:hAnsi="Times New Roman"/>
                <w:b w:val="false"/>
                <w:bCs w:val="false"/>
                <w:sz w:val="20"/>
                <w:szCs w:val="20"/>
              </w:rPr>
              <w:t xml:space="preserve">22%</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line="240"/>
            </w:pPr>
            <w:r>
              <w:rPr>
                <w:rFonts w:ascii="Times New Roman" w:cs="Times New Roman" w:eastAsia="Times New Roman" w:hAnsi="Times New Roman"/>
                <w:b w:val="false"/>
                <w:bCs w:val="false"/>
                <w:sz w:val="20"/>
                <w:szCs w:val="20"/>
              </w:rPr>
              <w:t xml:space="preserve">7%</w:t>
            </w:r>
          </w:p>
        </w:tc>
      </w:tr>
      <w:tr>
        <w:tc>
          <w:tcPr>
            <w:tcW w:type="dxa" w:w="23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line="240"/>
            </w:pPr>
            <w:r>
              <w:rPr>
                <w:rFonts w:ascii="Times New Roman" w:cs="Times New Roman" w:eastAsia="Times New Roman" w:hAnsi="Times New Roman"/>
                <w:b w:val="false"/>
                <w:bCs w:val="false"/>
                <w:sz w:val="20"/>
                <w:szCs w:val="20"/>
              </w:rPr>
              <w:t xml:space="preserve">Gemma-4-E2B-it</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line="240"/>
            </w:pPr>
            <w:r>
              <w:rPr>
                <w:rFonts w:ascii="Times New Roman" w:cs="Times New Roman" w:eastAsia="Times New Roman" w:hAnsi="Times New Roman"/>
                <w:b w:val="false"/>
                <w:bCs w:val="false"/>
                <w:sz w:val="20"/>
                <w:szCs w:val="20"/>
              </w:rPr>
              <w:t xml:space="preserve">44%</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line="240"/>
            </w:pPr>
            <w:r>
              <w:rPr>
                <w:rFonts w:ascii="Times New Roman" w:cs="Times New Roman" w:eastAsia="Times New Roman" w:hAnsi="Times New Roman"/>
                <w:b w:val="false"/>
                <w:bCs w:val="false"/>
                <w:sz w:val="20"/>
                <w:szCs w:val="20"/>
              </w:rPr>
              <w:t xml:space="preserve">41%</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line="240"/>
            </w:pPr>
            <w:r>
              <w:rPr>
                <w:rFonts w:ascii="Times New Roman" w:cs="Times New Roman" w:eastAsia="Times New Roman" w:hAnsi="Times New Roman"/>
                <w:b w:val="false"/>
                <w:bCs w:val="false"/>
                <w:sz w:val="20"/>
                <w:szCs w:val="20"/>
              </w:rPr>
              <w:t xml:space="preserve">6%</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line="240"/>
            </w:pPr>
            <w:r>
              <w:rPr>
                <w:rFonts w:ascii="Times New Roman" w:cs="Times New Roman" w:eastAsia="Times New Roman" w:hAnsi="Times New Roman"/>
                <w:b w:val="false"/>
                <w:bCs w:val="false"/>
                <w:sz w:val="20"/>
                <w:szCs w:val="20"/>
              </w:rPr>
              <w:t xml:space="preserve">80%</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line="240"/>
            </w:pPr>
            <w:r>
              <w:rPr>
                <w:rFonts w:ascii="Times New Roman" w:cs="Times New Roman" w:eastAsia="Times New Roman" w:hAnsi="Times New Roman"/>
                <w:b w:val="false"/>
                <w:bCs w:val="false"/>
                <w:sz w:val="20"/>
                <w:szCs w:val="20"/>
              </w:rPr>
              <w:t xml:space="preserve">12%</w:t>
            </w:r>
          </w:p>
        </w:tc>
      </w:tr>
    </w:tbl>
    <w:p>
      <w:pPr>
        <w:spacing w:after="160" w:before="60" w:line="240"/>
      </w:pPr>
      <w:r>
        <w:rPr>
          <w:rFonts w:ascii="Times New Roman" w:cs="Times New Roman" w:eastAsia="Times New Roman" w:hAnsi="Times New Roman"/>
          <w:i/>
          <w:iCs/>
          <w:sz w:val="20"/>
          <w:szCs w:val="20"/>
        </w:rPr>
        <w:t xml:space="preserve">Table 5. Multi-turn consistency and sycophancy on the 100-item English subset.</w:t>
      </w:r>
    </w:p>
    <w:p>
      <w:pPr>
        <w:spacing w:after="160" w:line="240"/>
      </w:pPr>
      <w:r>
        <w:rPr>
          <w:rFonts w:ascii="Times New Roman" w:cs="Times New Roman" w:eastAsia="Times New Roman" w:hAnsi="Times New Roman"/>
          <w:i/>
          <w:iCs/>
          <w:sz w:val="20"/>
          <w:szCs w:val="20"/>
        </w:rPr>
        <w:t xml:space="preserve">Notes: </w:t>
      </w:r>
      <w:r>
        <w:rPr>
          <w:rFonts w:ascii="Times New Roman" w:cs="Times New Roman" w:eastAsia="Times New Roman" w:hAnsi="Times New Roman"/>
          <w:b/>
          <w:bCs/>
          <w:color w:val="C00000"/>
          <w:sz w:val="20"/>
          <w:szCs w:val="20"/>
        </w:rPr>
        <w:t xml:space="preserve">[TO FILL: confirm definitions distinguishing the contradiction and challenge change columns, and where false adoption rate appears]</w:t>
      </w:r>
      <w:r>
        <w:rPr>
          <w:rFonts w:ascii="Times New Roman" w:cs="Times New Roman" w:eastAsia="Times New Roman" w:hAnsi="Times New Roman"/>
          <w:i/>
          <w:iCs/>
          <w:sz w:val="20"/>
          <w:szCs w:val="20"/>
        </w:rPr>
        <w:t xml:space="preserve">. Initial accuracy (44%) differs from Table 2 (48%) due to pipeline differences </w:t>
      </w:r>
      <w:r>
        <w:rPr>
          <w:rFonts w:ascii="Times New Roman" w:cs="Times New Roman" w:eastAsia="Times New Roman" w:hAnsi="Times New Roman"/>
          <w:b/>
          <w:bCs/>
          <w:color w:val="C00000"/>
          <w:sz w:val="20"/>
          <w:szCs w:val="20"/>
        </w:rPr>
        <w:t xml:space="preserve">[TO FILL: confirm]</w:t>
      </w:r>
      <w:r>
        <w:rPr>
          <w:rFonts w:ascii="Times New Roman" w:cs="Times New Roman" w:eastAsia="Times New Roman" w:hAnsi="Times New Roman"/>
          <w:i/>
          <w:iCs/>
          <w:sz w:val="20"/>
          <w:szCs w:val="20"/>
        </w:rPr>
        <w:t xml:space="preserve">.</w:t>
      </w:r>
    </w:p>
    <w:p>
      <w:pPr>
        <w:pStyle w:val="Heading1"/>
        <w:spacing w:after="60" w:before="120" w:line="360"/>
      </w:pPr>
      <w:r>
        <w:rPr>
          <w:rFonts w:ascii="Times New Roman" w:cs="Times New Roman" w:eastAsia="Times New Roman" w:hAnsi="Times New Roman"/>
          <w:b/>
          <w:bCs/>
          <w:sz w:val="28"/>
          <w:szCs w:val="28"/>
        </w:rPr>
        <w:t xml:space="preserve">5. Discussion of Results</w:t>
      </w:r>
    </w:p>
    <w:p>
      <w:pPr>
        <w:pStyle w:val="Heading2"/>
        <w:spacing w:after="40" w:before="80" w:line="360"/>
      </w:pPr>
      <w:r>
        <w:rPr>
          <w:rFonts w:ascii="Times New Roman" w:cs="Times New Roman" w:eastAsia="Times New Roman" w:hAnsi="Times New Roman"/>
          <w:b/>
          <w:bCs/>
          <w:sz w:val="24"/>
          <w:szCs w:val="24"/>
        </w:rPr>
        <w:t xml:space="preserve">5.1 Cross-lingual shift</w:t>
      </w:r>
    </w:p>
    <w:p>
      <w:pPr>
        <w:spacing w:after="0" w:line="480"/>
      </w:pPr>
      <w:r>
        <w:rPr>
          <w:rFonts w:ascii="Times New Roman" w:cs="Times New Roman" w:eastAsia="Times New Roman" w:hAnsi="Times New Roman"/>
          <w:sz w:val="24"/>
          <w:szCs w:val="24"/>
        </w:rPr>
        <w:t xml:space="preserve">The instruction-tuned model loses a third of its English capability in Basque (48% to 31%, LPI 0.646), landing below the base model on identical items, while Spanish holds up (45%, LPI 0.938). Instruction-tuning gains concentrate in high-resource languages: deployed multilingually, this assistant would silently serve Basque speakers a categorically worse product. The base model's near-flat profile (39/37/38%) is uniform weakness near the 25% chance floor, not robustness, which is why LPI must be read alongside absolute accuracy.</w:t>
      </w:r>
    </w:p>
    <w:p>
      <w:pPr>
        <w:pStyle w:val="Heading2"/>
        <w:spacing w:after="40" w:before="80" w:line="360"/>
      </w:pPr>
      <w:r>
        <w:rPr>
          <w:rFonts w:ascii="Times New Roman" w:cs="Times New Roman" w:eastAsia="Times New Roman" w:hAnsi="Times New Roman"/>
          <w:b/>
          <w:bCs/>
          <w:sz w:val="24"/>
          <w:szCs w:val="24"/>
        </w:rPr>
        <w:t xml:space="preserve">5.2 Calibration</w:t>
      </w:r>
    </w:p>
    <w:p>
      <w:pPr>
        <w:spacing w:after="0" w:line="480"/>
      </w:pPr>
      <w:r>
        <w:rPr>
          <w:rFonts w:ascii="Times New Roman" w:cs="Times New Roman" w:eastAsia="Times New Roman" w:hAnsi="Times New Roman"/>
          <w:sz w:val="24"/>
          <w:szCs w:val="24"/>
        </w:rPr>
        <w:t xml:space="preserve">The base model is roughly calibrated (ECE 0.042 to 0.093) but weak; the instruction-tuned model is severely overconfident, with ECE near 0.41 in every language and 0.488 in Basque, worst exactly where accuracy is lowest. That is the dangerous quadrant: most confident where most wrong, so its confidence cannot gate escalation to a human lawyer without recalibration.</w:t>
      </w:r>
    </w:p>
    <w:p>
      <w:pPr>
        <w:pStyle w:val="Heading2"/>
        <w:spacing w:after="40" w:before="80" w:line="360"/>
      </w:pPr>
      <w:r>
        <w:rPr>
          <w:rFonts w:ascii="Times New Roman" w:cs="Times New Roman" w:eastAsia="Times New Roman" w:hAnsi="Times New Roman"/>
          <w:b/>
          <w:bCs/>
          <w:sz w:val="24"/>
          <w:szCs w:val="24"/>
        </w:rPr>
        <w:t xml:space="preserve">5.3 Sycophancy and consistency</w:t>
      </w:r>
    </w:p>
    <w:p>
      <w:pPr>
        <w:spacing w:after="0" w:line="480"/>
      </w:pPr>
      <w:r>
        <w:rPr>
          <w:rFonts w:ascii="Times New Roman" w:cs="Times New Roman" w:eastAsia="Times New Roman" w:hAnsi="Times New Roman"/>
          <w:sz w:val="24"/>
          <w:szCs w:val="24"/>
        </w:rPr>
        <w:t xml:space="preserve">Under a single confident challenge, the instruction-tuned model changed its answer 80% of the time (base 22%) and flipped from correct to the user's wrong answer 12% of the time; both models lost three points of accuracy after pressure. Its low contradiction rate (6%) beside the very high change rate indicates a model that stays coherent within its final story but abandons its position when pushed: a client who confidently misstates the law will usually take the assistant with them. We tested one phrasing in one turn, and the format misses hedged capitulation that stops short of changing the letter. Throughout, both models sit below 50% accuracy (chance is 25%; the full 1,534-question run confirms the subset is representative): neither has the competence floor for legal advice, and the failures worsen selectively, in Basque, under pressure, and in confidence.</w:t>
      </w:r>
    </w:p>
    <w:p>
      <w:pPr>
        <w:pStyle w:val="Heading1"/>
        <w:spacing w:after="60" w:before="120" w:line="360"/>
      </w:pPr>
      <w:r>
        <w:rPr>
          <w:rFonts w:ascii="Times New Roman" w:cs="Times New Roman" w:eastAsia="Times New Roman" w:hAnsi="Times New Roman"/>
          <w:b/>
          <w:bCs/>
          <w:sz w:val="28"/>
          <w:szCs w:val="28"/>
        </w:rPr>
        <w:t xml:space="preserve">6. Limitations</w:t>
      </w:r>
    </w:p>
    <w:p>
      <w:pPr>
        <w:pStyle w:val="ListParagraph"/>
        <w:numPr>
          <w:ilvl w:val="0"/>
          <w:numId w:val="2"/>
        </w:numPr>
        <w:spacing w:after="60" w:line="240"/>
      </w:pPr>
      <w:r>
        <w:rPr>
          <w:rFonts w:ascii="Times New Roman" w:cs="Times New Roman" w:eastAsia="Times New Roman" w:hAnsi="Times New Roman"/>
          <w:sz w:val="24"/>
          <w:szCs w:val="24"/>
        </w:rPr>
        <w:t xml:space="preserve">Multiple-choice bar-exam questions measure legal knowledge recall, not open-ended advice, drafting, or citation behavior; and at 100 items per language, differences of a few points are within noise (the Basque collapse is far larger).</w:t>
      </w:r>
    </w:p>
    <w:p>
      <w:pPr>
        <w:pStyle w:val="ListParagraph"/>
        <w:numPr>
          <w:ilvl w:val="0"/>
          <w:numId w:val="2"/>
        </w:numPr>
        <w:spacing w:after="60" w:line="240"/>
      </w:pPr>
      <w:r>
        <w:rPr>
          <w:rFonts w:ascii="Times New Roman" w:cs="Times New Roman" w:eastAsia="Times New Roman" w:hAnsi="Times New Roman"/>
          <w:sz w:val="24"/>
          <w:szCs w:val="24"/>
        </w:rPr>
        <w:t xml:space="preserve">Translations were LLM-generated with glossary control and merge-time validation but not reviewed by native-speaker legal professionals; known caveats are logged in data/TRANSLATION_NOTES.md and likely make the Basque estimate conservative.</w:t>
      </w:r>
    </w:p>
    <w:p>
      <w:pPr>
        <w:pStyle w:val="ListParagraph"/>
        <w:numPr>
          <w:ilvl w:val="0"/>
          <w:numId w:val="2"/>
        </w:numPr>
        <w:spacing w:after="60" w:line="240"/>
      </w:pPr>
      <w:r>
        <w:rPr>
          <w:rFonts w:ascii="Times New Roman" w:cs="Times New Roman" w:eastAsia="Times New Roman" w:hAnsi="Times New Roman"/>
          <w:sz w:val="24"/>
          <w:szCs w:val="24"/>
        </w:rPr>
        <w:t xml:space="preserve">Sycophancy uses one scripted pressure pattern, and ECE uses answer-token confidence rather than the verbalized certainty users see.</w:t>
      </w:r>
    </w:p>
    <w:p>
      <w:pPr>
        <w:pStyle w:val="ListParagraph"/>
        <w:numPr>
          <w:ilvl w:val="0"/>
          <w:numId w:val="2"/>
        </w:numPr>
        <w:spacing w:after="60" w:line="240"/>
      </w:pPr>
      <w:r>
        <w:rPr>
          <w:rFonts w:ascii="Times New Roman" w:cs="Times New Roman" w:eastAsia="Times New Roman" w:hAnsi="Times New Roman"/>
          <w:b/>
          <w:bCs/>
          <w:color w:val="C00000"/>
          <w:sz w:val="24"/>
          <w:szCs w:val="24"/>
        </w:rPr>
        <w:t xml:space="preserve">[TO FILL: judge limitations once the LLM-as-judge section lands, including that Gemma-family judges evaluating Gemma outputs share training lineage]</w:t>
      </w:r>
    </w:p>
    <w:p>
      <w:pPr>
        <w:pStyle w:val="Heading1"/>
        <w:spacing w:after="60" w:before="120" w:line="360"/>
      </w:pPr>
      <w:r>
        <w:rPr>
          <w:rFonts w:ascii="Times New Roman" w:cs="Times New Roman" w:eastAsia="Times New Roman" w:hAnsi="Times New Roman"/>
          <w:b/>
          <w:bCs/>
          <w:sz w:val="28"/>
          <w:szCs w:val="28"/>
        </w:rPr>
        <w:t xml:space="preserve">7. Proposed Metric (Bonus): Language Parity Index</w:t>
      </w:r>
    </w:p>
    <w:p>
      <w:pPr>
        <w:spacing w:after="0" w:line="480"/>
      </w:pPr>
      <w:r>
        <w:rPr>
          <w:rFonts w:ascii="Times New Roman" w:cs="Times New Roman" w:eastAsia="Times New Roman" w:hAnsi="Times New Roman"/>
          <w:sz w:val="24"/>
          <w:szCs w:val="24"/>
        </w:rPr>
        <w:t xml:space="preserve">We propose the Language Parity Index, LPI(language) = accuracy(language) / accuracy(English), as a reusable metric for multilingual deployment: a dimensionless number encoding what fraction of the English-language product non-English users actually get. It has a failure mode our own results demonstrate: a uniformly weak model shows high parity (the base model reaches 0.974 in Basque while barely beating chance anywhere), so LPI must be reported with absolute accuracy and the chance baseline. A reasonable gate: LPI at or above 0.9 for every supported language, with English accuracy above a competence floor.</w:t>
      </w:r>
    </w:p>
    <w:p>
      <w:pPr>
        <w:pStyle w:val="Heading1"/>
        <w:spacing w:after="60" w:before="120" w:line="360"/>
      </w:pPr>
      <w:r>
        <w:rPr>
          <w:rFonts w:ascii="Times New Roman" w:cs="Times New Roman" w:eastAsia="Times New Roman" w:hAnsi="Times New Roman"/>
          <w:b/>
          <w:bCs/>
          <w:sz w:val="28"/>
          <w:szCs w:val="28"/>
        </w:rPr>
        <w:t xml:space="preserve">8. Conclusion and Deployment Recommendation</w:t>
      </w:r>
    </w:p>
    <w:p>
      <w:pPr>
        <w:spacing w:after="0" w:line="480"/>
      </w:pPr>
      <w:r>
        <w:rPr>
          <w:rFonts w:ascii="Times New Roman" w:cs="Times New Roman" w:eastAsia="Times New Roman" w:hAnsi="Times New Roman"/>
          <w:sz w:val="24"/>
          <w:szCs w:val="24"/>
        </w:rPr>
        <w:t xml:space="preserve">Treated as a legal AI assistant, gemma-4-E2B-it fails the scorecard on three independent axes: unreliable confidence (ECE 0.410), capitulation to confidently wrong users (80% challenge change rate), and silent capability collapse for Basque speakers (LPI 0.646). Neither variant should be deployed as a legal assistant in any language. Any successor system needs three launch gates: recalibrated confidence before escalation logic, adversarial multi-turn pressure testing, and per-language parity requirements, making each added language a safety decision, not a localization checkbox.</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40" w:before="80"/>
      <w:outlineLvl w:val="1"/>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uvltgvj_jvctp6qpf-i0" Type="http://schemas.openxmlformats.org/officeDocument/2006/relationships/hyperlink" Target="https://github.com/nathanctodd/legal-llm-metrics" TargetMode="External"/><Relationship Id="rIdgbrwt-tvbvmwyhyhkb_nu" Type="http://schemas.openxmlformats.org/officeDocument/2006/relationships/hyperlink" Target="https://devpost.com/software/uva-decoding-llms-project"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2026-07-08T17:58:48.708Z</dcterms:created>
  <dcterms:modified xsi:type="dcterms:W3CDTF">2026-07-08T17:58:48.713Z</dcterms:modified>
</cp:coreProperties>
</file>

<file path=docProps/custom.xml><?xml version="1.0" encoding="utf-8"?>
<Properties xmlns="http://schemas.openxmlformats.org/officeDocument/2006/custom-properties" xmlns:vt="http://schemas.openxmlformats.org/officeDocument/2006/docPropsVTypes"/>
</file>