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388CA2" w14:textId="304E7C20" w:rsidR="008F107B" w:rsidRDefault="009435AE">
      <w:pPr>
        <w:rPr>
          <w:b/>
          <w:bCs/>
        </w:rPr>
      </w:pPr>
      <w:r w:rsidRPr="009435AE">
        <w:rPr>
          <w:b/>
          <w:bCs/>
        </w:rPr>
        <w:t>Description of Project</w:t>
      </w:r>
    </w:p>
    <w:p w14:paraId="4DFCA147" w14:textId="32044DCB" w:rsidR="009435AE" w:rsidRDefault="009435AE">
      <w:pPr>
        <w:rPr>
          <w:b/>
          <w:bCs/>
        </w:rPr>
      </w:pPr>
      <w:r>
        <w:rPr>
          <w:b/>
          <w:bCs/>
        </w:rPr>
        <w:t>Nathan Deron</w:t>
      </w:r>
    </w:p>
    <w:p w14:paraId="6A294208" w14:textId="558E6F87" w:rsidR="009435AE" w:rsidRDefault="009435AE">
      <w:r>
        <w:t>This report looks at the impact of COVID-19 bus schedule changes on Allegheny County communities. The first analysis looks at how bus density for the county was affected. This change of density shows where buses were cut most while the new bus schedules are in effect.</w:t>
      </w:r>
    </w:p>
    <w:p w14:paraId="54596CE7" w14:textId="3400FFA3" w:rsidR="009435AE" w:rsidRDefault="009435AE">
      <w:r>
        <w:t>Note that much of the county does not have easy access to public transit. The changes in bus schedules has no effect on those portions of the counties that cannot easily access Port Authority buses or light rail services.</w:t>
      </w:r>
    </w:p>
    <w:p w14:paraId="68D7BB50" w14:textId="2DF15349" w:rsidR="009435AE" w:rsidRDefault="009435AE">
      <w:r>
        <w:t xml:space="preserve">I defined access to public transit as a person living within a 10-minute walk of any bus stop. This is a very liberal definition—many analyses use a 5-minute buffer around stops. This also does not </w:t>
      </w:r>
      <w:proofErr w:type="gramStart"/>
      <w:r>
        <w:t>take into account</w:t>
      </w:r>
      <w:proofErr w:type="gramEnd"/>
      <w:r>
        <w:t xml:space="preserve"> the requirement of transfers, which greatly affect the ease of use for many people outside the urban core.</w:t>
      </w:r>
    </w:p>
    <w:p w14:paraId="1E14E3F3" w14:textId="71B30297" w:rsidR="009435AE" w:rsidRDefault="009435AE">
      <w:r>
        <w:t>From this first analysis I found that much of the change in bus density occurs in the urban core. This is where bus volume was already the highest, so it does make sense that these were the areas where service was reduced the most.</w:t>
      </w:r>
    </w:p>
    <w:p w14:paraId="7B77457A" w14:textId="75E2AD26" w:rsidR="009435AE" w:rsidRPr="009435AE" w:rsidRDefault="009435AE">
      <w:r>
        <w:t>Going forward I will also look at the characteristics of the people living near where the bus density was cut most. Additionally I will use stop-level usage data to see where the usage has changed the most and ensure that buses haven’t reduced their service much more than the ridership.</w:t>
      </w:r>
    </w:p>
    <w:sectPr w:rsidR="009435AE" w:rsidRPr="009435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5AE"/>
    <w:rsid w:val="001E4A8B"/>
    <w:rsid w:val="009435AE"/>
    <w:rsid w:val="00C25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D6B9E"/>
  <w15:chartTrackingRefBased/>
  <w15:docId w15:val="{1D124744-D63B-47D1-AD0B-456993AE4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204</Words>
  <Characters>1166</Characters>
  <Application>Microsoft Office Word</Application>
  <DocSecurity>0</DocSecurity>
  <Lines>9</Lines>
  <Paragraphs>2</Paragraphs>
  <ScaleCrop>false</ScaleCrop>
  <Company/>
  <LinksUpToDate>false</LinksUpToDate>
  <CharactersWithSpaces>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Deron</dc:creator>
  <cp:keywords/>
  <dc:description/>
  <cp:lastModifiedBy>Nathan Deron</cp:lastModifiedBy>
  <cp:revision>1</cp:revision>
  <dcterms:created xsi:type="dcterms:W3CDTF">2020-04-22T19:15:00Z</dcterms:created>
  <dcterms:modified xsi:type="dcterms:W3CDTF">2020-04-22T19:24:00Z</dcterms:modified>
</cp:coreProperties>
</file>