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99E1E" w14:textId="77777777" w:rsidR="004745AF" w:rsidRPr="00265D44" w:rsidRDefault="004745AF" w:rsidP="004745AF">
      <w:pPr>
        <w:contextualSpacing w:val="0"/>
        <w:jc w:val="center"/>
        <w:rPr>
          <w:sz w:val="24"/>
          <w:szCs w:val="24"/>
        </w:rPr>
      </w:pPr>
      <w:r w:rsidRPr="00265D44">
        <w:rPr>
          <w:sz w:val="24"/>
          <w:szCs w:val="24"/>
        </w:rPr>
        <w:t>Bug Fix Regarding the Generation of Uniform Rotations on the Sphere</w:t>
      </w:r>
    </w:p>
    <w:p w14:paraId="3833C9D4" w14:textId="77777777" w:rsidR="004745AF" w:rsidRPr="00265D44" w:rsidRDefault="004745AF" w:rsidP="004745AF">
      <w:pPr>
        <w:contextualSpacing w:val="0"/>
        <w:rPr>
          <w:sz w:val="24"/>
          <w:szCs w:val="24"/>
        </w:rPr>
      </w:pPr>
    </w:p>
    <w:p w14:paraId="35D29731" w14:textId="2E196E75" w:rsidR="004745AF" w:rsidRPr="00265D44" w:rsidRDefault="004745AF" w:rsidP="004745AF">
      <w:pPr>
        <w:contextualSpacing w:val="0"/>
        <w:rPr>
          <w:sz w:val="24"/>
          <w:szCs w:val="24"/>
        </w:rPr>
      </w:pPr>
      <w:r w:rsidRPr="00265D44">
        <w:rPr>
          <w:sz w:val="24"/>
          <w:szCs w:val="24"/>
        </w:rPr>
        <w:t xml:space="preserve">Aaron Alexander-Bloch (1), Julien </w:t>
      </w:r>
      <w:proofErr w:type="spellStart"/>
      <w:r w:rsidRPr="00265D44">
        <w:rPr>
          <w:sz w:val="24"/>
          <w:szCs w:val="24"/>
        </w:rPr>
        <w:t>Lefèvre</w:t>
      </w:r>
      <w:proofErr w:type="spellEnd"/>
      <w:r w:rsidRPr="00265D44">
        <w:rPr>
          <w:sz w:val="24"/>
          <w:szCs w:val="24"/>
        </w:rPr>
        <w:t xml:space="preserve"> (2), </w:t>
      </w:r>
      <w:r w:rsidRPr="00265D44">
        <w:rPr>
          <w:sz w:val="24"/>
          <w:szCs w:val="24"/>
          <w:lang w:val="en-US"/>
        </w:rPr>
        <w:t xml:space="preserve">Jakob Seidlitz (3), </w:t>
      </w:r>
      <w:proofErr w:type="spellStart"/>
      <w:r w:rsidRPr="00265D44">
        <w:rPr>
          <w:sz w:val="24"/>
          <w:szCs w:val="24"/>
        </w:rPr>
        <w:t>Haochang</w:t>
      </w:r>
      <w:proofErr w:type="spellEnd"/>
      <w:r w:rsidRPr="00265D44">
        <w:rPr>
          <w:sz w:val="24"/>
          <w:szCs w:val="24"/>
        </w:rPr>
        <w:t xml:space="preserve"> </w:t>
      </w:r>
      <w:proofErr w:type="spellStart"/>
      <w:r w:rsidRPr="00265D44">
        <w:rPr>
          <w:sz w:val="24"/>
          <w:szCs w:val="24"/>
        </w:rPr>
        <w:t>Shou</w:t>
      </w:r>
      <w:proofErr w:type="spellEnd"/>
      <w:r w:rsidRPr="00265D44">
        <w:rPr>
          <w:sz w:val="24"/>
          <w:szCs w:val="24"/>
        </w:rPr>
        <w:t xml:space="preserve"> (4), </w:t>
      </w:r>
      <w:proofErr w:type="spellStart"/>
      <w:r w:rsidRPr="00265D44">
        <w:rPr>
          <w:sz w:val="24"/>
          <w:szCs w:val="24"/>
        </w:rPr>
        <w:t>Siyuan</w:t>
      </w:r>
      <w:proofErr w:type="spellEnd"/>
      <w:r w:rsidRPr="00265D44">
        <w:rPr>
          <w:sz w:val="24"/>
          <w:szCs w:val="24"/>
        </w:rPr>
        <w:t xml:space="preserve"> Liu (3), Theodore D. Satterthwaite (5), David C. </w:t>
      </w:r>
      <w:proofErr w:type="spellStart"/>
      <w:r w:rsidRPr="00265D44">
        <w:rPr>
          <w:sz w:val="24"/>
          <w:szCs w:val="24"/>
        </w:rPr>
        <w:t>Glahn</w:t>
      </w:r>
      <w:proofErr w:type="spellEnd"/>
      <w:r w:rsidRPr="00265D44">
        <w:rPr>
          <w:sz w:val="24"/>
          <w:szCs w:val="24"/>
        </w:rPr>
        <w:t xml:space="preserve"> (1, 6), Russell T. Shinohara (4), Simon N. </w:t>
      </w:r>
      <w:proofErr w:type="spellStart"/>
      <w:r w:rsidRPr="00265D44">
        <w:rPr>
          <w:sz w:val="24"/>
          <w:szCs w:val="24"/>
        </w:rPr>
        <w:t>Vandekar</w:t>
      </w:r>
      <w:proofErr w:type="spellEnd"/>
      <w:r w:rsidRPr="00265D44">
        <w:rPr>
          <w:sz w:val="24"/>
          <w:szCs w:val="24"/>
        </w:rPr>
        <w:t xml:space="preserve"> (4,7), Armin </w:t>
      </w:r>
      <w:proofErr w:type="spellStart"/>
      <w:r w:rsidRPr="00265D44">
        <w:rPr>
          <w:sz w:val="24"/>
          <w:szCs w:val="24"/>
        </w:rPr>
        <w:t>Raznahan</w:t>
      </w:r>
      <w:proofErr w:type="spellEnd"/>
      <w:r w:rsidRPr="00265D44">
        <w:rPr>
          <w:sz w:val="24"/>
          <w:szCs w:val="24"/>
        </w:rPr>
        <w:t xml:space="preserve"> (3)</w:t>
      </w:r>
    </w:p>
    <w:p w14:paraId="6AFF1016" w14:textId="77777777" w:rsidR="004745AF" w:rsidRPr="00265D44" w:rsidRDefault="004745AF" w:rsidP="004745AF">
      <w:pPr>
        <w:contextualSpacing w:val="0"/>
        <w:rPr>
          <w:sz w:val="24"/>
          <w:szCs w:val="24"/>
        </w:rPr>
      </w:pPr>
    </w:p>
    <w:p w14:paraId="5618FB4D" w14:textId="77777777" w:rsidR="004745AF" w:rsidRPr="00265D44" w:rsidRDefault="004745AF" w:rsidP="004745AF">
      <w:pPr>
        <w:contextualSpacing w:val="0"/>
        <w:rPr>
          <w:sz w:val="24"/>
          <w:szCs w:val="24"/>
        </w:rPr>
      </w:pPr>
      <w:r w:rsidRPr="00265D44">
        <w:rPr>
          <w:sz w:val="24"/>
          <w:szCs w:val="24"/>
        </w:rPr>
        <w:t>1.</w:t>
      </w:r>
      <w:r w:rsidRPr="00265D44">
        <w:rPr>
          <w:sz w:val="24"/>
          <w:szCs w:val="24"/>
        </w:rPr>
        <w:tab/>
        <w:t>Yale University School of Medicine, Department of Psychiatry</w:t>
      </w:r>
    </w:p>
    <w:p w14:paraId="176D949D" w14:textId="77777777" w:rsidR="004745AF" w:rsidRPr="00265D44" w:rsidRDefault="004745AF" w:rsidP="004745AF">
      <w:pPr>
        <w:contextualSpacing w:val="0"/>
        <w:rPr>
          <w:sz w:val="24"/>
          <w:szCs w:val="24"/>
          <w:lang w:val="en-US"/>
        </w:rPr>
      </w:pPr>
      <w:r w:rsidRPr="00265D44">
        <w:rPr>
          <w:sz w:val="24"/>
          <w:szCs w:val="24"/>
        </w:rPr>
        <w:t>2.</w:t>
      </w:r>
      <w:r w:rsidRPr="00265D44">
        <w:rPr>
          <w:sz w:val="24"/>
          <w:szCs w:val="24"/>
        </w:rPr>
        <w:tab/>
      </w:r>
      <w:r w:rsidRPr="00265D44">
        <w:rPr>
          <w:sz w:val="24"/>
          <w:szCs w:val="24"/>
          <w:lang w:val="en-US"/>
        </w:rPr>
        <w:t xml:space="preserve">Aix-Marseille University, CNRS, INT, Inst </w:t>
      </w:r>
      <w:proofErr w:type="spellStart"/>
      <w:r w:rsidRPr="00265D44">
        <w:rPr>
          <w:sz w:val="24"/>
          <w:szCs w:val="24"/>
          <w:lang w:val="en-US"/>
        </w:rPr>
        <w:t>Neurosci</w:t>
      </w:r>
      <w:proofErr w:type="spellEnd"/>
      <w:r w:rsidRPr="00265D44">
        <w:rPr>
          <w:sz w:val="24"/>
          <w:szCs w:val="24"/>
          <w:lang w:val="en-US"/>
        </w:rPr>
        <w:t xml:space="preserve"> </w:t>
      </w:r>
      <w:proofErr w:type="spellStart"/>
      <w:r w:rsidRPr="00265D44">
        <w:rPr>
          <w:sz w:val="24"/>
          <w:szCs w:val="24"/>
          <w:lang w:val="en-US"/>
        </w:rPr>
        <w:t>Timone</w:t>
      </w:r>
      <w:proofErr w:type="spellEnd"/>
      <w:r w:rsidRPr="00265D44">
        <w:rPr>
          <w:sz w:val="24"/>
          <w:szCs w:val="24"/>
          <w:lang w:val="en-US"/>
        </w:rPr>
        <w:t>, Marseille, France</w:t>
      </w:r>
    </w:p>
    <w:p w14:paraId="2CC9239B" w14:textId="77777777" w:rsidR="004745AF" w:rsidRPr="00265D44" w:rsidRDefault="004745AF" w:rsidP="004745AF">
      <w:pPr>
        <w:ind w:left="720" w:hanging="720"/>
        <w:contextualSpacing w:val="0"/>
        <w:rPr>
          <w:sz w:val="24"/>
          <w:szCs w:val="24"/>
        </w:rPr>
      </w:pPr>
      <w:r w:rsidRPr="00265D44">
        <w:rPr>
          <w:sz w:val="24"/>
          <w:szCs w:val="24"/>
        </w:rPr>
        <w:t>3.</w:t>
      </w:r>
      <w:r w:rsidRPr="00265D44">
        <w:rPr>
          <w:sz w:val="24"/>
          <w:szCs w:val="24"/>
        </w:rPr>
        <w:tab/>
      </w:r>
      <w:r w:rsidRPr="00265D44">
        <w:rPr>
          <w:sz w:val="24"/>
          <w:szCs w:val="24"/>
        </w:rPr>
        <w:t xml:space="preserve">Developmental </w:t>
      </w:r>
      <w:proofErr w:type="spellStart"/>
      <w:r w:rsidRPr="00265D44">
        <w:rPr>
          <w:sz w:val="24"/>
          <w:szCs w:val="24"/>
        </w:rPr>
        <w:t>Neurogenomics</w:t>
      </w:r>
      <w:proofErr w:type="spellEnd"/>
      <w:r w:rsidRPr="00265D44">
        <w:rPr>
          <w:sz w:val="24"/>
          <w:szCs w:val="24"/>
        </w:rPr>
        <w:t xml:space="preserve"> Unit, Human Genetics Branch, National Institute of Mental Health, Intramural Program</w:t>
      </w:r>
      <w:r w:rsidRPr="00265D44">
        <w:rPr>
          <w:sz w:val="24"/>
          <w:szCs w:val="24"/>
        </w:rPr>
        <w:t xml:space="preserve"> </w:t>
      </w:r>
    </w:p>
    <w:p w14:paraId="100A4F91" w14:textId="18F7256C" w:rsidR="004745AF" w:rsidRPr="00265D44" w:rsidRDefault="004745AF" w:rsidP="004745AF">
      <w:pPr>
        <w:ind w:left="720" w:hanging="720"/>
        <w:contextualSpacing w:val="0"/>
        <w:rPr>
          <w:sz w:val="24"/>
          <w:szCs w:val="24"/>
        </w:rPr>
      </w:pPr>
      <w:r w:rsidRPr="00265D44">
        <w:rPr>
          <w:sz w:val="24"/>
          <w:szCs w:val="24"/>
        </w:rPr>
        <w:t xml:space="preserve">4. </w:t>
      </w:r>
      <w:r w:rsidRPr="00265D44">
        <w:rPr>
          <w:sz w:val="24"/>
          <w:szCs w:val="24"/>
        </w:rPr>
        <w:tab/>
        <w:t xml:space="preserve">University of Pennsylvania Perelman School of Medicine, Department of Biostatistics, Epidemiology, and </w:t>
      </w:r>
      <w:r w:rsidRPr="00265D44">
        <w:rPr>
          <w:sz w:val="24"/>
          <w:szCs w:val="24"/>
        </w:rPr>
        <w:t>Informatics</w:t>
      </w:r>
    </w:p>
    <w:p w14:paraId="769B1E87" w14:textId="2025FF36" w:rsidR="004745AF" w:rsidRPr="00265D44" w:rsidRDefault="004745AF" w:rsidP="004745AF">
      <w:pPr>
        <w:contextualSpacing w:val="0"/>
        <w:rPr>
          <w:sz w:val="24"/>
          <w:szCs w:val="24"/>
        </w:rPr>
      </w:pPr>
      <w:r w:rsidRPr="00265D44">
        <w:rPr>
          <w:sz w:val="24"/>
          <w:szCs w:val="24"/>
        </w:rPr>
        <w:t>5.</w:t>
      </w:r>
      <w:r w:rsidRPr="00265D44">
        <w:rPr>
          <w:sz w:val="24"/>
          <w:szCs w:val="24"/>
        </w:rPr>
        <w:tab/>
      </w:r>
      <w:r w:rsidRPr="00265D44">
        <w:rPr>
          <w:sz w:val="24"/>
          <w:szCs w:val="24"/>
        </w:rPr>
        <w:t>University of Pennsylvania School of Medicine, Department of Psychiatry</w:t>
      </w:r>
    </w:p>
    <w:p w14:paraId="37EF0B5E" w14:textId="77777777" w:rsidR="004745AF" w:rsidRPr="00265D44" w:rsidRDefault="004745AF" w:rsidP="004745AF">
      <w:pPr>
        <w:contextualSpacing w:val="0"/>
        <w:rPr>
          <w:sz w:val="24"/>
          <w:szCs w:val="24"/>
        </w:rPr>
      </w:pPr>
      <w:r w:rsidRPr="00265D44">
        <w:rPr>
          <w:sz w:val="24"/>
          <w:szCs w:val="24"/>
        </w:rPr>
        <w:t>6.</w:t>
      </w:r>
      <w:r w:rsidRPr="00265D44">
        <w:rPr>
          <w:sz w:val="24"/>
          <w:szCs w:val="24"/>
        </w:rPr>
        <w:tab/>
        <w:t>Olin Neuropsychiatric Research Center, Institute of Living, Hartford Hospital</w:t>
      </w:r>
    </w:p>
    <w:p w14:paraId="6893E565" w14:textId="77777777" w:rsidR="004745AF" w:rsidRPr="00265D44" w:rsidRDefault="004745AF" w:rsidP="004745AF">
      <w:pPr>
        <w:contextualSpacing w:val="0"/>
        <w:rPr>
          <w:sz w:val="24"/>
          <w:szCs w:val="24"/>
        </w:rPr>
      </w:pPr>
      <w:r w:rsidRPr="00265D44">
        <w:rPr>
          <w:sz w:val="24"/>
          <w:szCs w:val="24"/>
        </w:rPr>
        <w:t>7.</w:t>
      </w:r>
      <w:r w:rsidRPr="00265D44">
        <w:rPr>
          <w:sz w:val="24"/>
          <w:szCs w:val="24"/>
        </w:rPr>
        <w:tab/>
        <w:t>Vanderbilt University Medical Center, Department of Biostatistics</w:t>
      </w:r>
    </w:p>
    <w:p w14:paraId="0CD44224" w14:textId="77777777" w:rsidR="004745AF" w:rsidRPr="00265D44" w:rsidRDefault="004745AF" w:rsidP="004745AF">
      <w:pPr>
        <w:contextualSpacing w:val="0"/>
        <w:rPr>
          <w:sz w:val="24"/>
          <w:szCs w:val="24"/>
        </w:rPr>
      </w:pPr>
    </w:p>
    <w:p w14:paraId="45FA0883" w14:textId="77777777" w:rsidR="004745AF" w:rsidRPr="00265D44" w:rsidRDefault="004745AF" w:rsidP="004745AF">
      <w:pPr>
        <w:contextualSpacing w:val="0"/>
        <w:rPr>
          <w:sz w:val="24"/>
          <w:szCs w:val="24"/>
        </w:rPr>
      </w:pPr>
      <w:r w:rsidRPr="00265D44">
        <w:rPr>
          <w:b/>
          <w:sz w:val="24"/>
          <w:szCs w:val="24"/>
        </w:rPr>
        <w:t>Acknowledgements:</w:t>
      </w:r>
      <w:r w:rsidRPr="00265D44">
        <w:rPr>
          <w:sz w:val="24"/>
          <w:szCs w:val="24"/>
        </w:rPr>
        <w:t xml:space="preserve"> We are sincerely grateful to </w:t>
      </w:r>
      <w:proofErr w:type="spellStart"/>
      <w:r w:rsidRPr="00265D44">
        <w:rPr>
          <w:sz w:val="24"/>
          <w:szCs w:val="24"/>
        </w:rPr>
        <w:t>Lefèvre</w:t>
      </w:r>
      <w:proofErr w:type="spellEnd"/>
      <w:r w:rsidRPr="00265D44">
        <w:rPr>
          <w:sz w:val="24"/>
          <w:szCs w:val="24"/>
        </w:rPr>
        <w:t xml:space="preserve"> et al. (2018) for bringing the mistake in our implementation of rotation procedure to our attention in their manuscript and personal communication.</w:t>
      </w:r>
    </w:p>
    <w:p w14:paraId="65A27619" w14:textId="77777777" w:rsidR="00974019" w:rsidRPr="00265D44" w:rsidRDefault="00974019">
      <w:pPr>
        <w:contextualSpacing w:val="0"/>
        <w:rPr>
          <w:sz w:val="24"/>
          <w:szCs w:val="24"/>
        </w:rPr>
      </w:pPr>
    </w:p>
    <w:p w14:paraId="24999425" w14:textId="77777777" w:rsidR="00974019" w:rsidRPr="00265D44" w:rsidRDefault="00974019">
      <w:pPr>
        <w:contextualSpacing w:val="0"/>
        <w:rPr>
          <w:sz w:val="24"/>
          <w:szCs w:val="24"/>
        </w:rPr>
      </w:pPr>
    </w:p>
    <w:p w14:paraId="32D51AF8" w14:textId="75FAD4D8" w:rsidR="00974019" w:rsidRPr="00265D44" w:rsidRDefault="00271078">
      <w:pPr>
        <w:contextualSpacing w:val="0"/>
        <w:rPr>
          <w:color w:val="212121"/>
          <w:sz w:val="24"/>
          <w:szCs w:val="24"/>
        </w:rPr>
      </w:pPr>
      <w:r w:rsidRPr="00265D44">
        <w:rPr>
          <w:color w:val="212121"/>
          <w:sz w:val="24"/>
          <w:szCs w:val="24"/>
        </w:rPr>
        <w:t xml:space="preserve">Alexander-Bloch et al. (2018) proposed </w:t>
      </w:r>
      <w:r w:rsidR="00E90E94" w:rsidRPr="00265D44">
        <w:rPr>
          <w:color w:val="212121"/>
          <w:sz w:val="24"/>
          <w:szCs w:val="24"/>
        </w:rPr>
        <w:t>a</w:t>
      </w:r>
      <w:r w:rsidRPr="00265D44">
        <w:rPr>
          <w:color w:val="212121"/>
          <w:sz w:val="24"/>
          <w:szCs w:val="24"/>
        </w:rPr>
        <w:t xml:space="preserve"> spatial permutation testing procedure</w:t>
      </w:r>
      <w:r w:rsidR="00E90E94" w:rsidRPr="00265D44">
        <w:rPr>
          <w:color w:val="212121"/>
          <w:sz w:val="24"/>
          <w:szCs w:val="24"/>
        </w:rPr>
        <w:t xml:space="preserve"> to perform a randomization test</w:t>
      </w:r>
      <w:r w:rsidR="004745AF" w:rsidRPr="00265D44">
        <w:rPr>
          <w:color w:val="212121"/>
          <w:sz w:val="24"/>
          <w:szCs w:val="24"/>
        </w:rPr>
        <w:t xml:space="preserve"> of the correspondence between brain maps</w:t>
      </w:r>
      <w:r w:rsidR="00E90E94" w:rsidRPr="00265D44">
        <w:rPr>
          <w:color w:val="212121"/>
          <w:sz w:val="24"/>
          <w:szCs w:val="24"/>
        </w:rPr>
        <w:t xml:space="preserve">, </w:t>
      </w:r>
      <w:r w:rsidRPr="00265D44">
        <w:rPr>
          <w:color w:val="212121"/>
          <w:sz w:val="24"/>
          <w:szCs w:val="24"/>
        </w:rPr>
        <w:t>by sampling uniformly from the space of possible rotations of a spherical represen</w:t>
      </w:r>
      <w:r w:rsidR="00E90E94" w:rsidRPr="00265D44">
        <w:rPr>
          <w:color w:val="212121"/>
          <w:sz w:val="24"/>
          <w:szCs w:val="24"/>
        </w:rPr>
        <w:t xml:space="preserve">tation of the cortical surface. The procedure uses </w:t>
      </w:r>
      <w:r w:rsidRPr="00265D44">
        <w:rPr>
          <w:color w:val="212121"/>
          <w:sz w:val="24"/>
          <w:szCs w:val="24"/>
        </w:rPr>
        <w:t xml:space="preserve">a finite number of permutations to compute the distribution of the test statistic. However, the implementation of generating random rotations originally described in our paper — rotating the coordinates of vertices at angles uniformly chosen between zero and 360 degrees about each of the x (left-right), y (anterior-posterior) and z (superior-inferior) axes — introduces a preference towards oversampling certain rotations. The publicly available code has thus been modified to incorporate an approach that samples uniformly from the space of possible rotations. We are grateful to </w:t>
      </w:r>
      <w:proofErr w:type="spellStart"/>
      <w:r w:rsidRPr="00265D44">
        <w:rPr>
          <w:sz w:val="24"/>
          <w:szCs w:val="24"/>
        </w:rPr>
        <w:t>Lefèvre</w:t>
      </w:r>
      <w:proofErr w:type="spellEnd"/>
      <w:r w:rsidRPr="00265D44">
        <w:rPr>
          <w:sz w:val="24"/>
          <w:szCs w:val="24"/>
        </w:rPr>
        <w:t xml:space="preserve"> et al. (2018) for bringing this error to our attention. </w:t>
      </w:r>
      <w:r w:rsidRPr="00265D44">
        <w:rPr>
          <w:color w:val="212121"/>
          <w:sz w:val="24"/>
          <w:szCs w:val="24"/>
        </w:rPr>
        <w:t xml:space="preserve">For details about this issue, see Blaser and </w:t>
      </w:r>
      <w:proofErr w:type="spellStart"/>
      <w:r w:rsidRPr="00265D44">
        <w:rPr>
          <w:color w:val="212121"/>
          <w:sz w:val="24"/>
          <w:szCs w:val="24"/>
        </w:rPr>
        <w:t>Fryzlewicz</w:t>
      </w:r>
      <w:proofErr w:type="spellEnd"/>
      <w:r w:rsidRPr="00265D44">
        <w:rPr>
          <w:color w:val="212121"/>
          <w:sz w:val="24"/>
          <w:szCs w:val="24"/>
        </w:rPr>
        <w:t xml:space="preserve"> (2016).</w:t>
      </w:r>
    </w:p>
    <w:p w14:paraId="34787988" w14:textId="77777777" w:rsidR="00974019" w:rsidRPr="00265D44" w:rsidRDefault="00271078">
      <w:pPr>
        <w:contextualSpacing w:val="0"/>
        <w:rPr>
          <w:color w:val="212121"/>
          <w:sz w:val="24"/>
          <w:szCs w:val="24"/>
        </w:rPr>
      </w:pPr>
      <w:r w:rsidRPr="00265D44">
        <w:rPr>
          <w:color w:val="212121"/>
          <w:sz w:val="24"/>
          <w:szCs w:val="24"/>
        </w:rPr>
        <w:tab/>
        <w:t xml:space="preserve">Our original procedure, which does not sample uniformly on the surface, was employed in Alexander-Bloch et al. (2018), where we introduced the methodological foundation for the spin test procedure, as well as in another recently published paper (Reardon, Seidlitz, et al., 2018). A natural question is whether the results in these reports stand when the correct procedure is used to generate random rotations uniformly. Here, we demonstrate that the correct implementation of the spin procedure, employed by </w:t>
      </w:r>
      <w:proofErr w:type="spellStart"/>
      <w:r w:rsidRPr="00265D44">
        <w:rPr>
          <w:sz w:val="24"/>
          <w:szCs w:val="24"/>
        </w:rPr>
        <w:t>Lefèvre</w:t>
      </w:r>
      <w:proofErr w:type="spellEnd"/>
      <w:r w:rsidRPr="00265D44">
        <w:rPr>
          <w:sz w:val="24"/>
          <w:szCs w:val="24"/>
        </w:rPr>
        <w:t xml:space="preserve"> et al. (2018),</w:t>
      </w:r>
      <w:r w:rsidRPr="00265D44">
        <w:rPr>
          <w:color w:val="212121"/>
          <w:sz w:val="24"/>
          <w:szCs w:val="24"/>
        </w:rPr>
        <w:t xml:space="preserve"> which samples from all possible rotations uniformly, </w:t>
      </w:r>
      <w:r w:rsidRPr="00265D44">
        <w:rPr>
          <w:color w:val="212121"/>
          <w:sz w:val="24"/>
          <w:szCs w:val="24"/>
        </w:rPr>
        <w:lastRenderedPageBreak/>
        <w:t xml:space="preserve">reproduces the same substantive findings produced in Alexander-Bloch et al. (2018) and Reardon, Seidlitz, et al. (2018). </w:t>
      </w:r>
    </w:p>
    <w:p w14:paraId="0CDB1D4B" w14:textId="77777777" w:rsidR="00974019" w:rsidRPr="00265D44" w:rsidRDefault="00974019">
      <w:pPr>
        <w:contextualSpacing w:val="0"/>
        <w:rPr>
          <w:color w:val="212121"/>
          <w:sz w:val="24"/>
          <w:szCs w:val="24"/>
        </w:rPr>
      </w:pPr>
    </w:p>
    <w:p w14:paraId="4CFF7347" w14:textId="77777777" w:rsidR="00974019" w:rsidRPr="00265D44" w:rsidRDefault="00271078" w:rsidP="00C23019">
      <w:pPr>
        <w:snapToGrid w:val="0"/>
        <w:spacing w:line="240" w:lineRule="auto"/>
        <w:contextualSpacing w:val="0"/>
        <w:rPr>
          <w:color w:val="212121"/>
          <w:sz w:val="24"/>
          <w:szCs w:val="24"/>
        </w:rPr>
      </w:pPr>
      <w:r w:rsidRPr="00265D44">
        <w:rPr>
          <w:b/>
          <w:color w:val="212121"/>
          <w:sz w:val="24"/>
          <w:szCs w:val="24"/>
        </w:rPr>
        <w:t>Table 1:</w:t>
      </w:r>
      <w:r w:rsidRPr="00265D44">
        <w:rPr>
          <w:color w:val="212121"/>
          <w:sz w:val="24"/>
          <w:szCs w:val="24"/>
        </w:rPr>
        <w:t xml:space="preserve"> Original p-values for the analyses presented in Reardon, Seidlitz, et al. (2018), compared with p-values calculated using the uniform resampling procedure. </w:t>
      </w:r>
    </w:p>
    <w:tbl>
      <w:tblPr>
        <w:tblStyle w:val="a"/>
        <w:tblW w:w="76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55"/>
        <w:gridCol w:w="2035"/>
        <w:gridCol w:w="2160"/>
      </w:tblGrid>
      <w:tr w:rsidR="00974019" w:rsidRPr="00265D44" w14:paraId="787AA3DE" w14:textId="77777777" w:rsidTr="00C23019">
        <w:trPr>
          <w:trHeight w:val="288"/>
        </w:trPr>
        <w:tc>
          <w:tcPr>
            <w:tcW w:w="3455" w:type="dxa"/>
            <w:tcBorders>
              <w:top w:val="nil"/>
              <w:left w:val="nil"/>
              <w:bottom w:val="single" w:sz="4" w:space="0" w:color="000000"/>
              <w:right w:val="nil"/>
            </w:tcBorders>
            <w:tcMar>
              <w:top w:w="100" w:type="dxa"/>
              <w:left w:w="100" w:type="dxa"/>
              <w:bottom w:w="100" w:type="dxa"/>
              <w:right w:w="100" w:type="dxa"/>
            </w:tcMar>
          </w:tcPr>
          <w:p w14:paraId="7EF64AF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 xml:space="preserve">Test (continuous, </w:t>
            </w:r>
            <w:r w:rsidRPr="00265D44">
              <w:rPr>
                <w:i/>
                <w:color w:val="212121"/>
                <w:sz w:val="24"/>
                <w:szCs w:val="24"/>
              </w:rPr>
              <w:t>categorical</w:t>
            </w:r>
            <w:r w:rsidRPr="00265D44">
              <w:rPr>
                <w:color w:val="212121"/>
                <w:sz w:val="24"/>
                <w:szCs w:val="24"/>
              </w:rPr>
              <w:t>)</w:t>
            </w:r>
          </w:p>
        </w:tc>
        <w:tc>
          <w:tcPr>
            <w:tcW w:w="2035" w:type="dxa"/>
            <w:tcBorders>
              <w:top w:val="nil"/>
              <w:left w:val="nil"/>
              <w:bottom w:val="single" w:sz="4" w:space="0" w:color="000000"/>
              <w:right w:val="nil"/>
            </w:tcBorders>
            <w:tcMar>
              <w:top w:w="100" w:type="dxa"/>
              <w:left w:w="100" w:type="dxa"/>
              <w:bottom w:w="100" w:type="dxa"/>
              <w:right w:w="100" w:type="dxa"/>
            </w:tcMar>
          </w:tcPr>
          <w:p w14:paraId="49A8218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Original p-value</w:t>
            </w:r>
          </w:p>
        </w:tc>
        <w:tc>
          <w:tcPr>
            <w:tcW w:w="2160" w:type="dxa"/>
            <w:tcBorders>
              <w:top w:val="nil"/>
              <w:left w:val="nil"/>
              <w:bottom w:val="single" w:sz="4" w:space="0" w:color="000000"/>
              <w:right w:val="nil"/>
            </w:tcBorders>
            <w:tcMar>
              <w:top w:w="100" w:type="dxa"/>
              <w:left w:w="100" w:type="dxa"/>
              <w:bottom w:w="100" w:type="dxa"/>
              <w:right w:w="100" w:type="dxa"/>
            </w:tcMar>
          </w:tcPr>
          <w:p w14:paraId="521B32DA"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Uniform p-value</w:t>
            </w:r>
          </w:p>
        </w:tc>
      </w:tr>
      <w:tr w:rsidR="00974019" w:rsidRPr="00265D44" w14:paraId="2932E3F5"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13ED7137"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NIH vs. PNC</w:t>
            </w:r>
          </w:p>
        </w:tc>
        <w:tc>
          <w:tcPr>
            <w:tcW w:w="2035" w:type="dxa"/>
            <w:tcMar>
              <w:top w:w="100" w:type="dxa"/>
              <w:left w:w="100" w:type="dxa"/>
              <w:bottom w:w="100" w:type="dxa"/>
              <w:right w:w="100" w:type="dxa"/>
            </w:tcMar>
          </w:tcPr>
          <w:p w14:paraId="171CFE4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c>
          <w:tcPr>
            <w:tcW w:w="2160" w:type="dxa"/>
            <w:tcMar>
              <w:top w:w="100" w:type="dxa"/>
              <w:left w:w="100" w:type="dxa"/>
              <w:bottom w:w="100" w:type="dxa"/>
              <w:right w:w="100" w:type="dxa"/>
            </w:tcMar>
          </w:tcPr>
          <w:p w14:paraId="4E54E06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7506715C"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205FFB7B"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PNC vs. HCP</w:t>
            </w:r>
          </w:p>
        </w:tc>
        <w:tc>
          <w:tcPr>
            <w:tcW w:w="2035" w:type="dxa"/>
            <w:tcMar>
              <w:top w:w="100" w:type="dxa"/>
              <w:left w:w="100" w:type="dxa"/>
              <w:bottom w:w="100" w:type="dxa"/>
              <w:right w:w="100" w:type="dxa"/>
            </w:tcMar>
          </w:tcPr>
          <w:p w14:paraId="1D3F707B"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0.002</w:t>
            </w:r>
          </w:p>
        </w:tc>
        <w:tc>
          <w:tcPr>
            <w:tcW w:w="2160" w:type="dxa"/>
            <w:tcMar>
              <w:top w:w="100" w:type="dxa"/>
              <w:left w:w="100" w:type="dxa"/>
              <w:bottom w:w="100" w:type="dxa"/>
              <w:right w:w="100" w:type="dxa"/>
            </w:tcMar>
          </w:tcPr>
          <w:p w14:paraId="25CAED83"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23AED999"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1337CE29"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NIH vs. HCP</w:t>
            </w:r>
          </w:p>
        </w:tc>
        <w:tc>
          <w:tcPr>
            <w:tcW w:w="2035" w:type="dxa"/>
            <w:tcMar>
              <w:top w:w="100" w:type="dxa"/>
              <w:left w:w="100" w:type="dxa"/>
              <w:bottom w:w="100" w:type="dxa"/>
              <w:right w:w="100" w:type="dxa"/>
            </w:tcMar>
          </w:tcPr>
          <w:p w14:paraId="5EECB88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0.001</w:t>
            </w:r>
          </w:p>
        </w:tc>
        <w:tc>
          <w:tcPr>
            <w:tcW w:w="2160" w:type="dxa"/>
            <w:tcMar>
              <w:top w:w="100" w:type="dxa"/>
              <w:left w:w="100" w:type="dxa"/>
              <w:bottom w:w="100" w:type="dxa"/>
              <w:right w:w="100" w:type="dxa"/>
            </w:tcMar>
          </w:tcPr>
          <w:p w14:paraId="3A713299"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6CFE5487"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05DE7709"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PNC vs. Evo</w:t>
            </w:r>
          </w:p>
        </w:tc>
        <w:tc>
          <w:tcPr>
            <w:tcW w:w="2035" w:type="dxa"/>
            <w:tcMar>
              <w:top w:w="100" w:type="dxa"/>
              <w:left w:w="100" w:type="dxa"/>
              <w:bottom w:w="100" w:type="dxa"/>
              <w:right w:w="100" w:type="dxa"/>
            </w:tcMar>
          </w:tcPr>
          <w:p w14:paraId="42894D71"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0.003</w:t>
            </w:r>
          </w:p>
        </w:tc>
        <w:tc>
          <w:tcPr>
            <w:tcW w:w="2160" w:type="dxa"/>
            <w:tcMar>
              <w:top w:w="100" w:type="dxa"/>
              <w:left w:w="100" w:type="dxa"/>
              <w:bottom w:w="100" w:type="dxa"/>
              <w:right w:w="100" w:type="dxa"/>
            </w:tcMar>
          </w:tcPr>
          <w:p w14:paraId="286CB23B"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39ED2582"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73FDA9BD"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NIH vs. Evo</w:t>
            </w:r>
          </w:p>
        </w:tc>
        <w:tc>
          <w:tcPr>
            <w:tcW w:w="2035" w:type="dxa"/>
            <w:tcMar>
              <w:top w:w="100" w:type="dxa"/>
              <w:left w:w="100" w:type="dxa"/>
              <w:bottom w:w="100" w:type="dxa"/>
              <w:right w:w="100" w:type="dxa"/>
            </w:tcMar>
          </w:tcPr>
          <w:p w14:paraId="6565AAAC"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0.003</w:t>
            </w:r>
          </w:p>
        </w:tc>
        <w:tc>
          <w:tcPr>
            <w:tcW w:w="2160" w:type="dxa"/>
            <w:tcMar>
              <w:top w:w="100" w:type="dxa"/>
              <w:left w:w="100" w:type="dxa"/>
              <w:bottom w:w="100" w:type="dxa"/>
              <w:right w:w="100" w:type="dxa"/>
            </w:tcMar>
          </w:tcPr>
          <w:p w14:paraId="085181CC"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0418B4A1"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59C4C11E"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PNC vs. Devo</w:t>
            </w:r>
          </w:p>
        </w:tc>
        <w:tc>
          <w:tcPr>
            <w:tcW w:w="2035" w:type="dxa"/>
            <w:tcMar>
              <w:top w:w="100" w:type="dxa"/>
              <w:left w:w="100" w:type="dxa"/>
              <w:bottom w:w="100" w:type="dxa"/>
              <w:right w:w="100" w:type="dxa"/>
            </w:tcMar>
          </w:tcPr>
          <w:p w14:paraId="6C319461"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0.03</w:t>
            </w:r>
          </w:p>
        </w:tc>
        <w:tc>
          <w:tcPr>
            <w:tcW w:w="2160" w:type="dxa"/>
            <w:tcMar>
              <w:top w:w="100" w:type="dxa"/>
              <w:left w:w="100" w:type="dxa"/>
              <w:bottom w:w="100" w:type="dxa"/>
              <w:right w:w="100" w:type="dxa"/>
            </w:tcMar>
          </w:tcPr>
          <w:p w14:paraId="45165070"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0.008</w:t>
            </w:r>
          </w:p>
        </w:tc>
      </w:tr>
      <w:tr w:rsidR="00974019" w:rsidRPr="00265D44" w14:paraId="5E49EE3E"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42D6331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NIH vs. Devo</w:t>
            </w:r>
          </w:p>
        </w:tc>
        <w:tc>
          <w:tcPr>
            <w:tcW w:w="2035" w:type="dxa"/>
            <w:tcMar>
              <w:top w:w="100" w:type="dxa"/>
              <w:left w:w="100" w:type="dxa"/>
              <w:bottom w:w="100" w:type="dxa"/>
              <w:right w:w="100" w:type="dxa"/>
            </w:tcMar>
          </w:tcPr>
          <w:p w14:paraId="2E72F8C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0.011</w:t>
            </w:r>
          </w:p>
        </w:tc>
        <w:tc>
          <w:tcPr>
            <w:tcW w:w="2160" w:type="dxa"/>
            <w:tcMar>
              <w:top w:w="100" w:type="dxa"/>
              <w:left w:w="100" w:type="dxa"/>
              <w:bottom w:w="100" w:type="dxa"/>
              <w:right w:w="100" w:type="dxa"/>
            </w:tcMar>
          </w:tcPr>
          <w:p w14:paraId="0BBFF5EB"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0.012</w:t>
            </w:r>
          </w:p>
        </w:tc>
      </w:tr>
      <w:tr w:rsidR="00974019" w:rsidRPr="00265D44" w14:paraId="6C4D15AA"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5545B15D"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PNC vs. ASL</w:t>
            </w:r>
          </w:p>
        </w:tc>
        <w:tc>
          <w:tcPr>
            <w:tcW w:w="2035" w:type="dxa"/>
            <w:tcMar>
              <w:top w:w="100" w:type="dxa"/>
              <w:left w:w="100" w:type="dxa"/>
              <w:bottom w:w="100" w:type="dxa"/>
              <w:right w:w="100" w:type="dxa"/>
            </w:tcMar>
          </w:tcPr>
          <w:p w14:paraId="6DB22BC0"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c>
          <w:tcPr>
            <w:tcW w:w="2160" w:type="dxa"/>
            <w:tcMar>
              <w:top w:w="100" w:type="dxa"/>
              <w:left w:w="100" w:type="dxa"/>
              <w:bottom w:w="100" w:type="dxa"/>
              <w:right w:w="100" w:type="dxa"/>
            </w:tcMar>
          </w:tcPr>
          <w:p w14:paraId="67456553"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4721BD35"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644505E7"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NIH vs. ASL</w:t>
            </w:r>
          </w:p>
        </w:tc>
        <w:tc>
          <w:tcPr>
            <w:tcW w:w="2035" w:type="dxa"/>
            <w:tcMar>
              <w:top w:w="100" w:type="dxa"/>
              <w:left w:w="100" w:type="dxa"/>
              <w:bottom w:w="100" w:type="dxa"/>
              <w:right w:w="100" w:type="dxa"/>
            </w:tcMar>
          </w:tcPr>
          <w:p w14:paraId="4700658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0.063</w:t>
            </w:r>
          </w:p>
        </w:tc>
        <w:tc>
          <w:tcPr>
            <w:tcW w:w="2160" w:type="dxa"/>
            <w:tcMar>
              <w:top w:w="100" w:type="dxa"/>
              <w:left w:w="100" w:type="dxa"/>
              <w:bottom w:w="100" w:type="dxa"/>
              <w:right w:w="100" w:type="dxa"/>
            </w:tcMar>
          </w:tcPr>
          <w:p w14:paraId="7543DA7C"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0.02</w:t>
            </w:r>
          </w:p>
        </w:tc>
      </w:tr>
      <w:tr w:rsidR="00974019" w:rsidRPr="00265D44" w14:paraId="5D2E4EB4"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74648553"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 xml:space="preserve">PNC vs. </w:t>
            </w:r>
            <w:proofErr w:type="spellStart"/>
            <w:r w:rsidRPr="00265D44">
              <w:rPr>
                <w:color w:val="212121"/>
                <w:sz w:val="24"/>
                <w:szCs w:val="24"/>
              </w:rPr>
              <w:t>CMRGlu</w:t>
            </w:r>
            <w:proofErr w:type="spellEnd"/>
          </w:p>
        </w:tc>
        <w:tc>
          <w:tcPr>
            <w:tcW w:w="2035" w:type="dxa"/>
            <w:tcMar>
              <w:top w:w="100" w:type="dxa"/>
              <w:left w:w="100" w:type="dxa"/>
              <w:bottom w:w="100" w:type="dxa"/>
              <w:right w:w="100" w:type="dxa"/>
            </w:tcMar>
          </w:tcPr>
          <w:p w14:paraId="4F5BB0A5"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0.023</w:t>
            </w:r>
          </w:p>
        </w:tc>
        <w:tc>
          <w:tcPr>
            <w:tcW w:w="2160" w:type="dxa"/>
            <w:tcMar>
              <w:top w:w="100" w:type="dxa"/>
              <w:left w:w="100" w:type="dxa"/>
              <w:bottom w:w="100" w:type="dxa"/>
              <w:right w:w="100" w:type="dxa"/>
            </w:tcMar>
          </w:tcPr>
          <w:p w14:paraId="0B948E93"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0.003</w:t>
            </w:r>
          </w:p>
        </w:tc>
      </w:tr>
      <w:tr w:rsidR="00974019" w:rsidRPr="00265D44" w14:paraId="3A1677C4"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548E3D29"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 xml:space="preserve">NIH vs. </w:t>
            </w:r>
            <w:proofErr w:type="spellStart"/>
            <w:r w:rsidRPr="00265D44">
              <w:rPr>
                <w:color w:val="212121"/>
                <w:sz w:val="24"/>
                <w:szCs w:val="24"/>
              </w:rPr>
              <w:t>CMRGlu</w:t>
            </w:r>
            <w:proofErr w:type="spellEnd"/>
          </w:p>
        </w:tc>
        <w:tc>
          <w:tcPr>
            <w:tcW w:w="2035" w:type="dxa"/>
            <w:tcMar>
              <w:top w:w="100" w:type="dxa"/>
              <w:left w:w="100" w:type="dxa"/>
              <w:bottom w:w="100" w:type="dxa"/>
              <w:right w:w="100" w:type="dxa"/>
            </w:tcMar>
          </w:tcPr>
          <w:p w14:paraId="6FCD2BB4"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0.052</w:t>
            </w:r>
          </w:p>
        </w:tc>
        <w:tc>
          <w:tcPr>
            <w:tcW w:w="2160" w:type="dxa"/>
            <w:tcMar>
              <w:top w:w="100" w:type="dxa"/>
              <w:left w:w="100" w:type="dxa"/>
              <w:bottom w:w="100" w:type="dxa"/>
              <w:right w:w="100" w:type="dxa"/>
            </w:tcMar>
          </w:tcPr>
          <w:p w14:paraId="2D12821E"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0.011</w:t>
            </w:r>
          </w:p>
        </w:tc>
      </w:tr>
      <w:tr w:rsidR="00974019" w:rsidRPr="00265D44" w14:paraId="3DBD4929"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0AFD5CE5"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 xml:space="preserve">PNC von </w:t>
            </w:r>
            <w:proofErr w:type="spellStart"/>
            <w:r w:rsidRPr="00265D44">
              <w:rPr>
                <w:i/>
                <w:color w:val="212121"/>
                <w:sz w:val="24"/>
                <w:szCs w:val="24"/>
              </w:rPr>
              <w:t>Economo</w:t>
            </w:r>
            <w:proofErr w:type="spellEnd"/>
            <w:r w:rsidRPr="00265D44">
              <w:rPr>
                <w:i/>
                <w:color w:val="212121"/>
                <w:sz w:val="24"/>
                <w:szCs w:val="24"/>
              </w:rPr>
              <w:t xml:space="preserve"> class 3 (+)</w:t>
            </w:r>
          </w:p>
        </w:tc>
        <w:tc>
          <w:tcPr>
            <w:tcW w:w="2035" w:type="dxa"/>
            <w:tcMar>
              <w:top w:w="100" w:type="dxa"/>
              <w:left w:w="100" w:type="dxa"/>
              <w:bottom w:w="100" w:type="dxa"/>
              <w:right w:w="100" w:type="dxa"/>
            </w:tcMar>
          </w:tcPr>
          <w:p w14:paraId="34E163A1"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0.007</w:t>
            </w:r>
          </w:p>
        </w:tc>
        <w:tc>
          <w:tcPr>
            <w:tcW w:w="2160" w:type="dxa"/>
            <w:tcMar>
              <w:top w:w="100" w:type="dxa"/>
              <w:left w:w="100" w:type="dxa"/>
              <w:bottom w:w="100" w:type="dxa"/>
              <w:right w:w="100" w:type="dxa"/>
            </w:tcMar>
          </w:tcPr>
          <w:p w14:paraId="45B7F84C"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0.004</w:t>
            </w:r>
          </w:p>
        </w:tc>
      </w:tr>
      <w:tr w:rsidR="00974019" w:rsidRPr="00265D44" w14:paraId="261E5E12"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21AC83A9"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 xml:space="preserve">PNC von </w:t>
            </w:r>
            <w:proofErr w:type="spellStart"/>
            <w:r w:rsidRPr="00265D44">
              <w:rPr>
                <w:i/>
                <w:color w:val="212121"/>
                <w:sz w:val="24"/>
                <w:szCs w:val="24"/>
              </w:rPr>
              <w:t>Economo</w:t>
            </w:r>
            <w:proofErr w:type="spellEnd"/>
            <w:r w:rsidRPr="00265D44">
              <w:rPr>
                <w:i/>
                <w:color w:val="212121"/>
                <w:sz w:val="24"/>
                <w:szCs w:val="24"/>
              </w:rPr>
              <w:t xml:space="preserve"> class 6 (-)</w:t>
            </w:r>
          </w:p>
        </w:tc>
        <w:tc>
          <w:tcPr>
            <w:tcW w:w="2035" w:type="dxa"/>
            <w:tcMar>
              <w:top w:w="100" w:type="dxa"/>
              <w:left w:w="100" w:type="dxa"/>
              <w:bottom w:w="100" w:type="dxa"/>
              <w:right w:w="100" w:type="dxa"/>
            </w:tcMar>
          </w:tcPr>
          <w:p w14:paraId="7243B51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0.014</w:t>
            </w:r>
          </w:p>
        </w:tc>
        <w:tc>
          <w:tcPr>
            <w:tcW w:w="2160" w:type="dxa"/>
            <w:tcMar>
              <w:top w:w="100" w:type="dxa"/>
              <w:left w:w="100" w:type="dxa"/>
              <w:bottom w:w="100" w:type="dxa"/>
              <w:right w:w="100" w:type="dxa"/>
            </w:tcMar>
          </w:tcPr>
          <w:p w14:paraId="2A875D9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0.011</w:t>
            </w:r>
          </w:p>
        </w:tc>
      </w:tr>
      <w:tr w:rsidR="00974019" w:rsidRPr="00265D44" w14:paraId="08B132C7"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760BA7CF"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 xml:space="preserve">NIH von </w:t>
            </w:r>
            <w:proofErr w:type="spellStart"/>
            <w:r w:rsidRPr="00265D44">
              <w:rPr>
                <w:i/>
                <w:color w:val="212121"/>
                <w:sz w:val="24"/>
                <w:szCs w:val="24"/>
              </w:rPr>
              <w:t>Economo</w:t>
            </w:r>
            <w:proofErr w:type="spellEnd"/>
            <w:r w:rsidRPr="00265D44">
              <w:rPr>
                <w:i/>
                <w:color w:val="212121"/>
                <w:sz w:val="24"/>
                <w:szCs w:val="24"/>
              </w:rPr>
              <w:t xml:space="preserve"> class 3 (+)</w:t>
            </w:r>
          </w:p>
        </w:tc>
        <w:tc>
          <w:tcPr>
            <w:tcW w:w="2035" w:type="dxa"/>
            <w:tcMar>
              <w:top w:w="100" w:type="dxa"/>
              <w:left w:w="100" w:type="dxa"/>
              <w:bottom w:w="100" w:type="dxa"/>
              <w:right w:w="100" w:type="dxa"/>
            </w:tcMar>
          </w:tcPr>
          <w:p w14:paraId="3831B725"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0.034</w:t>
            </w:r>
          </w:p>
        </w:tc>
        <w:tc>
          <w:tcPr>
            <w:tcW w:w="2160" w:type="dxa"/>
            <w:tcMar>
              <w:top w:w="100" w:type="dxa"/>
              <w:left w:w="100" w:type="dxa"/>
              <w:bottom w:w="100" w:type="dxa"/>
              <w:right w:w="100" w:type="dxa"/>
            </w:tcMar>
          </w:tcPr>
          <w:p w14:paraId="664BE586"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0.041</w:t>
            </w:r>
          </w:p>
        </w:tc>
      </w:tr>
      <w:tr w:rsidR="00974019" w:rsidRPr="00265D44" w14:paraId="4F35C31C"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10F5C1C1"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 xml:space="preserve">NIH von </w:t>
            </w:r>
            <w:proofErr w:type="spellStart"/>
            <w:r w:rsidRPr="00265D44">
              <w:rPr>
                <w:i/>
                <w:color w:val="212121"/>
                <w:sz w:val="24"/>
                <w:szCs w:val="24"/>
              </w:rPr>
              <w:t>Economo</w:t>
            </w:r>
            <w:proofErr w:type="spellEnd"/>
            <w:r w:rsidRPr="00265D44">
              <w:rPr>
                <w:i/>
                <w:color w:val="212121"/>
                <w:sz w:val="24"/>
                <w:szCs w:val="24"/>
              </w:rPr>
              <w:t xml:space="preserve"> class 6 (-)</w:t>
            </w:r>
          </w:p>
        </w:tc>
        <w:tc>
          <w:tcPr>
            <w:tcW w:w="2035" w:type="dxa"/>
            <w:tcMar>
              <w:top w:w="100" w:type="dxa"/>
              <w:left w:w="100" w:type="dxa"/>
              <w:bottom w:w="100" w:type="dxa"/>
              <w:right w:w="100" w:type="dxa"/>
            </w:tcMar>
          </w:tcPr>
          <w:p w14:paraId="3F16CB33"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c>
          <w:tcPr>
            <w:tcW w:w="2160" w:type="dxa"/>
            <w:tcMar>
              <w:top w:w="100" w:type="dxa"/>
              <w:left w:w="100" w:type="dxa"/>
              <w:bottom w:w="100" w:type="dxa"/>
              <w:right w:w="100" w:type="dxa"/>
            </w:tcMar>
          </w:tcPr>
          <w:p w14:paraId="687E454E"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5D87811C"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5C8AFA16"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PNC Yeo7 DMN (+)</w:t>
            </w:r>
          </w:p>
        </w:tc>
        <w:tc>
          <w:tcPr>
            <w:tcW w:w="2035" w:type="dxa"/>
            <w:tcMar>
              <w:top w:w="100" w:type="dxa"/>
              <w:left w:w="100" w:type="dxa"/>
              <w:bottom w:w="100" w:type="dxa"/>
              <w:right w:w="100" w:type="dxa"/>
            </w:tcMar>
          </w:tcPr>
          <w:p w14:paraId="5AA913EE"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0.001</w:t>
            </w:r>
          </w:p>
        </w:tc>
        <w:tc>
          <w:tcPr>
            <w:tcW w:w="2160" w:type="dxa"/>
            <w:tcMar>
              <w:top w:w="100" w:type="dxa"/>
              <w:left w:w="100" w:type="dxa"/>
              <w:bottom w:w="100" w:type="dxa"/>
              <w:right w:w="100" w:type="dxa"/>
            </w:tcMar>
          </w:tcPr>
          <w:p w14:paraId="236E678E"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w:t>
            </w:r>
          </w:p>
        </w:tc>
      </w:tr>
      <w:tr w:rsidR="00974019" w:rsidRPr="00265D44" w14:paraId="18BEC5F8"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3270F6CD"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PNC Yeo7 Lim (-)</w:t>
            </w:r>
          </w:p>
        </w:tc>
        <w:tc>
          <w:tcPr>
            <w:tcW w:w="2035" w:type="dxa"/>
            <w:tcMar>
              <w:top w:w="100" w:type="dxa"/>
              <w:left w:w="100" w:type="dxa"/>
              <w:bottom w:w="100" w:type="dxa"/>
              <w:right w:w="100" w:type="dxa"/>
            </w:tcMar>
          </w:tcPr>
          <w:p w14:paraId="32B8D1F8"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0.007</w:t>
            </w:r>
          </w:p>
        </w:tc>
        <w:tc>
          <w:tcPr>
            <w:tcW w:w="2160" w:type="dxa"/>
            <w:tcMar>
              <w:top w:w="100" w:type="dxa"/>
              <w:left w:w="100" w:type="dxa"/>
              <w:bottom w:w="100" w:type="dxa"/>
              <w:right w:w="100" w:type="dxa"/>
            </w:tcMar>
          </w:tcPr>
          <w:p w14:paraId="775BD31C"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0.003</w:t>
            </w:r>
          </w:p>
        </w:tc>
      </w:tr>
      <w:tr w:rsidR="00974019" w:rsidRPr="00265D44" w14:paraId="44DF8181" w14:textId="77777777" w:rsidTr="004745AF">
        <w:trPr>
          <w:trHeight w:val="20"/>
        </w:trPr>
        <w:tc>
          <w:tcPr>
            <w:tcW w:w="3455" w:type="dxa"/>
            <w:tcBorders>
              <w:top w:val="nil"/>
              <w:left w:val="nil"/>
              <w:bottom w:val="nil"/>
              <w:right w:val="nil"/>
            </w:tcBorders>
            <w:tcMar>
              <w:top w:w="100" w:type="dxa"/>
              <w:left w:w="100" w:type="dxa"/>
              <w:bottom w:w="100" w:type="dxa"/>
              <w:right w:w="100" w:type="dxa"/>
            </w:tcMar>
          </w:tcPr>
          <w:p w14:paraId="69BD8B0A"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i/>
                <w:color w:val="212121"/>
                <w:sz w:val="24"/>
                <w:szCs w:val="24"/>
              </w:rPr>
            </w:pPr>
            <w:r w:rsidRPr="00265D44">
              <w:rPr>
                <w:i/>
                <w:color w:val="212121"/>
                <w:sz w:val="24"/>
                <w:szCs w:val="24"/>
              </w:rPr>
              <w:t>NIH Yeo7 DMN (+)</w:t>
            </w:r>
          </w:p>
        </w:tc>
        <w:tc>
          <w:tcPr>
            <w:tcW w:w="2035" w:type="dxa"/>
            <w:tcMar>
              <w:top w:w="100" w:type="dxa"/>
              <w:left w:w="100" w:type="dxa"/>
              <w:bottom w:w="100" w:type="dxa"/>
              <w:right w:w="100" w:type="dxa"/>
            </w:tcMar>
          </w:tcPr>
          <w:p w14:paraId="278BF792"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0.004</w:t>
            </w:r>
          </w:p>
        </w:tc>
        <w:tc>
          <w:tcPr>
            <w:tcW w:w="2160" w:type="dxa"/>
            <w:tcMar>
              <w:top w:w="100" w:type="dxa"/>
              <w:left w:w="100" w:type="dxa"/>
              <w:bottom w:w="100" w:type="dxa"/>
              <w:right w:w="100" w:type="dxa"/>
            </w:tcMar>
          </w:tcPr>
          <w:p w14:paraId="3FA555F5" w14:textId="77777777" w:rsidR="00974019" w:rsidRPr="00265D44" w:rsidRDefault="00271078" w:rsidP="00C23019">
            <w:pPr>
              <w:widowControl w:val="0"/>
              <w:pBdr>
                <w:top w:val="nil"/>
                <w:left w:val="nil"/>
                <w:bottom w:val="nil"/>
                <w:right w:val="nil"/>
                <w:between w:val="nil"/>
              </w:pBdr>
              <w:snapToGrid w:val="0"/>
              <w:spacing w:line="240" w:lineRule="auto"/>
              <w:contextualSpacing w:val="0"/>
              <w:rPr>
                <w:color w:val="212121"/>
                <w:sz w:val="24"/>
                <w:szCs w:val="24"/>
              </w:rPr>
            </w:pPr>
            <w:r w:rsidRPr="00265D44">
              <w:rPr>
                <w:color w:val="212121"/>
                <w:sz w:val="24"/>
                <w:szCs w:val="24"/>
              </w:rPr>
              <w:t>0.005</w:t>
            </w:r>
          </w:p>
        </w:tc>
      </w:tr>
    </w:tbl>
    <w:p w14:paraId="4D78021C" w14:textId="77777777" w:rsidR="00974019" w:rsidRPr="00265D44" w:rsidRDefault="00271078" w:rsidP="00C23019">
      <w:pPr>
        <w:snapToGrid w:val="0"/>
        <w:spacing w:line="240" w:lineRule="auto"/>
        <w:contextualSpacing w:val="0"/>
        <w:rPr>
          <w:i/>
          <w:color w:val="212121"/>
        </w:rPr>
      </w:pPr>
      <w:r w:rsidRPr="00265D44">
        <w:rPr>
          <w:i/>
          <w:color w:val="212121"/>
        </w:rPr>
        <w:t>Abbreviations as follows: National Institute of Health sample (NIH); Philadelphia Neurodevelopmental Cohort sample (PNC); Human Connectome Project (HCP) sample; Yeo Atlas limbic system (Yeo7 Lim) and default mode network (DMN); evolutionary (</w:t>
      </w:r>
      <w:proofErr w:type="spellStart"/>
      <w:r w:rsidRPr="00265D44">
        <w:rPr>
          <w:i/>
          <w:color w:val="212121"/>
        </w:rPr>
        <w:t>evo</w:t>
      </w:r>
      <w:proofErr w:type="spellEnd"/>
      <w:r w:rsidRPr="00265D44">
        <w:rPr>
          <w:i/>
          <w:color w:val="212121"/>
        </w:rPr>
        <w:t>) and developmental (devo) expansion; arterial spin labeling</w:t>
      </w:r>
      <w:r w:rsidRPr="00265D44">
        <w:rPr>
          <w:i/>
        </w:rPr>
        <w:t xml:space="preserve"> (ASL); cerebral metabolic rate of glucose (</w:t>
      </w:r>
      <w:proofErr w:type="spellStart"/>
      <w:r w:rsidRPr="00265D44">
        <w:rPr>
          <w:i/>
        </w:rPr>
        <w:t>CMRGlu</w:t>
      </w:r>
      <w:proofErr w:type="spellEnd"/>
      <w:r w:rsidRPr="00265D44">
        <w:rPr>
          <w:i/>
        </w:rPr>
        <w:t>).</w:t>
      </w:r>
    </w:p>
    <w:p w14:paraId="0FF5DA9F" w14:textId="77777777" w:rsidR="00974019" w:rsidRPr="00265D44" w:rsidRDefault="00974019">
      <w:pPr>
        <w:contextualSpacing w:val="0"/>
        <w:rPr>
          <w:color w:val="212121"/>
          <w:sz w:val="24"/>
          <w:szCs w:val="24"/>
        </w:rPr>
      </w:pPr>
    </w:p>
    <w:p w14:paraId="65D0AF32" w14:textId="77777777" w:rsidR="00974019" w:rsidRPr="00265D44" w:rsidRDefault="00271078">
      <w:pPr>
        <w:ind w:firstLine="720"/>
        <w:contextualSpacing w:val="0"/>
        <w:rPr>
          <w:color w:val="212121"/>
          <w:sz w:val="24"/>
          <w:szCs w:val="24"/>
        </w:rPr>
      </w:pPr>
      <w:r w:rsidRPr="00265D44">
        <w:rPr>
          <w:color w:val="212121"/>
          <w:sz w:val="24"/>
          <w:szCs w:val="24"/>
        </w:rPr>
        <w:t xml:space="preserve">To determine whether this change in implementation affected the results reported in Reardon, Seidlitz, et al. (2018), we reran all the analyses using the updated uniform </w:t>
      </w:r>
      <w:r w:rsidRPr="00265D44">
        <w:rPr>
          <w:color w:val="212121"/>
          <w:sz w:val="24"/>
          <w:szCs w:val="24"/>
        </w:rPr>
        <w:lastRenderedPageBreak/>
        <w:t xml:space="preserve">sampling procedure. Specifically, 18 tests of correlation were performed between morphological scaling calculated using the National Institute of Mental Health (NIH), Philadelphia Neurodevelopmental Cohort (PNC) and Human Connectome Project (HCP) samples, and maps of scaling were compared with previously published maps of brain structure, function, physiology and development (see </w:t>
      </w:r>
      <w:r w:rsidRPr="00265D44">
        <w:rPr>
          <w:sz w:val="24"/>
          <w:szCs w:val="24"/>
        </w:rPr>
        <w:t xml:space="preserve">Table 1). </w:t>
      </w:r>
      <w:r w:rsidRPr="00265D44">
        <w:rPr>
          <w:color w:val="212121"/>
          <w:sz w:val="24"/>
          <w:szCs w:val="24"/>
        </w:rPr>
        <w:t>The uniform procedure yielded quantitatively smaller p-values in 15 analyses and larger p-values in 3 analyses, but all results remained statistically significant as reported in the original paper.</w:t>
      </w:r>
    </w:p>
    <w:p w14:paraId="11DDFC2A" w14:textId="77777777" w:rsidR="00974019" w:rsidRPr="00265D44" w:rsidRDefault="00271078">
      <w:pPr>
        <w:contextualSpacing w:val="0"/>
        <w:rPr>
          <w:color w:val="212121"/>
          <w:sz w:val="24"/>
          <w:szCs w:val="24"/>
        </w:rPr>
      </w:pPr>
      <w:r w:rsidRPr="00265D44">
        <w:rPr>
          <w:color w:val="212121"/>
          <w:sz w:val="24"/>
          <w:szCs w:val="24"/>
        </w:rPr>
        <w:tab/>
        <w:t xml:space="preserve">To determine whether the change in implementation affected the results reported in Alexander-Bloch et al. (2018), we reran the tests of correlations between 120 </w:t>
      </w:r>
      <w:proofErr w:type="spellStart"/>
      <w:r w:rsidRPr="00265D44">
        <w:rPr>
          <w:color w:val="212121"/>
          <w:sz w:val="24"/>
          <w:szCs w:val="24"/>
        </w:rPr>
        <w:t>Neurosynth</w:t>
      </w:r>
      <w:proofErr w:type="spellEnd"/>
      <w:r w:rsidRPr="00265D44">
        <w:rPr>
          <w:color w:val="212121"/>
          <w:sz w:val="24"/>
          <w:szCs w:val="24"/>
        </w:rPr>
        <w:t xml:space="preserve"> meta-analytic maps.  Out of 7,140 tests in the original paper, there were 35 significant correlations between maps which comprised 8 functional-anatomical clusters. Out of 7,140 tests in the re-analysis, 34 of the 35 correlations remained significant and formed the same 8 clusters. No new correlations were significant. The single change was within the “movement and motor planning” cluster; specifically, the correlation between the meta-analytic map for “action” and for “representation” did not meet the threshold for significance with the improved implementation.</w:t>
      </w:r>
    </w:p>
    <w:p w14:paraId="0C1F996C" w14:textId="77777777" w:rsidR="00974019" w:rsidRPr="00265D44" w:rsidRDefault="00271078">
      <w:pPr>
        <w:contextualSpacing w:val="0"/>
        <w:rPr>
          <w:color w:val="212121"/>
          <w:sz w:val="24"/>
          <w:szCs w:val="24"/>
        </w:rPr>
      </w:pPr>
      <w:r w:rsidRPr="00265D44">
        <w:rPr>
          <w:color w:val="212121"/>
          <w:sz w:val="24"/>
          <w:szCs w:val="24"/>
        </w:rPr>
        <w:tab/>
        <w:t xml:space="preserve">In summary, statistical inferences based on the test appear to be robust to this change. However, we recommend using the updated code for future work. </w:t>
      </w:r>
    </w:p>
    <w:p w14:paraId="334D869F" w14:textId="46C3F339" w:rsidR="00974019" w:rsidRDefault="00974019">
      <w:pPr>
        <w:contextualSpacing w:val="0"/>
        <w:rPr>
          <w:color w:val="212121"/>
          <w:sz w:val="24"/>
          <w:szCs w:val="24"/>
        </w:rPr>
      </w:pPr>
    </w:p>
    <w:p w14:paraId="6656A7F3" w14:textId="77777777" w:rsidR="00265D44" w:rsidRPr="00265D44" w:rsidRDefault="00265D44">
      <w:pPr>
        <w:contextualSpacing w:val="0"/>
        <w:rPr>
          <w:color w:val="212121"/>
          <w:sz w:val="24"/>
          <w:szCs w:val="24"/>
        </w:rPr>
      </w:pPr>
    </w:p>
    <w:p w14:paraId="4032590E" w14:textId="77777777" w:rsidR="00974019" w:rsidRPr="00265D44" w:rsidRDefault="00974019">
      <w:pPr>
        <w:contextualSpacing w:val="0"/>
        <w:rPr>
          <w:color w:val="212121"/>
          <w:sz w:val="24"/>
          <w:szCs w:val="24"/>
        </w:rPr>
      </w:pPr>
    </w:p>
    <w:p w14:paraId="668F3903" w14:textId="11076E93" w:rsidR="00974019" w:rsidRPr="00265D44" w:rsidRDefault="00265D44" w:rsidP="00C23019">
      <w:pPr>
        <w:contextualSpacing w:val="0"/>
        <w:jc w:val="center"/>
        <w:outlineLvl w:val="0"/>
        <w:rPr>
          <w:sz w:val="24"/>
          <w:szCs w:val="24"/>
        </w:rPr>
      </w:pPr>
      <w:r>
        <w:rPr>
          <w:sz w:val="24"/>
          <w:szCs w:val="24"/>
        </w:rPr>
        <w:t>Works Cited</w:t>
      </w:r>
    </w:p>
    <w:p w14:paraId="1F8B1A82" w14:textId="77777777" w:rsidR="00974019" w:rsidRPr="00265D44" w:rsidRDefault="00974019">
      <w:pPr>
        <w:contextualSpacing w:val="0"/>
        <w:rPr>
          <w:sz w:val="24"/>
          <w:szCs w:val="24"/>
        </w:rPr>
      </w:pPr>
    </w:p>
    <w:p w14:paraId="3684AEB7" w14:textId="77777777" w:rsidR="00974019" w:rsidRPr="00265D44" w:rsidRDefault="00271078">
      <w:pPr>
        <w:contextualSpacing w:val="0"/>
        <w:rPr>
          <w:sz w:val="24"/>
          <w:szCs w:val="24"/>
        </w:rPr>
      </w:pPr>
      <w:r w:rsidRPr="00265D44">
        <w:rPr>
          <w:sz w:val="24"/>
          <w:szCs w:val="24"/>
        </w:rPr>
        <w:t xml:space="preserve">Alexander-Bloch, A. F., </w:t>
      </w:r>
      <w:proofErr w:type="spellStart"/>
      <w:r w:rsidRPr="00265D44">
        <w:rPr>
          <w:sz w:val="24"/>
          <w:szCs w:val="24"/>
        </w:rPr>
        <w:t>Shou</w:t>
      </w:r>
      <w:proofErr w:type="spellEnd"/>
      <w:r w:rsidRPr="00265D44">
        <w:rPr>
          <w:sz w:val="24"/>
          <w:szCs w:val="24"/>
        </w:rPr>
        <w:t xml:space="preserve">, H., Liu, S., Satterthwaite, T. D., </w:t>
      </w:r>
      <w:proofErr w:type="spellStart"/>
      <w:r w:rsidRPr="00265D44">
        <w:rPr>
          <w:sz w:val="24"/>
          <w:szCs w:val="24"/>
        </w:rPr>
        <w:t>Glahn</w:t>
      </w:r>
      <w:proofErr w:type="spellEnd"/>
      <w:r w:rsidRPr="00265D44">
        <w:rPr>
          <w:sz w:val="24"/>
          <w:szCs w:val="24"/>
        </w:rPr>
        <w:t xml:space="preserve">, D. C., Shinohara, R. T., et al. (2018). On testing for spatial correspondence between maps of human brain structure and function. </w:t>
      </w:r>
      <w:proofErr w:type="spellStart"/>
      <w:r w:rsidRPr="00265D44">
        <w:rPr>
          <w:i/>
          <w:sz w:val="24"/>
          <w:szCs w:val="24"/>
        </w:rPr>
        <w:t>NeuroImage</w:t>
      </w:r>
      <w:proofErr w:type="spellEnd"/>
      <w:r w:rsidRPr="00265D44">
        <w:rPr>
          <w:sz w:val="24"/>
          <w:szCs w:val="24"/>
        </w:rPr>
        <w:t xml:space="preserve">, </w:t>
      </w:r>
      <w:r w:rsidRPr="00265D44">
        <w:rPr>
          <w:i/>
          <w:sz w:val="24"/>
          <w:szCs w:val="24"/>
        </w:rPr>
        <w:t>178</w:t>
      </w:r>
      <w:r w:rsidRPr="00265D44">
        <w:rPr>
          <w:sz w:val="24"/>
          <w:szCs w:val="24"/>
        </w:rPr>
        <w:t>, 540–551.</w:t>
      </w:r>
    </w:p>
    <w:p w14:paraId="1B2F72E2" w14:textId="77777777" w:rsidR="00974019" w:rsidRPr="00265D44" w:rsidRDefault="00974019">
      <w:pPr>
        <w:contextualSpacing w:val="0"/>
        <w:rPr>
          <w:sz w:val="24"/>
          <w:szCs w:val="24"/>
        </w:rPr>
      </w:pPr>
    </w:p>
    <w:p w14:paraId="0656F7C3" w14:textId="77777777" w:rsidR="00974019" w:rsidRPr="00265D44" w:rsidRDefault="00271078">
      <w:pPr>
        <w:contextualSpacing w:val="0"/>
        <w:rPr>
          <w:i/>
          <w:sz w:val="24"/>
          <w:szCs w:val="24"/>
        </w:rPr>
      </w:pPr>
      <w:r w:rsidRPr="00265D44">
        <w:rPr>
          <w:i/>
          <w:sz w:val="24"/>
          <w:szCs w:val="24"/>
        </w:rPr>
        <w:t xml:space="preserve">Blaser, R., &amp; </w:t>
      </w:r>
      <w:proofErr w:type="spellStart"/>
      <w:r w:rsidRPr="00265D44">
        <w:rPr>
          <w:i/>
          <w:sz w:val="24"/>
          <w:szCs w:val="24"/>
        </w:rPr>
        <w:t>Fryzlewicz</w:t>
      </w:r>
      <w:proofErr w:type="spellEnd"/>
      <w:r w:rsidRPr="00265D44">
        <w:rPr>
          <w:i/>
          <w:sz w:val="24"/>
          <w:szCs w:val="24"/>
        </w:rPr>
        <w:t>, P. (2016). Random Rotation Ensembles. Journal of Machine Learning Research, 17(4), 1–26.</w:t>
      </w:r>
    </w:p>
    <w:p w14:paraId="516B9508" w14:textId="77777777" w:rsidR="00974019" w:rsidRPr="00265D44" w:rsidRDefault="00974019">
      <w:pPr>
        <w:contextualSpacing w:val="0"/>
        <w:rPr>
          <w:sz w:val="24"/>
          <w:szCs w:val="24"/>
        </w:rPr>
      </w:pPr>
    </w:p>
    <w:p w14:paraId="27413FA8" w14:textId="77777777" w:rsidR="00974019" w:rsidRPr="00265D44" w:rsidRDefault="00271078">
      <w:pPr>
        <w:contextualSpacing w:val="0"/>
        <w:rPr>
          <w:sz w:val="24"/>
          <w:szCs w:val="24"/>
        </w:rPr>
      </w:pPr>
      <w:proofErr w:type="spellStart"/>
      <w:r w:rsidRPr="00265D44">
        <w:rPr>
          <w:sz w:val="24"/>
          <w:szCs w:val="24"/>
        </w:rPr>
        <w:t>Lefèvre</w:t>
      </w:r>
      <w:proofErr w:type="spellEnd"/>
      <w:r w:rsidRPr="00265D44">
        <w:rPr>
          <w:sz w:val="24"/>
          <w:szCs w:val="24"/>
        </w:rPr>
        <w:t xml:space="preserve">, J., Pepe, A., </w:t>
      </w:r>
      <w:proofErr w:type="spellStart"/>
      <w:r w:rsidRPr="00265D44">
        <w:rPr>
          <w:sz w:val="24"/>
          <w:szCs w:val="24"/>
        </w:rPr>
        <w:t>Muscato</w:t>
      </w:r>
      <w:proofErr w:type="spellEnd"/>
      <w:r w:rsidRPr="00265D44">
        <w:rPr>
          <w:sz w:val="24"/>
          <w:szCs w:val="24"/>
        </w:rPr>
        <w:t xml:space="preserve">, J., De </w:t>
      </w:r>
      <w:proofErr w:type="spellStart"/>
      <w:r w:rsidRPr="00265D44">
        <w:rPr>
          <w:sz w:val="24"/>
          <w:szCs w:val="24"/>
        </w:rPr>
        <w:t>Guio</w:t>
      </w:r>
      <w:proofErr w:type="spellEnd"/>
      <w:r w:rsidRPr="00265D44">
        <w:rPr>
          <w:sz w:val="24"/>
          <w:szCs w:val="24"/>
        </w:rPr>
        <w:t xml:space="preserve">, F., Girard, N., </w:t>
      </w:r>
      <w:proofErr w:type="spellStart"/>
      <w:r w:rsidRPr="00265D44">
        <w:rPr>
          <w:sz w:val="24"/>
          <w:szCs w:val="24"/>
        </w:rPr>
        <w:t>Auzias</w:t>
      </w:r>
      <w:proofErr w:type="spellEnd"/>
      <w:r w:rsidRPr="00265D44">
        <w:rPr>
          <w:sz w:val="24"/>
          <w:szCs w:val="24"/>
        </w:rPr>
        <w:t xml:space="preserve">, G., &amp; </w:t>
      </w:r>
      <w:proofErr w:type="spellStart"/>
      <w:r w:rsidRPr="00265D44">
        <w:rPr>
          <w:sz w:val="24"/>
          <w:szCs w:val="24"/>
        </w:rPr>
        <w:t>Germanaud</w:t>
      </w:r>
      <w:proofErr w:type="spellEnd"/>
      <w:r w:rsidRPr="00265D44">
        <w:rPr>
          <w:sz w:val="24"/>
          <w:szCs w:val="24"/>
        </w:rPr>
        <w:t>, D. (2018). SPANOL (</w:t>
      </w:r>
      <w:proofErr w:type="spellStart"/>
      <w:r w:rsidRPr="00265D44">
        <w:rPr>
          <w:sz w:val="24"/>
          <w:szCs w:val="24"/>
        </w:rPr>
        <w:t>SPectral</w:t>
      </w:r>
      <w:proofErr w:type="spellEnd"/>
      <w:r w:rsidRPr="00265D44">
        <w:rPr>
          <w:sz w:val="24"/>
          <w:szCs w:val="24"/>
        </w:rPr>
        <w:t xml:space="preserve"> </w:t>
      </w:r>
      <w:proofErr w:type="spellStart"/>
      <w:r w:rsidRPr="00265D44">
        <w:rPr>
          <w:sz w:val="24"/>
          <w:szCs w:val="24"/>
        </w:rPr>
        <w:t>ANalysis</w:t>
      </w:r>
      <w:proofErr w:type="spellEnd"/>
      <w:r w:rsidRPr="00265D44">
        <w:rPr>
          <w:sz w:val="24"/>
          <w:szCs w:val="24"/>
        </w:rPr>
        <w:t xml:space="preserve"> of Lobes): A Spectral Clustering Framework for Individual and Group Parcellation of Cortical Surfaces in Lobes. </w:t>
      </w:r>
      <w:r w:rsidRPr="00265D44">
        <w:rPr>
          <w:i/>
          <w:sz w:val="24"/>
          <w:szCs w:val="24"/>
        </w:rPr>
        <w:t>Frontiers in Neuroscience</w:t>
      </w:r>
      <w:r w:rsidRPr="00265D44">
        <w:rPr>
          <w:sz w:val="24"/>
          <w:szCs w:val="24"/>
        </w:rPr>
        <w:t xml:space="preserve">, </w:t>
      </w:r>
      <w:r w:rsidRPr="00265D44">
        <w:rPr>
          <w:i/>
          <w:sz w:val="24"/>
          <w:szCs w:val="24"/>
        </w:rPr>
        <w:t>12</w:t>
      </w:r>
      <w:r w:rsidRPr="00265D44">
        <w:rPr>
          <w:sz w:val="24"/>
          <w:szCs w:val="24"/>
        </w:rPr>
        <w:t xml:space="preserve">, 354. </w:t>
      </w:r>
    </w:p>
    <w:p w14:paraId="0D33CB27" w14:textId="77777777" w:rsidR="00974019" w:rsidRPr="00265D44" w:rsidRDefault="00974019">
      <w:pPr>
        <w:contextualSpacing w:val="0"/>
        <w:rPr>
          <w:sz w:val="24"/>
          <w:szCs w:val="24"/>
        </w:rPr>
      </w:pPr>
    </w:p>
    <w:p w14:paraId="170556B6" w14:textId="7D2F9172" w:rsidR="00974019" w:rsidRPr="00265D44" w:rsidRDefault="00271078">
      <w:pPr>
        <w:contextualSpacing w:val="0"/>
        <w:rPr>
          <w:sz w:val="24"/>
          <w:szCs w:val="24"/>
        </w:rPr>
      </w:pPr>
      <w:r w:rsidRPr="00265D44">
        <w:rPr>
          <w:sz w:val="24"/>
          <w:szCs w:val="24"/>
        </w:rPr>
        <w:t xml:space="preserve">Reardon, P. K., Seidlitz, J., </w:t>
      </w:r>
      <w:proofErr w:type="spellStart"/>
      <w:r w:rsidRPr="00265D44">
        <w:rPr>
          <w:sz w:val="24"/>
          <w:szCs w:val="24"/>
        </w:rPr>
        <w:t>Vandekar</w:t>
      </w:r>
      <w:proofErr w:type="spellEnd"/>
      <w:r w:rsidRPr="00265D44">
        <w:rPr>
          <w:sz w:val="24"/>
          <w:szCs w:val="24"/>
        </w:rPr>
        <w:t xml:space="preserve">, S., Liu, S., Patel, R., Park, M. T. M., et al. (2018). Normative brain size variation and brain shape diversity in humans. </w:t>
      </w:r>
      <w:r w:rsidRPr="00265D44">
        <w:rPr>
          <w:i/>
          <w:sz w:val="24"/>
          <w:szCs w:val="24"/>
        </w:rPr>
        <w:t>Science</w:t>
      </w:r>
      <w:r w:rsidRPr="00265D44">
        <w:rPr>
          <w:sz w:val="24"/>
          <w:szCs w:val="24"/>
        </w:rPr>
        <w:t xml:space="preserve">, </w:t>
      </w:r>
      <w:r w:rsidRPr="00265D44">
        <w:rPr>
          <w:i/>
          <w:sz w:val="24"/>
          <w:szCs w:val="24"/>
        </w:rPr>
        <w:t>360</w:t>
      </w:r>
      <w:r w:rsidR="00265D44">
        <w:rPr>
          <w:sz w:val="24"/>
          <w:szCs w:val="24"/>
        </w:rPr>
        <w:t>(6394), 1222–1227.</w:t>
      </w:r>
      <w:bookmarkStart w:id="0" w:name="_GoBack"/>
      <w:bookmarkEnd w:id="0"/>
    </w:p>
    <w:sectPr w:rsidR="00974019" w:rsidRPr="00265D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19"/>
    <w:rsid w:val="00225F60"/>
    <w:rsid w:val="00265D44"/>
    <w:rsid w:val="00271078"/>
    <w:rsid w:val="004745AF"/>
    <w:rsid w:val="00974019"/>
    <w:rsid w:val="00BC1A48"/>
    <w:rsid w:val="00C23019"/>
    <w:rsid w:val="00E9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33B39"/>
  <w15:docId w15:val="{D894CC3C-AFF6-C64F-B851-271E101D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583060">
      <w:bodyDiv w:val="1"/>
      <w:marLeft w:val="0"/>
      <w:marRight w:val="0"/>
      <w:marTop w:val="0"/>
      <w:marBottom w:val="0"/>
      <w:divBdr>
        <w:top w:val="none" w:sz="0" w:space="0" w:color="auto"/>
        <w:left w:val="none" w:sz="0" w:space="0" w:color="auto"/>
        <w:bottom w:val="none" w:sz="0" w:space="0" w:color="auto"/>
        <w:right w:val="none" w:sz="0" w:space="0" w:color="auto"/>
      </w:divBdr>
    </w:div>
    <w:div w:id="110422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Alexander-Bloch</cp:lastModifiedBy>
  <cp:revision>4</cp:revision>
  <dcterms:created xsi:type="dcterms:W3CDTF">2018-07-18T15:40:00Z</dcterms:created>
  <dcterms:modified xsi:type="dcterms:W3CDTF">2018-07-20T22:45:00Z</dcterms:modified>
</cp:coreProperties>
</file>