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1E8"/>
  <w:body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DIAGNOSTIC RSPIR — CAS FICTIF DE VALIDATION</w:t>
      </w:r>
    </w:p>
    <w:p>
      <w:pPr>
        <w:spacing w:after="1400"/>
      </w:pPr>
    </w:p>
    <w:p>
      <w:pPr>
        <w:keepNext/>
        <w:spacing w:after="200"/>
      </w:pPr>
      <w:r>
        <w:rPr>
          <w:rFonts w:ascii="Georgia" w:hAnsi="Georgia"/>
          <w:b w:val="0"/>
          <w:i w:val="0"/>
          <w:color w:val="183128"/>
          <w:sz w:val="70"/>
        </w:rPr>
        <w:t>Dossier de décision</w:t>
      </w:r>
    </w:p>
    <w:p>
      <w:pPr>
        <w:spacing w:after="440"/>
      </w:pPr>
      <w:r>
        <w:rPr>
          <w:rFonts w:ascii="Arial" w:hAnsi="Arial"/>
          <w:b w:val="0"/>
          <w:i/>
          <w:color w:val="85938A"/>
          <w:sz w:val="21"/>
        </w:rPr>
        <w:t>Atelier Boréal Distribution inc. — organisation entièrement fictive créée pour tester le kit RSPIR.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PROCHAINE DÉCISION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Stabiliser et mesurer le flux de soumission pendant quatre semaines avant de sélectionner un CRM ou d'ajouter de l'IA.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QUESTION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Quel changement doit passer en premier sans achat prématuré?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DATE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20 août 2026 — simulation</w:t>
            </w:r>
          </w:p>
        </w:tc>
        <w:trPr>
          <w:tblHeader/>
        </w:trPr>
      </w:tr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PRÉPARÉ PAR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RSPIR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STATUT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Test interne — aucun client réel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 w:val="0"/>
          <w:i/>
          <w:color w:val="85938A"/>
          <w:sz w:val="21"/>
        </w:rPr>
        <w:t>Document confidentiel de démonstration. Tous les noms et chiffres sont fictifs.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LECTURE RAPIDE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54"/>
        </w:rPr>
        <w:t>La décision en bref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DÉCISION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Autoriser Marc et Léa à exécuter un test opérationnel de quatre semaines, sans achat technologique.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POURQUOI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Le flux explique mieux les plaintes que l'absence d'un outil.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CONFIANCE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Moyenne-élevée; fréquence des reprises à mesurer.</w:t>
            </w:r>
          </w:p>
        </w:tc>
        <w:trPr>
          <w:tblHeader/>
        </w:trPr>
      </w:tr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CONDITION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Propriétaire, motifs d'attente et version officielle.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STOP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Aucun CRM ni pilote IA maintenant.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 w:val="0"/>
          <w:i w:val="0"/>
          <w:color w:val="17221D"/>
          <w:sz w:val="21"/>
        </w:rPr>
        <w:t>Preuve de passage : registre complet des délais, motifs et reprises pendant quatre semaines.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01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Contexte et question de départ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Pourquoi le Diagnostic a été lancé.</w:t>
      </w:r>
    </w:p>
    <w:p>
      <w:pPr>
        <w:spacing w:after="120"/>
      </w:pPr>
      <w:r>
        <w:rPr>
          <w:rFonts w:ascii="Arial" w:hAnsi="Arial"/>
          <w:b w:val="0"/>
          <w:i w:val="0"/>
          <w:color w:val="17221D"/>
          <w:sz w:val="21"/>
        </w:rPr>
        <w:t>Deux plaintes de délai ont déclenché une demande de CRM et d'assistant IA. La PDG devait décider si elle libérait rapidement un budget technologique.</w:t>
      </w:r>
    </w:p>
    <w:p>
      <w:pPr>
        <w:spacing w:after="120"/>
      </w:pPr>
      <w:r>
        <w:rPr>
          <w:rFonts w:ascii="Arial" w:hAnsi="Arial"/>
          <w:b w:val="0"/>
          <w:i w:val="0"/>
          <w:color w:val="17221D"/>
          <w:sz w:val="21"/>
        </w:rPr>
        <w:t>Question confirmée : quel changement doit passer en premier pour réduire les délais de soumission sans acheter prématurément une solution?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Résultat recherché : une soumission exacte, assignée et traçable dans un délai explicable.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Contrainte : aucun projet majeur ne peut monopoliser l'équipe avant novembre.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02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Lecture organisationnelle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Voir assez large pour éviter d'approfondir le mauvais problème.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3500"/>
        <w:gridCol w:w="3460"/>
      </w:tblGrid>
      <w:tr>
        <w:trPr>
          <w:tblHeader w:val="true"/>
        </w:trPr>
        <w:tc>
          <w:tcPr>
            <w:tcW w:type="dxa" w:w="24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SIGNAL</w:t>
            </w:r>
          </w:p>
        </w:tc>
        <w:tc>
          <w:tcPr>
            <w:tcW w:type="dxa" w:w="35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FONDEMENT</w:t>
            </w:r>
          </w:p>
        </w:tc>
        <w:tc>
          <w:tcPr>
            <w:tcW w:type="dxa" w:w="34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EFFET</w:t>
            </w:r>
          </w:p>
        </w:tc>
      </w:tr>
      <w:tr>
        <w:tc>
          <w:tcPr>
            <w:tcW w:type="dxa" w:w="24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Responsabilité</w:t>
            </w:r>
          </w:p>
        </w:tc>
        <w:tc>
          <w:tcPr>
            <w:tcW w:type="dxa" w:w="3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Aucun propriétaire unique</w:t>
            </w:r>
          </w:p>
        </w:tc>
        <w:tc>
          <w:tcPr>
            <w:tcW w:type="dxa" w:w="34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Reprises et attente</w:t>
            </w:r>
          </w:p>
        </w:tc>
      </w:tr>
      <w:tr>
        <w:tc>
          <w:tcPr>
            <w:tcW w:type="dxa" w:w="24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Données</w:t>
            </w:r>
          </w:p>
        </w:tc>
        <w:tc>
          <w:tcPr>
            <w:tcW w:type="dxa" w:w="3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Délai présent sur 121 dossiers sur 220</w:t>
            </w:r>
          </w:p>
        </w:tc>
        <w:tc>
          <w:tcPr>
            <w:tcW w:type="dxa" w:w="34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Confiance limitée</w:t>
            </w:r>
          </w:p>
        </w:tc>
      </w:tr>
      <w:tr>
        <w:tc>
          <w:tcPr>
            <w:tcW w:type="dxa" w:w="24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Versions</w:t>
            </w:r>
          </w:p>
        </w:tc>
        <w:tc>
          <w:tcPr>
            <w:tcW w:type="dxa" w:w="3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Cas fictif modifié par trois personnes</w:t>
            </w:r>
          </w:p>
        </w:tc>
        <w:tc>
          <w:tcPr>
            <w:tcW w:type="dxa" w:w="34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Risque d'erreur</w:t>
            </w:r>
          </w:p>
        </w:tc>
      </w:tr>
      <w:tr>
        <w:tc>
          <w:tcPr>
            <w:tcW w:type="dxa" w:w="24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Systèmes</w:t>
            </w:r>
          </w:p>
        </w:tc>
        <w:tc>
          <w:tcPr>
            <w:tcW w:type="dxa" w:w="3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Outlook, Excel et comptabilité</w:t>
            </w:r>
          </w:p>
        </w:tc>
        <w:tc>
          <w:tcPr>
            <w:tcW w:type="dxa" w:w="34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Référentiels séparés</w:t>
            </w:r>
          </w:p>
        </w:tc>
      </w:tr>
      <w:tr>
        <w:tc>
          <w:tcPr>
            <w:tcW w:type="dxa" w:w="24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IA</w:t>
            </w:r>
          </w:p>
        </w:tc>
        <w:tc>
          <w:tcPr>
            <w:tcW w:type="dxa" w:w="35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Validation humaine exigée pour prix et stock</w:t>
            </w:r>
          </w:p>
        </w:tc>
        <w:tc>
          <w:tcPr>
            <w:tcW w:type="dxa" w:w="34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Non autonome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 w:val="0"/>
          <w:i/>
          <w:color w:val="85938A"/>
          <w:sz w:val="21"/>
        </w:rPr>
        <w:t>Les 31 dimensions ont servi de radar. Elles n'ont pas produit 31 audits ni un score de maturité.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03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Priorités candidates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Comparer avant de choisir.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800"/>
        <w:gridCol w:w="1300"/>
        <w:gridCol w:w="4260"/>
      </w:tblGrid>
      <w:tr>
        <w:trPr>
          <w:tblHeader w:val="true"/>
        </w:trPr>
        <w:tc>
          <w:tcPr>
            <w:tcW w:type="dxa" w:w="38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CANDIDATE</w:t>
            </w:r>
          </w:p>
        </w:tc>
        <w:tc>
          <w:tcPr>
            <w:tcW w:type="dxa" w:w="13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TOTAL</w:t>
            </w:r>
          </w:p>
        </w:tc>
        <w:tc>
          <w:tcPr>
            <w:tcW w:type="dxa" w:w="42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CE QUE LE SCORE ÉCLAIRE</w:t>
            </w:r>
          </w:p>
        </w:tc>
      </w:tr>
      <w:tr>
        <w:tc>
          <w:tcPr>
            <w:tcW w:type="dxa" w:w="3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Flux demande-soumission-commande</w:t>
            </w:r>
          </w:p>
        </w:tc>
        <w:tc>
          <w:tcPr>
            <w:tcW w:type="dxa" w:w="13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82/100</w:t>
            </w:r>
          </w:p>
        </w:tc>
        <w:tc>
          <w:tcPr>
            <w:tcW w:type="dxa" w:w="42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Valeur, faisabilité et délai</w:t>
            </w:r>
          </w:p>
        </w:tc>
      </w:tr>
      <w:tr>
        <w:tc>
          <w:tcPr>
            <w:tcW w:type="dxa" w:w="3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Visibilité stock-données produit</w:t>
            </w:r>
          </w:p>
        </w:tc>
        <w:tc>
          <w:tcPr>
            <w:tcW w:type="dxa" w:w="13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63/100</w:t>
            </w:r>
          </w:p>
        </w:tc>
        <w:tc>
          <w:tcPr>
            <w:tcW w:type="dxa" w:w="42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Levier important, préparation plus faible</w:t>
            </w:r>
          </w:p>
        </w:tc>
      </w:tr>
      <w:tr>
        <w:tc>
          <w:tcPr>
            <w:tcW w:type="dxa" w:w="3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Acquisition et suivi commercial</w:t>
            </w:r>
          </w:p>
        </w:tc>
        <w:tc>
          <w:tcPr>
            <w:tcW w:type="dxa" w:w="13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60/100</w:t>
            </w:r>
          </w:p>
        </w:tc>
        <w:tc>
          <w:tcPr>
            <w:tcW w:type="dxa" w:w="42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Lien plus faible avec les plaintes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SORTIE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Priorité claire, avec une incertitude économique à réduire.</w:t>
            </w:r>
          </w:p>
        </w:tc>
        <w:trPr>
          <w:tblHeader/>
        </w:trPr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 w:val="0"/>
          <w:i w:val="0"/>
          <w:color w:val="17221D"/>
          <w:sz w:val="21"/>
        </w:rPr>
        <w:t>Le score ne remplace pas le jugement et ne prouve pas la fréquence des reprises.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04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Priorité recommandée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Ce qui passe en premier — et pourquoi.</w:t>
      </w:r>
    </w:p>
    <w:p>
      <w:pPr>
        <w:spacing w:after="120"/>
      </w:pPr>
      <w:r>
        <w:rPr>
          <w:rFonts w:ascii="Arial" w:hAnsi="Arial"/>
          <w:b w:val="0"/>
          <w:i w:val="0"/>
          <w:color w:val="17221D"/>
          <w:sz w:val="21"/>
        </w:rPr>
        <w:t>Stabiliser et mesurer le flux demande-soumission-commande avant de sélectionner un CRM ou d'ajouter une assistance IA.</w:t>
      </w:r>
    </w:p>
    <w:p>
      <w:pPr>
        <w:spacing w:after="120"/>
      </w:pPr>
      <w:r>
        <w:rPr>
          <w:rFonts w:ascii="Arial" w:hAnsi="Arial"/>
          <w:b w:val="0"/>
          <w:i w:val="0"/>
          <w:color w:val="17221D"/>
          <w:sz w:val="21"/>
        </w:rPr>
        <w:t>Le choix serait invalidé si la mesure démontrait que la majorité des délais provient des clients ou fournisseurs plutôt que des reprises internes.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Le CRM passe après : ses exigences ne sont pas encore fiables.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Les données produit passent après : elles seront traitées dans le flux avant une verticale séparée.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L'IA passe après : elle ne corrige pas seule les entrées, responsabilités et exceptions.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05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Analyse du périmètre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Décider sans concevoir la solution.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HUMAINS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Propriété diffuse; Marc proposé pour le test.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PROCESSUS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Entrées, attente, prochaine action et version ambiguës.</w:t>
            </w:r>
          </w:p>
        </w:tc>
        <w:trPr>
          <w:tblHeader/>
        </w:trPr>
      </w:tr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LOGICIELS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Information répartie entre trois environnements.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DONNÉES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Couverture de délai de 55 % dans l'export fictif.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FRICTION DOMINANTE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Le flux n'a pas de langage commun assez stable pour être automatisé.</w:t>
            </w:r>
          </w:p>
        </w:tc>
        <w:trPr>
          <w:tblHeader/>
        </w:trPr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 w:val="0"/>
          <w:i w:val="0"/>
          <w:color w:val="17221D"/>
          <w:sz w:val="21"/>
        </w:rPr>
        <w:t>IA : non pertinente comme première intervention. Toute utilisation future devra conserver une validation humaine pour les prix, stocks et exceptions.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06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Cause et mécanisme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Séparer les faits, l'hypothèse et l'inconnue.</w:t>
      </w:r>
    </w:p>
    <w:p>
      <w:pPr>
        <w:spacing w:after="120"/>
      </w:pPr>
      <w:r>
        <w:rPr>
          <w:rFonts w:ascii="Arial" w:hAnsi="Arial"/>
          <w:b w:val="0"/>
          <w:i w:val="0"/>
          <w:color w:val="17221D"/>
          <w:sz w:val="21"/>
        </w:rPr>
        <w:t>Règles instables → entrées, propriété, attente et version ambiguës → reprises et délais impossibles à expliquer → achat technologique envisagé sans exigences fiables.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Fait fictif : le statut « en attente » ne nomme pas le détenteur de l'action.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Observation fictive : le cas 26-0718 comporte plusieurs versions.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Hypothèse, confiance moyenne-élevée : ces ambiguïtés expliquent une part importante des retards.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Inconnue : la fréquence réelle des reprises internes.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07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Cas économique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Quantifier ce qui se défend et qualifier le reste.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NIVEAU B — ESTIMABLE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88,5 heures mensuelles touchées dans le scénario; aucun rendement promis.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2800"/>
        <w:gridCol w:w="3960"/>
      </w:tblGrid>
      <w:tr>
        <w:trPr>
          <w:tblHeader w:val="true"/>
        </w:trPr>
        <w:tc>
          <w:tcPr>
            <w:tcW w:type="dxa" w:w="26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COMPOSANTE</w:t>
            </w:r>
          </w:p>
        </w:tc>
        <w:tc>
          <w:tcPr>
            <w:tcW w:type="dxa" w:w="28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CALCUL FICTIF</w:t>
            </w:r>
          </w:p>
        </w:tc>
        <w:tc>
          <w:tcPr>
            <w:tcW w:type="dxa" w:w="39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LIMITE</w:t>
            </w:r>
          </w:p>
        </w:tc>
      </w:tr>
      <w:tr>
        <w:tc>
          <w:tcPr>
            <w:tcW w:type="dxa" w:w="2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Saisie</w:t>
            </w:r>
          </w:p>
        </w:tc>
        <w:tc>
          <w:tcPr>
            <w:tcW w:type="dxa" w:w="2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220 × 18 min = 66 h</w:t>
            </w:r>
          </w:p>
        </w:tc>
        <w:tc>
          <w:tcPr>
            <w:tcW w:type="dxa" w:w="39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Temps déclaré</w:t>
            </w:r>
          </w:p>
        </w:tc>
      </w:tr>
      <w:tr>
        <w:tc>
          <w:tcPr>
            <w:tcW w:type="dxa" w:w="2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Corrections</w:t>
            </w:r>
          </w:p>
        </w:tc>
        <w:tc>
          <w:tcPr>
            <w:tcW w:type="dxa" w:w="2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14 × 45 min = 10,5 h</w:t>
            </w:r>
          </w:p>
        </w:tc>
        <w:tc>
          <w:tcPr>
            <w:tcW w:type="dxa" w:w="39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Durée hypothétique</w:t>
            </w:r>
          </w:p>
        </w:tc>
      </w:tr>
      <w:tr>
        <w:tc>
          <w:tcPr>
            <w:tcW w:type="dxa" w:w="2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Coordination</w:t>
            </w:r>
          </w:p>
        </w:tc>
        <w:tc>
          <w:tcPr>
            <w:tcW w:type="dxa" w:w="2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12 h</w:t>
            </w:r>
          </w:p>
        </w:tc>
        <w:tc>
          <w:tcPr>
            <w:tcW w:type="dxa" w:w="39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Temps déclaré</w:t>
            </w:r>
          </w:p>
        </w:tc>
      </w:tr>
      <w:tr>
        <w:tc>
          <w:tcPr>
            <w:tcW w:type="dxa" w:w="26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Équivalent coût</w:t>
            </w:r>
          </w:p>
        </w:tc>
        <w:tc>
          <w:tcPr>
            <w:tcW w:type="dxa" w:w="2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88,5 h × 38 $ = 3 363 $</w:t>
            </w:r>
          </w:p>
        </w:tc>
        <w:tc>
          <w:tcPr>
            <w:tcW w:type="dxa" w:w="39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Catégories possiblement chevauchantes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 w:val="0"/>
          <w:i/>
          <w:color w:val="85938A"/>
          <w:sz w:val="21"/>
        </w:rPr>
        <w:t>Une récupération hypothétique de 35 % à 50 % représenterait 1 177 $ à 1 682 $ par mois. Cette fourchette sert à décider de mesurer, pas à vendre un ROI.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08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Conditions de préparation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Ce qui doit être vrai avant de décider d'un outil.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00"/>
        <w:gridCol w:w="2200"/>
        <w:gridCol w:w="3860"/>
      </w:tblGrid>
      <w:tr>
        <w:trPr>
          <w:tblHeader w:val="true"/>
        </w:trPr>
        <w:tc>
          <w:tcPr>
            <w:tcW w:type="dxa" w:w="33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CONDITION</w:t>
            </w:r>
          </w:p>
        </w:tc>
        <w:tc>
          <w:tcPr>
            <w:tcW w:type="dxa" w:w="22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ÉTAT INITIAL</w:t>
            </w:r>
          </w:p>
        </w:tc>
        <w:tc>
          <w:tcPr>
            <w:tcW w:type="dxa" w:w="38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ACTION</w:t>
            </w:r>
          </w:p>
        </w:tc>
      </w:tr>
      <w:tr>
        <w:tc>
          <w:tcPr>
            <w:tcW w:type="dxa" w:w="33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Propriétaire</w:t>
            </w:r>
          </w:p>
        </w:tc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Absent</w:t>
            </w:r>
          </w:p>
        </w:tc>
        <w:tc>
          <w:tcPr>
            <w:tcW w:type="dxa" w:w="38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Marc possède le test</w:t>
            </w:r>
          </w:p>
        </w:tc>
      </w:tr>
      <w:tr>
        <w:tc>
          <w:tcPr>
            <w:tcW w:type="dxa" w:w="33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Entrée minimale</w:t>
            </w:r>
          </w:p>
        </w:tc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Variable</w:t>
            </w:r>
          </w:p>
        </w:tc>
        <w:tc>
          <w:tcPr>
            <w:tcW w:type="dxa" w:w="38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Définir le minimum</w:t>
            </w:r>
          </w:p>
        </w:tc>
      </w:tr>
      <w:tr>
        <w:tc>
          <w:tcPr>
            <w:tcW w:type="dxa" w:w="33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Motif d'attente</w:t>
            </w:r>
          </w:p>
        </w:tc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Ambigu</w:t>
            </w:r>
          </w:p>
        </w:tc>
        <w:tc>
          <w:tcPr>
            <w:tcW w:type="dxa" w:w="38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Quatre motifs distincts</w:t>
            </w:r>
          </w:p>
        </w:tc>
      </w:tr>
      <w:tr>
        <w:tc>
          <w:tcPr>
            <w:tcW w:type="dxa" w:w="33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Version officielle</w:t>
            </w:r>
          </w:p>
        </w:tc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Peu visible</w:t>
            </w:r>
          </w:p>
        </w:tc>
        <w:tc>
          <w:tcPr>
            <w:tcW w:type="dxa" w:w="38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Une version désignée</w:t>
            </w:r>
          </w:p>
        </w:tc>
      </w:tr>
      <w:tr>
        <w:tc>
          <w:tcPr>
            <w:tcW w:type="dxa" w:w="33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Mesure</w:t>
            </w:r>
          </w:p>
        </w:tc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Partielle</w:t>
            </w:r>
          </w:p>
        </w:tc>
        <w:tc>
          <w:tcPr>
            <w:tcW w:type="dxa" w:w="38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Tous les dossiers pendant 4 semaines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 w:val="0"/>
          <w:i w:val="0"/>
          <w:color w:val="17221D"/>
          <w:sz w:val="21"/>
        </w:rPr>
        <w:t>Seuil avant la phase 2 : mesure complète et capacité de distinguer les causes internes des causes externes.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09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Séquence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Maintenant, ensuite, plus tard.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MOMENT</w:t>
            </w:r>
          </w:p>
        </w:tc>
        <w:tc>
          <w:tcPr>
            <w:tcW w:type="dxa" w:w="39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MOUVEMENT</w:t>
            </w:r>
          </w:p>
        </w:tc>
        <w:tc>
          <w:tcPr>
            <w:tcW w:type="dxa" w:w="36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PREUVE</w:t>
            </w:r>
          </w:p>
        </w:tc>
      </w:tr>
      <w:tr>
        <w:tc>
          <w:tcPr>
            <w:tcW w:type="dxa" w:w="1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Maintenant</w:t>
            </w:r>
          </w:p>
        </w:tc>
        <w:tc>
          <w:tcPr>
            <w:tcW w:type="dxa" w:w="39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Stabiliser et mesurer 4 semaines</w:t>
            </w:r>
          </w:p>
        </w:tc>
        <w:tc>
          <w:tcPr>
            <w:tcW w:type="dxa" w:w="36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Registre complet</w:t>
            </w:r>
          </w:p>
        </w:tc>
      </w:tr>
      <w:tr>
        <w:tc>
          <w:tcPr>
            <w:tcW w:type="dxa" w:w="1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Ensuite</w:t>
            </w:r>
          </w:p>
        </w:tc>
        <w:tc>
          <w:tcPr>
            <w:tcW w:type="dxa" w:w="39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Décider d'une phase de conception</w:t>
            </w:r>
          </w:p>
        </w:tc>
        <w:tc>
          <w:tcPr>
            <w:tcW w:type="dxa" w:w="36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&gt;15 % au-delà de 48 h pour cause interne</w:t>
            </w:r>
          </w:p>
        </w:tc>
      </w:tr>
      <w:tr>
        <w:tc>
          <w:tcPr>
            <w:tcW w:type="dxa" w:w="18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Plus tard</w:t>
            </w:r>
          </w:p>
        </w:tc>
        <w:tc>
          <w:tcPr>
            <w:tcW w:type="dxa" w:w="39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Comparer outils et assistance IA</w:t>
            </w:r>
          </w:p>
        </w:tc>
        <w:tc>
          <w:tcPr>
            <w:tcW w:type="dxa" w:w="36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Exigences et risques établis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 w:val="0"/>
          <w:i w:val="0"/>
          <w:color w:val="17221D"/>
          <w:sz w:val="21"/>
        </w:rPr>
        <w:t>Le seuil de 15 % est une décision fictive du client, pas une norme RSPIR. La conception et l'implantation demeurent des phases distinctes.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10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Stop List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Éviter une mauvaise dépense est une forme de rendement.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Ne pas acheter un CRM sur la seule base de deux plaintes.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Ne pas automatiser un statut « en attente » qui ne veut pas toujours dire la même chose.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Ne pas permettre à une IA de confirmer prix, stock ou exception sans validation humaine.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Ne pas concevoir les champs, intégrations ou migrations dans le Diagnostic.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Ne pas présenter 3 363 $ comme une économie garantie.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RÈGLE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Ne pas automatiser, acheter ou construire simplement parce que l'option existe.</w:t>
            </w:r>
          </w:p>
        </w:tc>
        <w:trPr>
          <w:tblHeader/>
        </w:trPr>
      </w:tr>
    </w:tbl>
    <w:p>
      <w:pPr>
        <w:spacing w:after="20"/>
      </w:pP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11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Incertitudes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Dire ce qui n'est pas suffisamment connu et ce que cela change.</w:t>
      </w:r>
    </w:p>
    <w:p>
      <w:pPr>
        <w:spacing w:after="120"/>
      </w:pPr>
      <w:r>
        <w:rPr>
          <w:rFonts w:ascii="Arial" w:hAnsi="Arial"/>
          <w:b w:val="0"/>
          <w:i w:val="0"/>
          <w:color w:val="17221D"/>
          <w:sz w:val="21"/>
        </w:rPr>
        <w:t>La fréquence réelle des reprises et la part des délais internes demeurent inconnues. Cela empêche de calculer un ROI et de dimensionner une solution, mais pas de décider de mesurer.</w:t>
      </w:r>
    </w:p>
    <w:p>
      <w:pPr>
        <w:spacing w:after="120"/>
      </w:pPr>
      <w:r>
        <w:rPr>
          <w:rFonts w:ascii="Arial" w:hAnsi="Arial"/>
          <w:b w:val="0"/>
          <w:i w:val="0"/>
          <w:color w:val="17221D"/>
          <w:sz w:val="21"/>
        </w:rPr>
        <w:t>Réduction : Léa consigne le délai, le motif, la reprise, le propriétaire et la version pour chaque dossier pendant quatre semaines.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Limite : l'export fictif ne distingue pas attente client, fournisseur et attente interne.</w:t>
      </w:r>
    </w:p>
    <w:p>
      <w:pPr>
        <w:pStyle w:val="ListBullet"/>
      </w:pPr>
      <w:r>
        <w:rPr>
          <w:rFonts w:ascii="Arial" w:hAnsi="Arial"/>
          <w:b w:val="0"/>
          <w:i w:val="0"/>
          <w:color w:val="17221D"/>
          <w:sz w:val="21"/>
        </w:rPr>
        <w:t>Conclusion valide : mesurer X avant de décider Y.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12  •  DOSSIER DE DÉCISION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46"/>
        </w:rPr>
        <w:t>Prochaine décision</w:t>
      </w:r>
    </w:p>
    <w:p>
      <w:pPr>
        <w:spacing w:after="280"/>
      </w:pPr>
      <w:r>
        <w:rPr>
          <w:rFonts w:ascii="Arial" w:hAnsi="Arial"/>
          <w:b w:val="0"/>
          <w:i/>
          <w:color w:val="85938A"/>
          <w:sz w:val="21"/>
        </w:rPr>
        <w:t>Une action précise, un propriétaire et une preuve.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DÉCISION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Sophie autorise le test opérationnel de quatre semaines.</w:t>
            </w:r>
          </w:p>
        </w:tc>
        <w:trPr>
          <w:tblHeader/>
        </w:trPr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PROPRIÉTAIRE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Marc Gagnon; Léa tient le registre.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MOMENT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Démarrage immédiat dans la simulation.</w:t>
            </w:r>
          </w:p>
        </w:tc>
        <w:trPr>
          <w:tblHeader/>
        </w:trPr>
      </w:tr>
      <w:tr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ENTRÉE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Processus minimum et motifs d'attente.</w:t>
            </w:r>
          </w:p>
        </w:tc>
        <w:tc>
          <w:tcPr>
            <w:tcW w:type="dxa" w:w="468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36F43"/>
                <w:sz w:val="15"/>
              </w:rPr>
              <w:t>SORTIE</w:t>
            </w:r>
          </w:p>
          <w:p>
            <w:r>
              <w:rPr>
                <w:rFonts w:ascii="Arial" w:hAnsi="Arial"/>
                <w:b w:val="0"/>
                <w:i/>
                <w:color w:val="85938A"/>
                <w:sz w:val="19"/>
              </w:rPr>
              <w:t>Registre complet et décision de phase 2.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 w:val="0"/>
          <w:i w:val="0"/>
          <w:color w:val="17221D"/>
          <w:sz w:val="21"/>
        </w:rPr>
        <w:t>Mandat suivant possible : conception du flux et comparaison de solutions. La sélection détaillée, l'architecture et l'implantation ne sont pas incluses ici.</w:t>
      </w:r>
    </w:p>
    <w:p>
      <w:pPr>
        <w:spacing w:after="120"/>
      </w:pPr>
      <w:r>
        <w:rPr>
          <w:rFonts w:ascii="Arial" w:hAnsi="Arial"/>
          <w:b w:val="0"/>
          <w:i/>
          <w:color w:val="85938A"/>
          <w:sz w:val="21"/>
        </w:rPr>
        <w:t>Le client demeure libre d'exécuter avec son équipe, RSPIR ou un autre partenaire.</w:t>
      </w:r>
    </w:p>
    <w:p>
      <w:r>
        <w:br w:type="page"/>
      </w:r>
    </w:p>
    <w:p>
      <w:pPr>
        <w:spacing w:before="0" w:after="100"/>
      </w:pPr>
      <w:r>
        <w:rPr>
          <w:rFonts w:ascii="Arial" w:hAnsi="Arial"/>
          <w:b/>
          <w:i w:val="0"/>
          <w:caps/>
          <w:color w:val="A36F43"/>
          <w:sz w:val="16"/>
        </w:rPr>
        <w:t>APPROPRIATION</w:t>
      </w:r>
    </w:p>
    <w:p>
      <w:pPr>
        <w:keepNext/>
        <w:spacing w:after="160"/>
      </w:pPr>
      <w:r>
        <w:rPr>
          <w:rFonts w:ascii="Georgia" w:hAnsi="Georgia"/>
          <w:b w:val="0"/>
          <w:i w:val="0"/>
          <w:color w:val="183128"/>
          <w:sz w:val="54"/>
        </w:rPr>
        <w:t>La décision tient-elle?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CRITÈRE</w:t>
            </w:r>
          </w:p>
        </w:tc>
        <w:tc>
          <w:tcPr>
            <w:tcW w:type="dxa" w:w="7160"/>
            <w:shd w:fill="183128"/>
            <w:tcBorders>
              <w:top w:val="single" w:sz="5" w:color="183128"/>
              <w:left w:val="single" w:sz="5" w:color="183128"/>
              <w:bottom w:val="single" w:sz="5" w:color="183128"/>
              <w:right w:val="single" w:sz="5" w:color="183128"/>
              <w:insideH w:val="single" w:sz="5" w:color="183128"/>
              <w:insideV w:val="single" w:sz="5" w:color="18312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5F1E8"/>
                <w:sz w:val="15"/>
              </w:rPr>
              <w:t>RÉSULTAT DU TEST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Direction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Flux de soumission avant CRM/IA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Justification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Alternatives comparées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Preuve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Sources identifiables et limite visible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Conditions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Propriétaire, entrées, statuts, version et mesure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Économie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Niveau B, hypothèses explicites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Séquence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Maintenant, ensuite, plus tard</w:t>
            </w:r>
          </w:p>
        </w:tc>
      </w:tr>
      <w:tr>
        <w:tc>
          <w:tcPr>
            <w:tcW w:type="dxa" w:w="220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Action</w:t>
            </w:r>
          </w:p>
        </w:tc>
        <w:tc>
          <w:tcPr>
            <w:tcW w:type="dxa" w:w="71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17221D"/>
                <w:sz w:val="17"/>
              </w:rPr>
              <w:t>Test de quatre semaines et preuve attendue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BF9F4"/>
            <w:tcBorders>
              <w:top w:val="single" w:sz="5" w:color="D8D3C8"/>
              <w:left w:val="single" w:sz="5" w:color="D8D3C8"/>
              <w:bottom w:val="single" w:sz="5" w:color="D8D3C8"/>
              <w:right w:val="single" w:sz="5" w:color="D8D3C8"/>
              <w:insideH w:val="single" w:sz="5" w:color="D8D3C8"/>
              <w:insideV w:val="single" w:sz="5" w:color="D8D3C8"/>
            </w:tcBorders>
            <w:tcMar>
              <w:top w:w="180" w:type="dxa"/>
              <w:start w:w="210" w:type="dxa"/>
              <w:bottom w:w="180" w:type="dxa"/>
              <w:end w:w="210" w:type="dxa"/>
            </w:tcMar>
          </w:tcPr>
          <w:p>
            <w:pPr>
              <w:spacing w:after="80"/>
            </w:pPr>
            <w:r>
              <w:rPr>
                <w:rFonts w:ascii="Arial" w:hAnsi="Arial"/>
                <w:b/>
                <w:i w:val="0"/>
                <w:color w:val="A36F43"/>
                <w:sz w:val="16"/>
              </w:rPr>
              <w:t>GARANTIE</w:t>
            </w:r>
          </w:p>
          <w:p>
            <w:pPr>
              <w:spacing w:after="0"/>
            </w:pPr>
            <w:r>
              <w:rPr>
                <w:rFonts w:ascii="Georgia" w:hAnsi="Georgia"/>
                <w:b w:val="0"/>
                <w:i w:val="0"/>
                <w:color w:val="183128"/>
                <w:sz w:val="26"/>
              </w:rPr>
              <w:t>Satisfaite dans la simulation. L'incertitude restante mène à une mesure précise avant investissement.</w:t>
            </w:r>
          </w:p>
        </w:tc>
        <w:trPr>
          <w:tblHeader/>
        </w:trPr>
      </w:tr>
    </w:tbl>
    <w:p>
      <w:pPr>
        <w:spacing w:after="20"/>
      </w:pPr>
    </w:p>
    <w:p>
      <w:pPr>
        <w:spacing w:after="120"/>
      </w:pPr>
      <w:r>
        <w:rPr>
          <w:rFonts w:ascii="Arial" w:hAnsi="Arial"/>
          <w:b w:val="0"/>
          <w:i/>
          <w:color w:val="85938A"/>
          <w:sz w:val="21"/>
        </w:rPr>
        <w:t>Cette démonstration ne constitue ni un témoignage client ni une promesse de rendement.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b w:val="0"/>
        <w:i w:val="0"/>
        <w:color w:val="85938A"/>
        <w:sz w:val="15"/>
      </w:rPr>
      <w:t>CONFIDENTIEL   •   MODÈLE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i w:val="0"/>
        <w:color w:val="85938A"/>
        <w:sz w:val="15"/>
      </w:rPr>
      <w:t>R S P I R   |   DOSSIER DE DÉCISION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/>
      <w:color w:val="1722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Georgia" w:hAnsi="Georgia"/>
      <w:b w:val="0"/>
      <w:bCs/>
      <w:color w:val="1831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Georgia" w:hAnsi="Georgia"/>
      <w:b w:val="0"/>
      <w:bCs/>
      <w:color w:val="18312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Georgia" w:hAnsi="Georgia"/>
      <w:b w:val="0"/>
      <w:bCs/>
      <w:color w:val="1831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ind w:left="547" w:hanging="274"/>
      <w:contextualSpacing/>
    </w:pPr>
    <w:rPr>
      <w:rFonts w:ascii="Arial" w:hAnsi="Arial"/>
      <w:color w:val="17221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ind w:left="547" w:hanging="274"/>
      <w:contextualSpacing/>
    </w:pPr>
    <w:rPr>
      <w:rFonts w:ascii="Arial" w:hAnsi="Arial"/>
      <w:color w:val="17221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Dossier de décision — Atelier Boréal Distribution — test</dc:title>
  <dc:subject>Diagnostic RSPIR — cas fictif de validation</dc:subject>
  <dc:creator>RSPIR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