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Arial" w:hAnsi="Arial"/>
          <w:b/>
          <w:color w:val="A36F43"/>
          <w:sz w:val="16"/>
        </w:rPr>
        <w:t>DOCUMENT CONTRACTUEL  /  RSPIR</w:t>
      </w:r>
    </w:p>
    <w:p>
      <w:pPr>
        <w:spacing w:before="0" w:after="140"/>
      </w:pPr>
      <w:r>
        <w:rPr>
          <w:rFonts w:ascii="Georgia" w:hAnsi="Georgia"/>
          <w:b w:val="0"/>
          <w:color w:val="183128"/>
          <w:sz w:val="48"/>
        </w:rPr>
        <w:t>ENTENTE DE SERVICES - DIAGNOSTIC RSPIR</w:t>
      </w:r>
    </w:p>
    <w:p>
      <w:pPr>
        <w:spacing w:after="240"/>
        <w:pBdr>
          <w:bottom w:val="single" w:sz="12" w:space="5" w:color="A36F43"/>
        </w:pBdr>
      </w:pPr>
      <w:r>
        <w:rPr>
          <w:rFonts w:ascii="Arial" w:hAnsi="Arial"/>
          <w:b/>
          <w:color w:val="85938A"/>
          <w:sz w:val="18"/>
        </w:rPr>
        <w:t>RSPIR | Modèle de travail V0.9 - validation juridique requise avant première signature</w:t>
      </w:r>
    </w:p>
    <w:tbl>
      <w:tblPr>
        <w:tblW w:type="auto" w:w="0"/>
        <w:tblLayout w:type="fixed"/>
        <w:tblLook w:firstColumn="1" w:firstRow="1" w:lastColumn="0" w:lastRow="0" w:noHBand="0" w:noVBand="1" w:val="04A0"/>
      </w:tblPr>
      <w:tblGrid>
        <w:gridCol w:w="1944"/>
        <w:gridCol w:w="7934"/>
      </w:tblGrid>
      <w:tr>
        <w:trPr>
          <w:tblHeader w:val="true"/>
        </w:trPr>
        <w:tc>
          <w:tcPr>
            <w:tcW w:type="dxa" w:w="4939"/>
            <w:tcMar>
              <w:top w:w="120" w:type="dxa"/>
              <w:start w:w="160" w:type="dxa"/>
              <w:bottom w:w="120" w:type="dxa"/>
              <w:end w:w="160" w:type="dxa"/>
            </w:tcMar>
            <w:shd w:fill="183128"/>
          </w:tcPr>
          <w:p>
            <w:pPr>
              <w:spacing w:after="0"/>
            </w:pPr>
            <w:r>
              <w:rPr>
                <w:rFonts w:ascii="Arial" w:hAnsi="Arial"/>
                <w:b/>
                <w:color w:val="FFFFFF"/>
                <w:sz w:val="16"/>
              </w:rPr>
              <w:t>STATUT</w:t>
            </w:r>
          </w:p>
        </w:tc>
        <w:tc>
          <w:tcPr>
            <w:tcW w:type="dxa" w:w="4939"/>
            <w:tcMar>
              <w:top w:w="120" w:type="dxa"/>
              <w:start w:w="160" w:type="dxa"/>
              <w:bottom w:w="120" w:type="dxa"/>
              <w:end w:w="160" w:type="dxa"/>
            </w:tcMar>
            <w:shd w:fill="FBF9F4"/>
          </w:tcPr>
          <w:p>
            <w:pPr>
              <w:spacing w:after="0"/>
            </w:pPr>
            <w:r>
              <w:rPr>
                <w:rFonts w:ascii="Arial" w:hAnsi="Arial"/>
                <w:b/>
                <w:color w:val="17221D"/>
                <w:sz w:val="17"/>
              </w:rPr>
              <w:t>MODÈLE DE TRAVAIL - À COMPLÉTER ET À VALIDER AVANT SIGNATURE</w:t>
            </w:r>
          </w:p>
        </w:tc>
      </w:tr>
    </w:tbl>
    <w:p>
      <w:pPr>
        <w:spacing w:after="20"/>
      </w:pPr>
    </w:p>
    <w:p>
      <w:pPr>
        <w:pStyle w:val="Heading1"/>
      </w:pPr>
      <w:r>
        <w:t>Identification</w:t>
      </w:r>
    </w:p>
    <w:p>
      <w:r>
        <w:rPr>
          <w:rFonts w:ascii="Arial" w:hAnsi="Arial"/>
          <w:color w:val="17221D"/>
          <w:sz w:val="20"/>
        </w:rPr>
        <w:t xml:space="preserve">La présente entente de services (l'« Entente ») prend effet le </w:t>
      </w:r>
      <w:r>
        <w:rPr>
          <w:rFonts w:ascii="Arial" w:hAnsi="Arial"/>
          <w:b/>
          <w:color w:val="17221D"/>
          <w:sz w:val="20"/>
        </w:rPr>
        <w:t>[DATE]</w:t>
      </w:r>
      <w:r>
        <w:rPr>
          <w:rFonts w:ascii="Arial" w:hAnsi="Arial"/>
          <w:color w:val="17221D"/>
          <w:sz w:val="20"/>
        </w:rPr>
        <w:t xml:space="preserve"> entre :</w:t>
      </w:r>
    </w:p>
    <w:p>
      <w:r>
        <w:rPr>
          <w:rFonts w:ascii="Arial" w:hAnsi="Arial"/>
          <w:b/>
          <w:color w:val="17221D"/>
          <w:sz w:val="20"/>
        </w:rPr>
        <w:t>Prestataire :</w:t>
      </w:r>
      <w:r>
        <w:rPr>
          <w:rFonts w:ascii="Arial" w:hAnsi="Arial"/>
          <w:color w:val="17221D"/>
          <w:sz w:val="20"/>
        </w:rPr>
        <w:t xml:space="preserve"> </w:t>
      </w:r>
      <w:r>
        <w:rPr>
          <w:rFonts w:ascii="Arial" w:hAnsi="Arial"/>
          <w:b/>
          <w:color w:val="A36F43"/>
          <w:sz w:val="20"/>
        </w:rPr>
        <w:t>[NOM LÉGAL COMPLET DE RSPIR]</w:t>
      </w:r>
      <w:r>
        <w:rPr>
          <w:rFonts w:ascii="Arial" w:hAnsi="Arial"/>
          <w:color w:val="17221D"/>
          <w:sz w:val="20"/>
        </w:rPr>
        <w:t xml:space="preserve">, </w:t>
      </w:r>
      <w:r>
        <w:rPr>
          <w:rFonts w:ascii="Arial" w:hAnsi="Arial"/>
          <w:b/>
          <w:color w:val="A36F43"/>
          <w:sz w:val="20"/>
        </w:rPr>
        <w:t>[forme juridique]</w:t>
      </w:r>
      <w:r>
        <w:rPr>
          <w:rFonts w:ascii="Arial" w:hAnsi="Arial"/>
          <w:color w:val="17221D"/>
          <w:sz w:val="20"/>
        </w:rPr>
        <w:t xml:space="preserve">, ayant son adresse au </w:t>
      </w:r>
      <w:r>
        <w:rPr>
          <w:rFonts w:ascii="Arial" w:hAnsi="Arial"/>
          <w:b/>
          <w:color w:val="A36F43"/>
          <w:sz w:val="20"/>
        </w:rPr>
        <w:t>[ADRESSE]</w:t>
      </w:r>
      <w:r>
        <w:rPr>
          <w:rFonts w:ascii="Arial" w:hAnsi="Arial"/>
          <w:color w:val="17221D"/>
          <w:sz w:val="20"/>
        </w:rPr>
        <w:t xml:space="preserve">, représentée par </w:t>
      </w:r>
      <w:r>
        <w:rPr>
          <w:rFonts w:ascii="Arial" w:hAnsi="Arial"/>
          <w:b/>
          <w:color w:val="A36F43"/>
          <w:sz w:val="20"/>
        </w:rPr>
        <w:t>[NOM ET TITRE]</w:t>
      </w:r>
      <w:r>
        <w:rPr>
          <w:rFonts w:ascii="Arial" w:hAnsi="Arial"/>
          <w:color w:val="17221D"/>
          <w:sz w:val="20"/>
        </w:rPr>
        <w:t xml:space="preserve"> (« RSPIR »);</w:t>
      </w:r>
    </w:p>
    <w:p>
      <w:r>
        <w:rPr>
          <w:rFonts w:ascii="Arial" w:hAnsi="Arial"/>
          <w:color w:val="17221D"/>
          <w:sz w:val="20"/>
        </w:rPr>
        <w:t>et</w:t>
      </w:r>
    </w:p>
    <w:p>
      <w:r>
        <w:rPr>
          <w:rFonts w:ascii="Arial" w:hAnsi="Arial"/>
          <w:b/>
          <w:color w:val="17221D"/>
          <w:sz w:val="20"/>
        </w:rPr>
        <w:t>Client :</w:t>
      </w:r>
      <w:r>
        <w:rPr>
          <w:rFonts w:ascii="Arial" w:hAnsi="Arial"/>
          <w:color w:val="17221D"/>
          <w:sz w:val="20"/>
        </w:rPr>
        <w:t xml:space="preserve"> </w:t>
      </w:r>
      <w:r>
        <w:rPr>
          <w:rFonts w:ascii="Arial" w:hAnsi="Arial"/>
          <w:b/>
          <w:color w:val="A36F43"/>
          <w:sz w:val="20"/>
        </w:rPr>
        <w:t>[NOM LÉGAL COMPLET]</w:t>
      </w:r>
      <w:r>
        <w:rPr>
          <w:rFonts w:ascii="Arial" w:hAnsi="Arial"/>
          <w:color w:val="17221D"/>
          <w:sz w:val="20"/>
        </w:rPr>
        <w:t xml:space="preserve">, </w:t>
      </w:r>
      <w:r>
        <w:rPr>
          <w:rFonts w:ascii="Arial" w:hAnsi="Arial"/>
          <w:b/>
          <w:color w:val="A36F43"/>
          <w:sz w:val="20"/>
        </w:rPr>
        <w:t>[forme juridique]</w:t>
      </w:r>
      <w:r>
        <w:rPr>
          <w:rFonts w:ascii="Arial" w:hAnsi="Arial"/>
          <w:color w:val="17221D"/>
          <w:sz w:val="20"/>
        </w:rPr>
        <w:t xml:space="preserve">, ayant son adresse au </w:t>
      </w:r>
      <w:r>
        <w:rPr>
          <w:rFonts w:ascii="Arial" w:hAnsi="Arial"/>
          <w:b/>
          <w:color w:val="A36F43"/>
          <w:sz w:val="20"/>
        </w:rPr>
        <w:t>[ADRESSE]</w:t>
      </w:r>
      <w:r>
        <w:rPr>
          <w:rFonts w:ascii="Arial" w:hAnsi="Arial"/>
          <w:color w:val="17221D"/>
          <w:sz w:val="20"/>
        </w:rPr>
        <w:t xml:space="preserve">, représenté par </w:t>
      </w:r>
      <w:r>
        <w:rPr>
          <w:rFonts w:ascii="Arial" w:hAnsi="Arial"/>
          <w:b/>
          <w:color w:val="A36F43"/>
          <w:sz w:val="20"/>
        </w:rPr>
        <w:t>[NOM ET TITRE]</w:t>
      </w:r>
      <w:r>
        <w:rPr>
          <w:rFonts w:ascii="Arial" w:hAnsi="Arial"/>
          <w:color w:val="17221D"/>
          <w:sz w:val="20"/>
        </w:rPr>
        <w:t xml:space="preserve"> (le « Client »).</w:t>
      </w:r>
    </w:p>
    <w:p>
      <w:pPr>
        <w:pStyle w:val="Heading1"/>
      </w:pPr>
      <w:r>
        <w:t>1. Objet et principe du mandat</w:t>
      </w:r>
    </w:p>
    <w:p>
      <w:r>
        <w:rPr>
          <w:rFonts w:ascii="Arial" w:hAnsi="Arial"/>
          <w:color w:val="17221D"/>
          <w:sz w:val="20"/>
        </w:rPr>
        <w:t>Le Client retient RSPIR pour réaliser un Diagnostic RSPIR : une démarche de décision qui vise à comprendre ce qui se passe réellement, choisir une priorité et établir dans quel ordre agir avant d'investir dans une technologie, une automatisation ou un changement important.</w:t>
      </w:r>
    </w:p>
    <w:p>
      <w:r>
        <w:rPr>
          <w:rFonts w:ascii="Arial" w:hAnsi="Arial"/>
          <w:color w:val="17221D"/>
          <w:sz w:val="20"/>
        </w:rPr>
        <w:t>Le Diagnostic ne vend pas une technologie et ne présume pas qu'une intervention technologique est nécessaire. Il doit conserver une valeur autonome, même si le Client décide de ne pas poursuivre avec RSPIR après le Diagnostic.</w:t>
      </w:r>
    </w:p>
    <w:p>
      <w:pPr>
        <w:pStyle w:val="Heading1"/>
      </w:pPr>
      <w:r>
        <w:t>2. Documents contractuels et ordre de priorité</w:t>
      </w:r>
    </w:p>
    <w:p>
      <w:r>
        <w:rPr>
          <w:rFonts w:ascii="Arial" w:hAnsi="Arial"/>
          <w:color w:val="17221D"/>
          <w:sz w:val="20"/>
        </w:rPr>
        <w:t>Les documents suivants forment le contrat, dans cet ordre de priorité :</w:t>
      </w:r>
    </w:p>
    <w:p>
      <w:pPr>
        <w:numPr>
          <w:ilvl w:val="0"/>
          <w:numId w:val="10"/>
        </w:numPr>
        <w:spacing w:after="60" w:line="283" w:lineRule="auto"/>
      </w:pPr>
      <w:r>
        <w:rPr>
          <w:rFonts w:ascii="Arial" w:hAnsi="Arial"/>
          <w:color w:val="17221D"/>
          <w:sz w:val="20"/>
        </w:rPr>
        <w:t>toute modification écrite signée par les Parties;</w:t>
      </w:r>
    </w:p>
    <w:p>
      <w:pPr>
        <w:numPr>
          <w:ilvl w:val="0"/>
          <w:numId w:val="10"/>
        </w:numPr>
        <w:spacing w:after="60" w:line="283" w:lineRule="auto"/>
      </w:pPr>
      <w:r>
        <w:rPr>
          <w:rFonts w:ascii="Arial" w:hAnsi="Arial"/>
          <w:color w:val="17221D"/>
          <w:sz w:val="20"/>
        </w:rPr>
        <w:t>la fiche de mandat à l'annexe A;</w:t>
      </w:r>
    </w:p>
    <w:p>
      <w:pPr>
        <w:numPr>
          <w:ilvl w:val="0"/>
          <w:numId w:val="10"/>
        </w:numPr>
        <w:spacing w:after="60" w:line="283" w:lineRule="auto"/>
      </w:pPr>
      <w:r>
        <w:rPr>
          <w:rFonts w:ascii="Arial" w:hAnsi="Arial"/>
          <w:color w:val="17221D"/>
          <w:sz w:val="20"/>
        </w:rPr>
        <w:t>la présente Entente;</w:t>
      </w:r>
    </w:p>
    <w:p>
      <w:pPr>
        <w:numPr>
          <w:ilvl w:val="0"/>
          <w:numId w:val="10"/>
        </w:numPr>
        <w:spacing w:after="60" w:line="283" w:lineRule="auto"/>
      </w:pPr>
      <w:r>
        <w:rPr>
          <w:rFonts w:ascii="Arial" w:hAnsi="Arial"/>
          <w:color w:val="17221D"/>
          <w:sz w:val="20"/>
        </w:rPr>
        <w:t>l'entente de confidentialité et, s'il y a lieu, l'annexe de traitement des renseignements personnels;</w:t>
      </w:r>
    </w:p>
    <w:p>
      <w:pPr>
        <w:numPr>
          <w:ilvl w:val="0"/>
          <w:numId w:val="10"/>
        </w:numPr>
        <w:spacing w:after="60" w:line="283" w:lineRule="auto"/>
      </w:pPr>
      <w:r>
        <w:rPr>
          <w:rFonts w:ascii="Arial" w:hAnsi="Arial"/>
          <w:color w:val="17221D"/>
          <w:sz w:val="20"/>
        </w:rPr>
        <w:t>toute proposition expressément intégrée par écrit.</w:t>
      </w:r>
    </w:p>
    <w:p>
      <w:r>
        <w:rPr>
          <w:rFonts w:ascii="Arial" w:hAnsi="Arial"/>
          <w:color w:val="17221D"/>
          <w:sz w:val="20"/>
        </w:rPr>
        <w:t>Un document commercial, une page Web ou une conversation n'ajoute pas une obligation qui ne figure pas dans ces documents.</w:t>
      </w:r>
    </w:p>
    <w:p>
      <w:pPr>
        <w:pStyle w:val="Heading1"/>
      </w:pPr>
      <w:r>
        <w:t>3. Niveau du Diagnostic et honoraires</w:t>
      </w:r>
    </w:p>
    <w:p>
      <w:r>
        <w:rPr>
          <w:rFonts w:ascii="Arial" w:hAnsi="Arial"/>
          <w:color w:val="17221D"/>
          <w:sz w:val="20"/>
        </w:rPr>
        <w:t>Le niveau retenu est indiqué à l'annexe A selon le nombre de grandes fonctions réellement touchées par la problématique de départ :</w:t>
      </w:r>
    </w:p>
    <w:p>
      <w:pPr>
        <w:numPr>
          <w:ilvl w:val="0"/>
          <w:numId w:val="11"/>
        </w:numPr>
        <w:spacing w:after="60" w:line="283" w:lineRule="auto"/>
      </w:pPr>
      <w:r>
        <w:rPr>
          <w:rFonts w:ascii="Arial" w:hAnsi="Arial"/>
          <w:b/>
          <w:color w:val="17221D"/>
          <w:sz w:val="20"/>
        </w:rPr>
        <w:t>Standard - 0 à 4 fonctions : 3 500 $ plus taxes.</w:t>
      </w:r>
      <w:r>
        <w:rPr>
          <w:rFonts w:ascii="Arial" w:hAnsi="Arial"/>
          <w:color w:val="17221D"/>
          <w:sz w:val="20"/>
        </w:rPr>
        <w:t xml:space="preserve"> Un seul vertical prioritaire est approfondi.</w:t>
      </w:r>
    </w:p>
    <w:p>
      <w:pPr>
        <w:numPr>
          <w:ilvl w:val="0"/>
          <w:numId w:val="11"/>
        </w:numPr>
        <w:spacing w:after="60" w:line="283" w:lineRule="auto"/>
      </w:pPr>
      <w:r>
        <w:rPr>
          <w:rFonts w:ascii="Arial" w:hAnsi="Arial"/>
          <w:b/>
          <w:color w:val="17221D"/>
          <w:sz w:val="20"/>
        </w:rPr>
        <w:t>Élargi - 5 à 8 fonctions : 5 500 $ plus taxes.</w:t>
      </w:r>
    </w:p>
    <w:p>
      <w:pPr>
        <w:numPr>
          <w:ilvl w:val="0"/>
          <w:numId w:val="11"/>
        </w:numPr>
        <w:spacing w:after="60" w:line="283" w:lineRule="auto"/>
      </w:pPr>
      <w:r>
        <w:rPr>
          <w:rFonts w:ascii="Arial" w:hAnsi="Arial"/>
          <w:b/>
          <w:color w:val="17221D"/>
          <w:sz w:val="20"/>
        </w:rPr>
        <w:t>Complexe - 9 à 12 fonctions : à partir de 7 500 $ plus taxes.</w:t>
      </w:r>
      <w:r>
        <w:rPr>
          <w:rFonts w:ascii="Arial" w:hAnsi="Arial"/>
          <w:color w:val="17221D"/>
          <w:sz w:val="20"/>
        </w:rPr>
        <w:t xml:space="preserve"> La portée et le prix final doivent être confirmés dans l'annexe A avant le début.</w:t>
      </w:r>
    </w:p>
    <w:p>
      <w:r>
        <w:rPr>
          <w:rFonts w:ascii="Arial" w:hAnsi="Arial"/>
          <w:color w:val="17221D"/>
          <w:sz w:val="20"/>
        </w:rPr>
        <w:t>Le prix rémunère le résultat et la portée convenus, non un nombre d'heures. Une modification du niveau ou de la portée exige une autorisation écrite selon l'article 11.</w:t>
      </w:r>
    </w:p>
    <w:p>
      <w:pPr>
        <w:pStyle w:val="Heading1"/>
      </w:pPr>
      <w:r>
        <w:t>4. Parcours inclus</w:t>
      </w:r>
    </w:p>
    <w:p>
      <w:r>
        <w:rPr>
          <w:rFonts w:ascii="Arial" w:hAnsi="Arial"/>
          <w:color w:val="17221D"/>
          <w:sz w:val="20"/>
        </w:rPr>
        <w:t>Sous réserve du niveau choisi et des informations disponibles, RSPIR suit le parcours suivant :</w:t>
      </w:r>
    </w:p>
    <w:p>
      <w:pPr>
        <w:numPr>
          <w:ilvl w:val="0"/>
          <w:numId w:val="12"/>
        </w:numPr>
        <w:spacing w:after="60" w:line="283" w:lineRule="auto"/>
      </w:pPr>
      <w:r>
        <w:rPr>
          <w:rFonts w:ascii="Arial" w:hAnsi="Arial"/>
          <w:color w:val="17221D"/>
          <w:sz w:val="20"/>
        </w:rPr>
        <w:t>qualification et choix du niveau de complexité;</w:t>
      </w:r>
    </w:p>
    <w:p>
      <w:pPr>
        <w:numPr>
          <w:ilvl w:val="0"/>
          <w:numId w:val="12"/>
        </w:numPr>
        <w:spacing w:after="60" w:line="283" w:lineRule="auto"/>
      </w:pPr>
      <w:r>
        <w:rPr>
          <w:rFonts w:ascii="Arial" w:hAnsi="Arial"/>
          <w:color w:val="17221D"/>
          <w:sz w:val="20"/>
        </w:rPr>
        <w:t>recherche préparatoire légère;</w:t>
      </w:r>
    </w:p>
    <w:p>
      <w:pPr>
        <w:numPr>
          <w:ilvl w:val="0"/>
          <w:numId w:val="12"/>
        </w:numPr>
        <w:spacing w:after="60" w:line="283" w:lineRule="auto"/>
      </w:pPr>
      <w:r>
        <w:rPr>
          <w:rFonts w:ascii="Arial" w:hAnsi="Arial"/>
          <w:color w:val="17221D"/>
          <w:sz w:val="20"/>
        </w:rPr>
        <w:t>séance de cadrage avec le dirigeant;</w:t>
      </w:r>
    </w:p>
    <w:p>
      <w:pPr>
        <w:numPr>
          <w:ilvl w:val="0"/>
          <w:numId w:val="12"/>
        </w:numPr>
        <w:spacing w:after="60" w:line="283" w:lineRule="auto"/>
      </w:pPr>
      <w:r>
        <w:rPr>
          <w:rFonts w:ascii="Arial" w:hAnsi="Arial"/>
          <w:color w:val="17221D"/>
          <w:sz w:val="20"/>
        </w:rPr>
        <w:t>lecture horizontale des dimensions pertinentes du Diagnostic;</w:t>
      </w:r>
    </w:p>
    <w:p>
      <w:pPr>
        <w:numPr>
          <w:ilvl w:val="0"/>
          <w:numId w:val="12"/>
        </w:numPr>
        <w:spacing w:after="60" w:line="283" w:lineRule="auto"/>
      </w:pPr>
      <w:r>
        <w:rPr>
          <w:rFonts w:ascii="Arial" w:hAnsi="Arial"/>
          <w:color w:val="17221D"/>
          <w:sz w:val="20"/>
        </w:rPr>
        <w:t>priorisation des zones à approfondir;</w:t>
      </w:r>
    </w:p>
    <w:p>
      <w:pPr>
        <w:numPr>
          <w:ilvl w:val="0"/>
          <w:numId w:val="12"/>
        </w:numPr>
        <w:spacing w:after="60" w:line="283" w:lineRule="auto"/>
      </w:pPr>
      <w:r>
        <w:rPr>
          <w:rFonts w:ascii="Arial" w:hAnsi="Arial"/>
          <w:color w:val="17221D"/>
          <w:sz w:val="20"/>
        </w:rPr>
        <w:t>séance de convergence;</w:t>
      </w:r>
    </w:p>
    <w:p>
      <w:pPr>
        <w:numPr>
          <w:ilvl w:val="0"/>
          <w:numId w:val="12"/>
        </w:numPr>
        <w:spacing w:after="60" w:line="283" w:lineRule="auto"/>
      </w:pPr>
      <w:r>
        <w:rPr>
          <w:rFonts w:ascii="Arial" w:hAnsi="Arial"/>
          <w:color w:val="17221D"/>
          <w:sz w:val="20"/>
        </w:rPr>
        <w:t>approfondissement du vertical prioritaire;</w:t>
      </w:r>
    </w:p>
    <w:p>
      <w:pPr>
        <w:numPr>
          <w:ilvl w:val="0"/>
          <w:numId w:val="12"/>
        </w:numPr>
        <w:spacing w:after="60" w:line="283" w:lineRule="auto"/>
      </w:pPr>
      <w:r>
        <w:rPr>
          <w:rFonts w:ascii="Arial" w:hAnsi="Arial"/>
          <w:color w:val="17221D"/>
          <w:sz w:val="20"/>
        </w:rPr>
        <w:t>analyse de la cause et du mécanisme réel;</w:t>
      </w:r>
    </w:p>
    <w:p>
      <w:pPr>
        <w:numPr>
          <w:ilvl w:val="0"/>
          <w:numId w:val="12"/>
        </w:numPr>
        <w:spacing w:after="60" w:line="283" w:lineRule="auto"/>
      </w:pPr>
      <w:r>
        <w:rPr>
          <w:rFonts w:ascii="Arial" w:hAnsi="Arial"/>
          <w:color w:val="17221D"/>
          <w:sz w:val="20"/>
        </w:rPr>
        <w:t>construction du cas économique;</w:t>
      </w:r>
    </w:p>
    <w:p>
      <w:pPr>
        <w:numPr>
          <w:ilvl w:val="0"/>
          <w:numId w:val="12"/>
        </w:numPr>
        <w:spacing w:after="60" w:line="283" w:lineRule="auto"/>
      </w:pPr>
      <w:r>
        <w:rPr>
          <w:rFonts w:ascii="Arial" w:hAnsi="Arial"/>
          <w:color w:val="17221D"/>
          <w:sz w:val="20"/>
        </w:rPr>
        <w:t>définition des conditions de réussite;</w:t>
      </w:r>
    </w:p>
    <w:p>
      <w:pPr>
        <w:numPr>
          <w:ilvl w:val="0"/>
          <w:numId w:val="12"/>
        </w:numPr>
        <w:spacing w:after="60" w:line="283" w:lineRule="auto"/>
      </w:pPr>
      <w:r>
        <w:rPr>
          <w:rFonts w:ascii="Arial" w:hAnsi="Arial"/>
          <w:color w:val="17221D"/>
          <w:sz w:val="20"/>
        </w:rPr>
        <w:t>Stop List et séquence d'action;</w:t>
      </w:r>
    </w:p>
    <w:p>
      <w:pPr>
        <w:numPr>
          <w:ilvl w:val="0"/>
          <w:numId w:val="12"/>
        </w:numPr>
        <w:spacing w:after="60" w:line="283" w:lineRule="auto"/>
      </w:pPr>
      <w:r>
        <w:rPr>
          <w:rFonts w:ascii="Arial" w:hAnsi="Arial"/>
          <w:color w:val="17221D"/>
          <w:sz w:val="20"/>
        </w:rPr>
        <w:t>revue interne et second regard;</w:t>
      </w:r>
    </w:p>
    <w:p>
      <w:pPr>
        <w:numPr>
          <w:ilvl w:val="0"/>
          <w:numId w:val="12"/>
        </w:numPr>
        <w:spacing w:after="60" w:line="283" w:lineRule="auto"/>
      </w:pPr>
      <w:r>
        <w:rPr>
          <w:rFonts w:ascii="Arial" w:hAnsi="Arial"/>
          <w:color w:val="17221D"/>
          <w:sz w:val="20"/>
        </w:rPr>
        <w:t>préparation du Dossier de décision;</w:t>
      </w:r>
    </w:p>
    <w:p>
      <w:pPr>
        <w:numPr>
          <w:ilvl w:val="0"/>
          <w:numId w:val="12"/>
        </w:numPr>
        <w:spacing w:after="60" w:line="283" w:lineRule="auto"/>
      </w:pPr>
      <w:r>
        <w:rPr>
          <w:rFonts w:ascii="Arial" w:hAnsi="Arial"/>
          <w:color w:val="17221D"/>
          <w:sz w:val="20"/>
        </w:rPr>
        <w:t>session de décision avec le Client et test de la garantie;</w:t>
      </w:r>
    </w:p>
    <w:p>
      <w:pPr>
        <w:numPr>
          <w:ilvl w:val="0"/>
          <w:numId w:val="12"/>
        </w:numPr>
        <w:spacing w:after="60" w:line="283" w:lineRule="auto"/>
      </w:pPr>
      <w:r>
        <w:rPr>
          <w:rFonts w:ascii="Arial" w:hAnsi="Arial"/>
          <w:color w:val="17221D"/>
          <w:sz w:val="20"/>
        </w:rPr>
        <w:t>suivi d'appropriation.</w:t>
      </w:r>
    </w:p>
    <w:p>
      <w:r>
        <w:rPr>
          <w:rFonts w:ascii="Arial" w:hAnsi="Arial"/>
          <w:color w:val="17221D"/>
          <w:sz w:val="20"/>
        </w:rPr>
        <w:t>Les trente et une (31) dimensions RSPIR servent de radar d'observation. Elles ne sont pas toutes auditées. RSPIR sélectionne uniquement les dimensions utiles pour répondre à la question de départ et identifier le vertical prioritaire.</w:t>
      </w:r>
    </w:p>
    <w:p>
      <w:pPr>
        <w:pStyle w:val="Heading1"/>
      </w:pPr>
      <w:r>
        <w:t>5. Livrables</w:t>
      </w:r>
    </w:p>
    <w:p>
      <w:r>
        <w:rPr>
          <w:rFonts w:ascii="Arial" w:hAnsi="Arial"/>
          <w:color w:val="17221D"/>
          <w:sz w:val="20"/>
        </w:rPr>
        <w:t>Le mandat comprend, selon ce qui est pertinent au dossier :</w:t>
      </w:r>
    </w:p>
    <w:p>
      <w:pPr>
        <w:numPr>
          <w:ilvl w:val="0"/>
          <w:numId w:val="13"/>
        </w:numPr>
        <w:spacing w:after="60" w:line="283" w:lineRule="auto"/>
      </w:pPr>
      <w:r>
        <w:rPr>
          <w:rFonts w:ascii="Arial" w:hAnsi="Arial"/>
          <w:color w:val="17221D"/>
          <w:sz w:val="20"/>
        </w:rPr>
        <w:t>une synthèse de cadrage;</w:t>
      </w:r>
    </w:p>
    <w:p>
      <w:pPr>
        <w:numPr>
          <w:ilvl w:val="0"/>
          <w:numId w:val="13"/>
        </w:numPr>
        <w:spacing w:after="60" w:line="283" w:lineRule="auto"/>
      </w:pPr>
      <w:r>
        <w:rPr>
          <w:rFonts w:ascii="Arial" w:hAnsi="Arial"/>
          <w:color w:val="17221D"/>
          <w:sz w:val="20"/>
        </w:rPr>
        <w:t>un résultat de convergence et le choix du vertical prioritaire;</w:t>
      </w:r>
    </w:p>
    <w:p>
      <w:pPr>
        <w:numPr>
          <w:ilvl w:val="0"/>
          <w:numId w:val="13"/>
        </w:numPr>
        <w:spacing w:after="60" w:line="283" w:lineRule="auto"/>
      </w:pPr>
      <w:r>
        <w:rPr>
          <w:rFonts w:ascii="Arial" w:hAnsi="Arial"/>
          <w:color w:val="17221D"/>
          <w:sz w:val="20"/>
        </w:rPr>
        <w:t>un Dossier de décision présentant la lecture de l'organisation, la priorité recommandée, la cause, le cas économique, les conditions, la séquence, la Stop List, les incertitudes et la prochaine décision;</w:t>
      </w:r>
    </w:p>
    <w:p>
      <w:pPr>
        <w:numPr>
          <w:ilvl w:val="0"/>
          <w:numId w:val="13"/>
        </w:numPr>
        <w:spacing w:after="60" w:line="283" w:lineRule="auto"/>
      </w:pPr>
      <w:r>
        <w:rPr>
          <w:rFonts w:ascii="Arial" w:hAnsi="Arial"/>
          <w:color w:val="17221D"/>
          <w:sz w:val="20"/>
        </w:rPr>
        <w:t>une session de décision;</w:t>
      </w:r>
    </w:p>
    <w:p>
      <w:pPr>
        <w:numPr>
          <w:ilvl w:val="0"/>
          <w:numId w:val="13"/>
        </w:numPr>
        <w:spacing w:after="60" w:line="283" w:lineRule="auto"/>
      </w:pPr>
      <w:r>
        <w:rPr>
          <w:rFonts w:ascii="Arial" w:hAnsi="Arial"/>
          <w:color w:val="17221D"/>
          <w:sz w:val="20"/>
        </w:rPr>
        <w:t>un suivi d'appropriation.</w:t>
      </w:r>
    </w:p>
    <w:p>
      <w:r>
        <w:rPr>
          <w:rFonts w:ascii="Arial" w:hAnsi="Arial"/>
          <w:color w:val="17221D"/>
          <w:sz w:val="20"/>
        </w:rPr>
        <w:t>Le Dossier de décision vise une compréhension suffisante pour décider. Il ne constitue pas une documentation exhaustive de l'organisation.</w:t>
      </w:r>
    </w:p>
    <w:p>
      <w:r>
        <w:br w:type="page"/>
      </w:r>
    </w:p>
    <w:p>
      <w:pPr>
        <w:pStyle w:val="Heading1"/>
      </w:pPr>
      <w:r>
        <w:t>6. Participation du Client</w:t>
      </w:r>
    </w:p>
    <w:p>
      <w:r>
        <w:rPr>
          <w:rFonts w:ascii="Arial" w:hAnsi="Arial"/>
          <w:color w:val="17221D"/>
          <w:sz w:val="20"/>
        </w:rPr>
        <w:t>Le Client s'engage à :</w:t>
      </w:r>
    </w:p>
    <w:p>
      <w:pPr>
        <w:numPr>
          <w:ilvl w:val="0"/>
          <w:numId w:val="14"/>
        </w:numPr>
        <w:spacing w:after="60" w:line="283" w:lineRule="auto"/>
      </w:pPr>
      <w:r>
        <w:rPr>
          <w:rFonts w:ascii="Arial" w:hAnsi="Arial"/>
          <w:color w:val="17221D"/>
          <w:sz w:val="20"/>
        </w:rPr>
        <w:t>désigner une personne autorisée à prendre ou faire prendre les décisions nécessaires;</w:t>
      </w:r>
    </w:p>
    <w:p>
      <w:pPr>
        <w:numPr>
          <w:ilvl w:val="0"/>
          <w:numId w:val="14"/>
        </w:numPr>
        <w:spacing w:after="60" w:line="283" w:lineRule="auto"/>
      </w:pPr>
      <w:r>
        <w:rPr>
          <w:rFonts w:ascii="Arial" w:hAnsi="Arial"/>
          <w:color w:val="17221D"/>
          <w:sz w:val="20"/>
        </w:rPr>
        <w:t>donner accès, dans un délai raisonnable, aux personnes, documents, systèmes et exemples réels nécessaires;</w:t>
      </w:r>
    </w:p>
    <w:p>
      <w:pPr>
        <w:numPr>
          <w:ilvl w:val="0"/>
          <w:numId w:val="14"/>
        </w:numPr>
        <w:spacing w:after="60" w:line="283" w:lineRule="auto"/>
      </w:pPr>
      <w:r>
        <w:rPr>
          <w:rFonts w:ascii="Arial" w:hAnsi="Arial"/>
          <w:color w:val="17221D"/>
          <w:sz w:val="20"/>
        </w:rPr>
        <w:t>fournir une information exacte et signaler rapidement tout changement de contexte important;</w:t>
      </w:r>
    </w:p>
    <w:p>
      <w:pPr>
        <w:numPr>
          <w:ilvl w:val="0"/>
          <w:numId w:val="14"/>
        </w:numPr>
        <w:spacing w:after="60" w:line="283" w:lineRule="auto"/>
      </w:pPr>
      <w:r>
        <w:rPr>
          <w:rFonts w:ascii="Arial" w:hAnsi="Arial"/>
          <w:color w:val="17221D"/>
          <w:sz w:val="20"/>
        </w:rPr>
        <w:t>informer les participants des enregistrements ou transcriptions et obtenir les autorisations requises;</w:t>
      </w:r>
    </w:p>
    <w:p>
      <w:pPr>
        <w:numPr>
          <w:ilvl w:val="0"/>
          <w:numId w:val="14"/>
        </w:numPr>
        <w:spacing w:after="60" w:line="283" w:lineRule="auto"/>
      </w:pPr>
      <w:r>
        <w:rPr>
          <w:rFonts w:ascii="Arial" w:hAnsi="Arial"/>
          <w:color w:val="17221D"/>
          <w:sz w:val="20"/>
        </w:rPr>
        <w:t>examiner les synthèses et décisions soumises et indiquer les erreurs factuelles;</w:t>
      </w:r>
    </w:p>
    <w:p>
      <w:pPr>
        <w:numPr>
          <w:ilvl w:val="0"/>
          <w:numId w:val="14"/>
        </w:numPr>
        <w:spacing w:after="60" w:line="283" w:lineRule="auto"/>
      </w:pPr>
      <w:r>
        <w:rPr>
          <w:rFonts w:ascii="Arial" w:hAnsi="Arial"/>
          <w:color w:val="17221D"/>
          <w:sz w:val="20"/>
        </w:rPr>
        <w:t>protéger les outils, méthodes et documents internes de RSPIR reçus par exception.</w:t>
      </w:r>
    </w:p>
    <w:p>
      <w:r>
        <w:rPr>
          <w:rFonts w:ascii="Arial" w:hAnsi="Arial"/>
          <w:color w:val="17221D"/>
          <w:sz w:val="20"/>
        </w:rPr>
        <w:t>RSPIR absorbe le travail d'analyse. La contribution du Client vise principalement l'accès à l'information, aux personnes et aux décisions.</w:t>
      </w:r>
    </w:p>
    <w:p>
      <w:pPr>
        <w:pStyle w:val="Heading1"/>
      </w:pPr>
      <w:r>
        <w:t>7. Délais et disponibilité</w:t>
      </w:r>
    </w:p>
    <w:p>
      <w:r>
        <w:rPr>
          <w:rFonts w:ascii="Arial" w:hAnsi="Arial"/>
          <w:color w:val="17221D"/>
          <w:sz w:val="20"/>
        </w:rPr>
        <w:t>L'échéancier de travail figure à l'annexe A. Les durées de séance utilisées pour planifier le mandat sont des hypothèses opérationnelles et non des délais garantis : environ 60 minutes pour le cadrage, une à trois immersions de 30 à 45 minutes, environ 30 minutes pour la convergence, environ 90 minutes pour la décision et 30 à 45 minutes pour le suivi. La contribution totale visée du dirigeant est généralement de trois à quatre heures.</w:t>
      </w:r>
    </w:p>
    <w:p>
      <w:r>
        <w:rPr>
          <w:rFonts w:ascii="Arial" w:hAnsi="Arial"/>
          <w:color w:val="17221D"/>
          <w:sz w:val="20"/>
        </w:rPr>
        <w:t>Tout délai dépend de la disponibilité des participants, de l'accès à l'information et de la vitesse des décisions. Un retard du Client prolonge raisonnablement l'échéancier sans modifier automatiquement le prix.</w:t>
      </w:r>
    </w:p>
    <w:p>
      <w:pPr>
        <w:pStyle w:val="Heading1"/>
      </w:pPr>
      <w:r>
        <w:t>8. Facturation et paiement</w:t>
      </w:r>
    </w:p>
    <w:p>
      <w:r>
        <w:rPr>
          <w:rFonts w:ascii="Arial" w:hAnsi="Arial"/>
          <w:color w:val="17221D"/>
          <w:sz w:val="20"/>
        </w:rPr>
        <w:t xml:space="preserve">Le Client paie les honoraires selon l'échéancier suivant : </w:t>
      </w:r>
      <w:r>
        <w:rPr>
          <w:rFonts w:ascii="Arial" w:hAnsi="Arial"/>
          <w:b/>
          <w:color w:val="17221D"/>
          <w:sz w:val="20"/>
        </w:rPr>
        <w:t>[MODALITÉS À COMPLÉTER : acompte, solde, dates et mode de paiement]</w:t>
      </w:r>
      <w:r>
        <w:rPr>
          <w:rFonts w:ascii="Arial" w:hAnsi="Arial"/>
          <w:color w:val="17221D"/>
          <w:sz w:val="20"/>
        </w:rPr>
        <w:t>.</w:t>
      </w:r>
    </w:p>
    <w:p>
      <w:r>
        <w:rPr>
          <w:rFonts w:ascii="Arial" w:hAnsi="Arial"/>
          <w:color w:val="17221D"/>
          <w:sz w:val="20"/>
        </w:rPr>
        <w:t xml:space="preserve">Les taxes applicables sont ajoutées. Les dépenses externes ne sont facturées que si le Client les autorise préalablement par écrit. Tout intérêt sur un paiement en retard doit être indiqué ici avant signature : </w:t>
      </w:r>
      <w:r>
        <w:rPr>
          <w:rFonts w:ascii="Arial" w:hAnsi="Arial"/>
          <w:b/>
          <w:color w:val="17221D"/>
          <w:sz w:val="20"/>
        </w:rPr>
        <w:t>[TAUX OU « AUCUN »]</w:t>
      </w:r>
      <w:r>
        <w:rPr>
          <w:rFonts w:ascii="Arial" w:hAnsi="Arial"/>
          <w:color w:val="17221D"/>
          <w:sz w:val="20"/>
        </w:rPr>
        <w:t>.</w:t>
      </w:r>
    </w:p>
    <w:p>
      <w:r>
        <w:rPr>
          <w:rFonts w:ascii="Arial" w:hAnsi="Arial"/>
          <w:color w:val="17221D"/>
          <w:sz w:val="20"/>
        </w:rPr>
        <w:t>RSPIR peut suspendre raisonnablement le mandat après un avis écrit si une facture échue demeure impayée ou si l'information essentielle n'est pas fournie.</w:t>
      </w:r>
    </w:p>
    <w:p>
      <w:pPr>
        <w:pStyle w:val="Heading1"/>
      </w:pPr>
      <w:r>
        <w:t>9. Garantie de clarté décisionnelle</w:t>
      </w:r>
    </w:p>
    <w:p>
      <w:r>
        <w:rPr>
          <w:rFonts w:ascii="Arial" w:hAnsi="Arial"/>
          <w:color w:val="17221D"/>
          <w:sz w:val="20"/>
        </w:rPr>
        <w:t>À la session de décision, RSPIR vérifie si le Dossier permet au Client de répondre avec suffisamment de clarté aux sept critères suivants :</w:t>
      </w:r>
    </w:p>
    <w:p>
      <w:pPr>
        <w:numPr>
          <w:ilvl w:val="0"/>
          <w:numId w:val="15"/>
        </w:numPr>
        <w:spacing w:after="60" w:line="283" w:lineRule="auto"/>
      </w:pPr>
      <w:r>
        <w:rPr>
          <w:rFonts w:ascii="Arial" w:hAnsi="Arial"/>
          <w:b/>
          <w:color w:val="17221D"/>
          <w:sz w:val="20"/>
        </w:rPr>
        <w:t>Direction :</w:t>
      </w:r>
      <w:r>
        <w:rPr>
          <w:rFonts w:ascii="Arial" w:hAnsi="Arial"/>
          <w:color w:val="17221D"/>
          <w:sz w:val="20"/>
        </w:rPr>
        <w:t xml:space="preserve"> où agir en premier;</w:t>
      </w:r>
    </w:p>
    <w:p>
      <w:pPr>
        <w:numPr>
          <w:ilvl w:val="0"/>
          <w:numId w:val="15"/>
        </w:numPr>
        <w:spacing w:after="60" w:line="283" w:lineRule="auto"/>
      </w:pPr>
      <w:r>
        <w:rPr>
          <w:rFonts w:ascii="Arial" w:hAnsi="Arial"/>
          <w:b/>
          <w:color w:val="17221D"/>
          <w:sz w:val="20"/>
        </w:rPr>
        <w:t>Justification :</w:t>
      </w:r>
      <w:r>
        <w:rPr>
          <w:rFonts w:ascii="Arial" w:hAnsi="Arial"/>
          <w:color w:val="17221D"/>
          <w:sz w:val="20"/>
        </w:rPr>
        <w:t xml:space="preserve"> pourquoi cette priorité mérite l'attention;</w:t>
      </w:r>
    </w:p>
    <w:p>
      <w:pPr>
        <w:numPr>
          <w:ilvl w:val="0"/>
          <w:numId w:val="15"/>
        </w:numPr>
        <w:spacing w:after="60" w:line="283" w:lineRule="auto"/>
      </w:pPr>
      <w:r>
        <w:rPr>
          <w:rFonts w:ascii="Arial" w:hAnsi="Arial"/>
          <w:b/>
          <w:color w:val="17221D"/>
          <w:sz w:val="20"/>
        </w:rPr>
        <w:t>Preuve :</w:t>
      </w:r>
      <w:r>
        <w:rPr>
          <w:rFonts w:ascii="Arial" w:hAnsi="Arial"/>
          <w:color w:val="17221D"/>
          <w:sz w:val="20"/>
        </w:rPr>
        <w:t xml:space="preserve"> quels faits, exemples ou signaux soutiennent la lecture;</w:t>
      </w:r>
    </w:p>
    <w:p>
      <w:pPr>
        <w:numPr>
          <w:ilvl w:val="0"/>
          <w:numId w:val="15"/>
        </w:numPr>
        <w:spacing w:after="60" w:line="283" w:lineRule="auto"/>
      </w:pPr>
      <w:r>
        <w:rPr>
          <w:rFonts w:ascii="Arial" w:hAnsi="Arial"/>
          <w:b/>
          <w:color w:val="17221D"/>
          <w:sz w:val="20"/>
        </w:rPr>
        <w:t>Conditions :</w:t>
      </w:r>
      <w:r>
        <w:rPr>
          <w:rFonts w:ascii="Arial" w:hAnsi="Arial"/>
          <w:color w:val="17221D"/>
          <w:sz w:val="20"/>
        </w:rPr>
        <w:t xml:space="preserve"> ce qui doit être vrai ou prêt avant d'avancer;</w:t>
      </w:r>
    </w:p>
    <w:p>
      <w:pPr>
        <w:numPr>
          <w:ilvl w:val="0"/>
          <w:numId w:val="15"/>
        </w:numPr>
        <w:spacing w:after="60" w:line="283" w:lineRule="auto"/>
      </w:pPr>
      <w:r>
        <w:rPr>
          <w:rFonts w:ascii="Arial" w:hAnsi="Arial"/>
          <w:b/>
          <w:color w:val="17221D"/>
          <w:sz w:val="20"/>
        </w:rPr>
        <w:t>Économie :</w:t>
      </w:r>
      <w:r>
        <w:rPr>
          <w:rFonts w:ascii="Arial" w:hAnsi="Arial"/>
          <w:color w:val="17221D"/>
          <w:sz w:val="20"/>
        </w:rPr>
        <w:t xml:space="preserve"> la logique de valeur, de coût, de risque ou de capacité;</w:t>
      </w:r>
    </w:p>
    <w:p>
      <w:pPr>
        <w:numPr>
          <w:ilvl w:val="0"/>
          <w:numId w:val="15"/>
        </w:numPr>
        <w:spacing w:after="60" w:line="283" w:lineRule="auto"/>
      </w:pPr>
      <w:r>
        <w:rPr>
          <w:rFonts w:ascii="Arial" w:hAnsi="Arial"/>
          <w:b/>
          <w:color w:val="17221D"/>
          <w:sz w:val="20"/>
        </w:rPr>
        <w:t>Séquence :</w:t>
      </w:r>
      <w:r>
        <w:rPr>
          <w:rFonts w:ascii="Arial" w:hAnsi="Arial"/>
          <w:color w:val="17221D"/>
          <w:sz w:val="20"/>
        </w:rPr>
        <w:t xml:space="preserve"> dans quel ordre agir et quoi ne pas faire maintenant;</w:t>
      </w:r>
    </w:p>
    <w:p>
      <w:pPr>
        <w:numPr>
          <w:ilvl w:val="0"/>
          <w:numId w:val="15"/>
        </w:numPr>
        <w:spacing w:after="60" w:line="283" w:lineRule="auto"/>
      </w:pPr>
      <w:r>
        <w:rPr>
          <w:rFonts w:ascii="Arial" w:hAnsi="Arial"/>
          <w:b/>
          <w:color w:val="17221D"/>
          <w:sz w:val="20"/>
        </w:rPr>
        <w:t>Action :</w:t>
      </w:r>
      <w:r>
        <w:rPr>
          <w:rFonts w:ascii="Arial" w:hAnsi="Arial"/>
          <w:color w:val="17221D"/>
          <w:sz w:val="20"/>
        </w:rPr>
        <w:t xml:space="preserve"> quelle est la prochaine décision concrète.</w:t>
      </w:r>
    </w:p>
    <w:p>
      <w:r>
        <w:rPr>
          <w:rFonts w:ascii="Arial" w:hAnsi="Arial"/>
          <w:color w:val="17221D"/>
          <w:sz w:val="20"/>
        </w:rPr>
        <w:t>Si un élément essentiel demeure insuffisant en raison d'une insuffisance de l'analyse de RSPIR, RSPIR poursuit l'analyse raisonnablement nécessaire pour compléter cet élément, sans honoraires professionnels additionnels.</w:t>
      </w:r>
    </w:p>
    <w:p>
      <w:r>
        <w:rPr>
          <w:rFonts w:ascii="Arial" w:hAnsi="Arial"/>
          <w:color w:val="17221D"/>
          <w:sz w:val="20"/>
        </w:rPr>
        <w:t>Une conclusion qui recommande de mesurer un élément avant d'investir peut satisfaire la garantie lorsqu'une donnée déterminante n'existe pas encore.</w:t>
      </w:r>
    </w:p>
    <w:p>
      <w:pPr>
        <w:pStyle w:val="Heading1"/>
      </w:pPr>
      <w:r>
        <w:t>10. Limites de la garantie et absence de promesse de résultat</w:t>
      </w:r>
    </w:p>
    <w:p>
      <w:r>
        <w:rPr>
          <w:rFonts w:ascii="Arial" w:hAnsi="Arial"/>
          <w:color w:val="17221D"/>
          <w:sz w:val="20"/>
        </w:rPr>
        <w:t>La garantie ne couvre pas automatiquement :</w:t>
      </w:r>
    </w:p>
    <w:p>
      <w:pPr>
        <w:numPr>
          <w:ilvl w:val="0"/>
          <w:numId w:val="16"/>
        </w:numPr>
        <w:spacing w:after="60" w:line="283" w:lineRule="auto"/>
      </w:pPr>
      <w:r>
        <w:rPr>
          <w:rFonts w:ascii="Arial" w:hAnsi="Arial"/>
          <w:color w:val="17221D"/>
          <w:sz w:val="20"/>
        </w:rPr>
        <w:t>une nouvelle problématique ou un changement matériel de contexte;</w:t>
      </w:r>
    </w:p>
    <w:p>
      <w:pPr>
        <w:numPr>
          <w:ilvl w:val="0"/>
          <w:numId w:val="16"/>
        </w:numPr>
        <w:spacing w:after="60" w:line="283" w:lineRule="auto"/>
      </w:pPr>
      <w:r>
        <w:rPr>
          <w:rFonts w:ascii="Arial" w:hAnsi="Arial"/>
          <w:color w:val="17221D"/>
          <w:sz w:val="20"/>
        </w:rPr>
        <w:t>un deuxième vertical ou l'analyse de toutes les fonctions;</w:t>
      </w:r>
    </w:p>
    <w:p>
      <w:pPr>
        <w:numPr>
          <w:ilvl w:val="0"/>
          <w:numId w:val="16"/>
        </w:numPr>
        <w:spacing w:after="60" w:line="283" w:lineRule="auto"/>
      </w:pPr>
      <w:r>
        <w:rPr>
          <w:rFonts w:ascii="Arial" w:hAnsi="Arial"/>
          <w:color w:val="17221D"/>
          <w:sz w:val="20"/>
        </w:rPr>
        <w:t>une sélection détaillée de logiciel ou de fournisseur;</w:t>
      </w:r>
    </w:p>
    <w:p>
      <w:pPr>
        <w:numPr>
          <w:ilvl w:val="0"/>
          <w:numId w:val="16"/>
        </w:numPr>
        <w:spacing w:after="60" w:line="283" w:lineRule="auto"/>
      </w:pPr>
      <w:r>
        <w:rPr>
          <w:rFonts w:ascii="Arial" w:hAnsi="Arial"/>
          <w:color w:val="17221D"/>
          <w:sz w:val="20"/>
        </w:rPr>
        <w:t>une architecture complète, une configuration, un développement ou une implantation;</w:t>
      </w:r>
    </w:p>
    <w:p>
      <w:pPr>
        <w:numPr>
          <w:ilvl w:val="0"/>
          <w:numId w:val="16"/>
        </w:numPr>
        <w:spacing w:after="60" w:line="283" w:lineRule="auto"/>
      </w:pPr>
      <w:r>
        <w:rPr>
          <w:rFonts w:ascii="Arial" w:hAnsi="Arial"/>
          <w:color w:val="17221D"/>
          <w:sz w:val="20"/>
        </w:rPr>
        <w:t>des données inexistantes, inaccessibles ou retenues par le Client ou un tiers;</w:t>
      </w:r>
    </w:p>
    <w:p>
      <w:pPr>
        <w:numPr>
          <w:ilvl w:val="0"/>
          <w:numId w:val="16"/>
        </w:numPr>
        <w:spacing w:after="60" w:line="283" w:lineRule="auto"/>
      </w:pPr>
      <w:r>
        <w:rPr>
          <w:rFonts w:ascii="Arial" w:hAnsi="Arial"/>
          <w:color w:val="17221D"/>
          <w:sz w:val="20"/>
        </w:rPr>
        <w:t>une migration, un prototype, une preuve de concept, un audit de cybersécurité ou une formation complète;</w:t>
      </w:r>
    </w:p>
    <w:p>
      <w:pPr>
        <w:numPr>
          <w:ilvl w:val="0"/>
          <w:numId w:val="16"/>
        </w:numPr>
        <w:spacing w:after="60" w:line="283" w:lineRule="auto"/>
      </w:pPr>
      <w:r>
        <w:rPr>
          <w:rFonts w:ascii="Arial" w:hAnsi="Arial"/>
          <w:color w:val="17221D"/>
          <w:sz w:val="20"/>
        </w:rPr>
        <w:t>du soutien illimité après le suivi prévu.</w:t>
      </w:r>
    </w:p>
    <w:p>
      <w:r>
        <w:rPr>
          <w:rFonts w:ascii="Arial" w:hAnsi="Arial"/>
          <w:color w:val="17221D"/>
          <w:sz w:val="20"/>
        </w:rPr>
        <w:t>RSPIR ne garantit aucun rendement, revenu, économie, subvention, admissibilité, adoption, succès d'implantation, performance d'un tiers ni délai futur. Les estimations sont des outils de décision fondés sur l'information disponible, jamais des certitudes.</w:t>
      </w:r>
    </w:p>
    <w:p>
      <w:pPr>
        <w:pStyle w:val="Heading1"/>
      </w:pPr>
      <w:r>
        <w:t>11. Modification de portée</w:t>
      </w:r>
    </w:p>
    <w:p>
      <w:r>
        <w:rPr>
          <w:rFonts w:ascii="Arial" w:hAnsi="Arial"/>
          <w:color w:val="17221D"/>
          <w:sz w:val="20"/>
        </w:rPr>
        <w:t>Lorsqu'une demande dépasse la portée convenue, RSPIR la signale avant de l'exécuter. Les Parties consignent par écrit : la demande, son effet sur la portée, le prix, l'échéancier et la décision d'accepter ou non.</w:t>
      </w:r>
    </w:p>
    <w:p>
      <w:r>
        <w:rPr>
          <w:rFonts w:ascii="Arial" w:hAnsi="Arial"/>
          <w:color w:val="17221D"/>
          <w:sz w:val="20"/>
        </w:rPr>
        <w:t>Une recommandation issue du Diagnostic ne vaut pas autorisation d'implantation. Toute phase de conception détaillée ou d'implantation fait l'objet d'une entente distincte.</w:t>
      </w:r>
    </w:p>
    <w:p>
      <w:pPr>
        <w:pStyle w:val="Heading1"/>
      </w:pPr>
      <w:r>
        <w:t>12. Confidentialité, enregistrements et renseignements personnels</w:t>
      </w:r>
    </w:p>
    <w:p>
      <w:r>
        <w:rPr>
          <w:rFonts w:ascii="Arial" w:hAnsi="Arial"/>
          <w:color w:val="17221D"/>
          <w:sz w:val="20"/>
        </w:rPr>
        <w:t>Chaque Partie protège l'information confidentielle de l'autre conformément à l'entente de confidentialité applicable ou, à défaut, avec au moins le même soin qu'elle protège sa propre information sensible.</w:t>
      </w:r>
    </w:p>
    <w:p>
      <w:r>
        <w:rPr>
          <w:rFonts w:ascii="Arial" w:hAnsi="Arial"/>
          <w:color w:val="17221D"/>
          <w:sz w:val="20"/>
        </w:rPr>
        <w:t>Lorsque RSPIR reçoit des renseignements personnels pour exécuter le mandat, RSPIR :</w:t>
      </w:r>
    </w:p>
    <w:p>
      <w:pPr>
        <w:numPr>
          <w:ilvl w:val="0"/>
          <w:numId w:val="17"/>
        </w:numPr>
        <w:spacing w:after="60" w:line="283" w:lineRule="auto"/>
      </w:pPr>
      <w:r>
        <w:rPr>
          <w:rFonts w:ascii="Arial" w:hAnsi="Arial"/>
          <w:color w:val="17221D"/>
          <w:sz w:val="20"/>
        </w:rPr>
        <w:t>les utilise uniquement pour rendre les services convenus;</w:t>
      </w:r>
    </w:p>
    <w:p>
      <w:pPr>
        <w:numPr>
          <w:ilvl w:val="0"/>
          <w:numId w:val="17"/>
        </w:numPr>
        <w:spacing w:after="60" w:line="283" w:lineRule="auto"/>
      </w:pPr>
      <w:r>
        <w:rPr>
          <w:rFonts w:ascii="Arial" w:hAnsi="Arial"/>
          <w:color w:val="17221D"/>
          <w:sz w:val="20"/>
        </w:rPr>
        <w:t>limite l'accès aux personnes qui doivent les traiter;</w:t>
      </w:r>
    </w:p>
    <w:p>
      <w:pPr>
        <w:numPr>
          <w:ilvl w:val="0"/>
          <w:numId w:val="17"/>
        </w:numPr>
        <w:spacing w:after="60" w:line="283" w:lineRule="auto"/>
      </w:pPr>
      <w:r>
        <w:rPr>
          <w:rFonts w:ascii="Arial" w:hAnsi="Arial"/>
          <w:color w:val="17221D"/>
          <w:sz w:val="20"/>
        </w:rPr>
        <w:t>applique des mesures de sécurité raisonnables;</w:t>
      </w:r>
    </w:p>
    <w:p>
      <w:pPr>
        <w:numPr>
          <w:ilvl w:val="0"/>
          <w:numId w:val="17"/>
        </w:numPr>
        <w:spacing w:after="60" w:line="283" w:lineRule="auto"/>
      </w:pPr>
      <w:r>
        <w:rPr>
          <w:rFonts w:ascii="Arial" w:hAnsi="Arial"/>
          <w:color w:val="17221D"/>
          <w:sz w:val="20"/>
        </w:rPr>
        <w:t>ne les conserve pas après la fin de leur utilité, sous réserve des obligations légales et des sauvegardes;</w:t>
      </w:r>
    </w:p>
    <w:p>
      <w:pPr>
        <w:numPr>
          <w:ilvl w:val="0"/>
          <w:numId w:val="17"/>
        </w:numPr>
        <w:spacing w:after="60" w:line="283" w:lineRule="auto"/>
      </w:pPr>
      <w:r>
        <w:rPr>
          <w:rFonts w:ascii="Arial" w:hAnsi="Arial"/>
          <w:color w:val="17221D"/>
          <w:sz w:val="20"/>
        </w:rPr>
        <w:t>avise sans délai le responsable désigné par le Client de toute violation ou tentative de violation connue;</w:t>
      </w:r>
    </w:p>
    <w:p>
      <w:pPr>
        <w:numPr>
          <w:ilvl w:val="0"/>
          <w:numId w:val="17"/>
        </w:numPr>
        <w:spacing w:after="60" w:line="283" w:lineRule="auto"/>
      </w:pPr>
      <w:r>
        <w:rPr>
          <w:rFonts w:ascii="Arial" w:hAnsi="Arial"/>
          <w:color w:val="17221D"/>
          <w:sz w:val="20"/>
        </w:rPr>
        <w:t>permet au Client de vérifier raisonnablement le respect de ces obligations;</w:t>
      </w:r>
    </w:p>
    <w:p>
      <w:pPr>
        <w:numPr>
          <w:ilvl w:val="0"/>
          <w:numId w:val="17"/>
        </w:numPr>
        <w:spacing w:after="60" w:line="283" w:lineRule="auto"/>
      </w:pPr>
      <w:r>
        <w:rPr>
          <w:rFonts w:ascii="Arial" w:hAnsi="Arial"/>
          <w:color w:val="17221D"/>
          <w:sz w:val="20"/>
        </w:rPr>
        <w:t>impose des obligations équivalentes à ses sous-traitants autorisés.</w:t>
      </w:r>
    </w:p>
    <w:p>
      <w:r>
        <w:rPr>
          <w:rFonts w:ascii="Arial" w:hAnsi="Arial"/>
          <w:color w:val="17221D"/>
          <w:sz w:val="20"/>
        </w:rPr>
        <w:t>Le Client identifie à l'annexe A son responsable de la protection des renseignements personnels. Si le mandat exige des renseignements sensibles, un volume important de données personnelles ou un traitement hors Québec, les Parties signent une annexe de traitement avant le transfert.</w:t>
      </w:r>
    </w:p>
    <w:p>
      <w:pPr>
        <w:pStyle w:val="Heading1"/>
      </w:pPr>
      <w:r>
        <w:t>13. Outils numériques et intelligence artificielle</w:t>
      </w:r>
    </w:p>
    <w:p>
      <w:r>
        <w:rPr>
          <w:rFonts w:ascii="Arial" w:hAnsi="Arial"/>
          <w:color w:val="17221D"/>
          <w:sz w:val="20"/>
        </w:rPr>
        <w:t>RSPIR peut utiliser des outils de recherche, de transcription, d'analyse et d'intelligence artificielle pour soutenir le travail, à condition de maintenir une revue humaine et de protéger l'information selon l'Entente.</w:t>
      </w:r>
    </w:p>
    <w:p>
      <w:r>
        <w:rPr>
          <w:rFonts w:ascii="Arial" w:hAnsi="Arial"/>
          <w:color w:val="17221D"/>
          <w:sz w:val="20"/>
        </w:rPr>
        <w:t>RSPIR ne déclenche aucune action externe au nom du Client et ne prend aucune décision de gestion à sa place sans autorisation écrite. L'utilisation d'un outil public qui réutilise l'information confidentielle pour entraîner un modèle général exige l'autorisation écrite préalable du Client.</w:t>
      </w:r>
    </w:p>
    <w:p>
      <w:pPr>
        <w:pStyle w:val="Heading1"/>
      </w:pPr>
      <w:r>
        <w:t>14. Propriété intellectuelle et droit d'utilisation</w:t>
      </w:r>
    </w:p>
    <w:p>
      <w:r>
        <w:rPr>
          <w:rFonts w:ascii="Arial" w:hAnsi="Arial"/>
          <w:color w:val="17221D"/>
          <w:sz w:val="20"/>
        </w:rPr>
        <w:t>Le Client conserve ses données, ses documents et sa propriété intellectuelle antérieure. Après paiement complet, le Client reçoit un droit perpétuel, mondial, non exclusif et sans redevance d'utiliser, reproduire et adapter pour ses activités internes les livrables finaux propres à son Diagnostic.</w:t>
      </w:r>
    </w:p>
    <w:p>
      <w:r>
        <w:rPr>
          <w:rFonts w:ascii="Arial" w:hAnsi="Arial"/>
          <w:color w:val="17221D"/>
          <w:sz w:val="20"/>
        </w:rPr>
        <w:t>RSPIR conserve ses méthodes, savoir-faire, cadres, dimensions, gabarits, prompts, outils, logiciels, contrôleurs et éléments réutilisables, y compris leurs améliorations générales. RSPIR peut réutiliser les apprentissages généraux qui ne révèlent ni l'identité du Client ni son Information confidentielle.</w:t>
      </w:r>
    </w:p>
    <w:p>
      <w:r>
        <w:rPr>
          <w:rFonts w:ascii="Arial" w:hAnsi="Arial"/>
          <w:color w:val="17221D"/>
          <w:sz w:val="20"/>
        </w:rPr>
        <w:t>Le Client demeure libre de mettre en œuvre les recommandations avec RSPIR ou avec tout autre fournisseur.</w:t>
      </w:r>
    </w:p>
    <w:p>
      <w:pPr>
        <w:pStyle w:val="Heading1"/>
      </w:pPr>
      <w:r>
        <w:t>15. Responsabilité</w:t>
      </w:r>
    </w:p>
    <w:p>
      <w:r>
        <w:rPr>
          <w:rFonts w:ascii="Arial" w:hAnsi="Arial"/>
          <w:color w:val="17221D"/>
          <w:sz w:val="20"/>
        </w:rPr>
        <w:t>Chaque Partie répond des dommages directs qu'elle cause par sa faute. Sous réserve des limites que la loi interdit d'exclure, la responsabilité totale de RSPIR découlant de l'Entente est limitée aux honoraires payés ou payables pour le Diagnostic concerné.</w:t>
      </w:r>
    </w:p>
    <w:p>
      <w:r>
        <w:rPr>
          <w:rFonts w:ascii="Arial" w:hAnsi="Arial"/>
          <w:color w:val="17221D"/>
          <w:sz w:val="20"/>
        </w:rPr>
        <w:t>RSPIR n'est pas responsable des décisions prises par le Client ou un tiers, de l'implantation des recommandations, ni des dommages indirects, pertes de profits, pertes de données ou pertes d'occasions, sauf lorsqu'une telle exclusion est interdite par la loi.</w:t>
      </w:r>
    </w:p>
    <w:p>
      <w:pPr>
        <w:keepNext/>
      </w:pPr>
      <w:r>
        <w:rPr>
          <w:rFonts w:ascii="Arial" w:hAnsi="Arial"/>
          <w:b/>
          <w:color w:val="17221D"/>
          <w:sz w:val="20"/>
        </w:rPr>
        <w:t>Cette clause, incluant le plafond et ses exceptions, doit être validée par un avocat avant la première signature.</w:t>
      </w:r>
    </w:p>
    <w:p>
      <w:pPr>
        <w:pStyle w:val="Heading1"/>
      </w:pPr>
      <w:r>
        <w:t>16. Résiliation</w:t>
      </w:r>
    </w:p>
    <w:p>
      <w:r>
        <w:rPr>
          <w:rFonts w:ascii="Arial" w:hAnsi="Arial"/>
          <w:color w:val="17221D"/>
          <w:sz w:val="20"/>
        </w:rPr>
        <w:t>Le Client peut résilier l'Entente conformément au droit applicable. À la date de résiliation, il paie les dépenses autorisées, les factures échues et la valeur des services rendus proportionnellement au prix convenu. RSPIR remet tout excédent d'avance qui n'est pas dû.</w:t>
      </w:r>
    </w:p>
    <w:p>
      <w:r>
        <w:rPr>
          <w:rFonts w:ascii="Arial" w:hAnsi="Arial"/>
          <w:color w:val="17221D"/>
          <w:sz w:val="20"/>
        </w:rPr>
        <w:t>RSPIR peut résilier pour un manquement important non corrigé dans un délai raisonnable après avis écrit, ou immédiatement si la poursuite du mandat serait illégale, contraire à ses obligations professionnelles ou dangereuse pour la sécurité de l'information.</w:t>
      </w:r>
    </w:p>
    <w:p>
      <w:r>
        <w:rPr>
          <w:rFonts w:ascii="Arial" w:hAnsi="Arial"/>
          <w:color w:val="17221D"/>
          <w:sz w:val="20"/>
        </w:rPr>
        <w:t>À la fin du mandat, les clauses qui, par leur nature, doivent survivre demeurent en vigueur, notamment la confidentialité, la propriété intellectuelle, le paiement, la responsabilité et le droit applicable.</w:t>
      </w:r>
    </w:p>
    <w:p>
      <w:pPr>
        <w:pStyle w:val="Heading1"/>
      </w:pPr>
      <w:r>
        <w:t>17. Dispositions générales</w:t>
      </w:r>
    </w:p>
    <w:p>
      <w:r>
        <w:rPr>
          <w:rFonts w:ascii="Arial" w:hAnsi="Arial"/>
          <w:b/>
          <w:color w:val="17221D"/>
          <w:sz w:val="20"/>
        </w:rPr>
        <w:t>Indépendance.</w:t>
      </w:r>
      <w:r>
        <w:rPr>
          <w:rFonts w:ascii="Arial" w:hAnsi="Arial"/>
          <w:color w:val="17221D"/>
          <w:sz w:val="20"/>
        </w:rPr>
        <w:t xml:space="preserve"> RSPIR agit comme prestataire indépendant. L'Entente ne crée ni emploi, ni société, ni mandat de représentation générale.</w:t>
      </w:r>
    </w:p>
    <w:p>
      <w:r>
        <w:rPr>
          <w:rFonts w:ascii="Arial" w:hAnsi="Arial"/>
          <w:b/>
          <w:color w:val="17221D"/>
          <w:sz w:val="20"/>
        </w:rPr>
        <w:t>Force majeure.</w:t>
      </w:r>
      <w:r>
        <w:rPr>
          <w:rFonts w:ascii="Arial" w:hAnsi="Arial"/>
          <w:color w:val="17221D"/>
          <w:sz w:val="20"/>
        </w:rPr>
        <w:t xml:space="preserve"> Aucune Partie n'est responsable d'un retard causé par un événement raisonnablement hors de son contrôle, pourvu qu'elle avise l'autre et limite les effets lorsque possible.</w:t>
      </w:r>
    </w:p>
    <w:p>
      <w:r>
        <w:rPr>
          <w:rFonts w:ascii="Arial" w:hAnsi="Arial"/>
          <w:b/>
          <w:color w:val="17221D"/>
          <w:sz w:val="20"/>
        </w:rPr>
        <w:t>Avis.</w:t>
      </w:r>
      <w:r>
        <w:rPr>
          <w:rFonts w:ascii="Arial" w:hAnsi="Arial"/>
          <w:color w:val="17221D"/>
          <w:sz w:val="20"/>
        </w:rPr>
        <w:t xml:space="preserve"> Les avis sont transmis aux coordonnées de l'annexe A et sont réputés reçus selon la preuve de livraison ou d'accusé de réception.</w:t>
      </w:r>
    </w:p>
    <w:p>
      <w:r>
        <w:rPr>
          <w:rFonts w:ascii="Arial" w:hAnsi="Arial"/>
          <w:b/>
          <w:color w:val="17221D"/>
          <w:sz w:val="20"/>
        </w:rPr>
        <w:t>Droit applicable.</w:t>
      </w:r>
      <w:r>
        <w:rPr>
          <w:rFonts w:ascii="Arial" w:hAnsi="Arial"/>
          <w:color w:val="17221D"/>
          <w:sz w:val="20"/>
        </w:rPr>
        <w:t xml:space="preserve"> L'Entente est régie par les lois du Québec et les lois fédérales du Canada applicables au Québec. Les Parties soumettent tout différend aux tribunaux du district judiciaire de </w:t>
      </w:r>
      <w:r>
        <w:rPr>
          <w:rFonts w:ascii="Arial" w:hAnsi="Arial"/>
          <w:b/>
          <w:color w:val="17221D"/>
          <w:sz w:val="20"/>
        </w:rPr>
        <w:t>[DISTRICT À COMPLÉTER]</w:t>
      </w:r>
      <w:r>
        <w:rPr>
          <w:rFonts w:ascii="Arial" w:hAnsi="Arial"/>
          <w:color w:val="17221D"/>
          <w:sz w:val="20"/>
        </w:rPr>
        <w:t>, sous réserve d'une entente écrite de médiation ou d'arbitrage.</w:t>
      </w:r>
    </w:p>
    <w:p>
      <w:r>
        <w:rPr>
          <w:rFonts w:ascii="Arial" w:hAnsi="Arial"/>
          <w:b/>
          <w:color w:val="17221D"/>
          <w:sz w:val="20"/>
        </w:rPr>
        <w:t>Langue.</w:t>
      </w:r>
      <w:r>
        <w:rPr>
          <w:rFonts w:ascii="Arial" w:hAnsi="Arial"/>
          <w:color w:val="17221D"/>
          <w:sz w:val="20"/>
        </w:rPr>
        <w:t xml:space="preserve"> Les Parties confirment avoir demandé que l'Entente soit rédigée en français. Toute traduction est informative seulement, sauf entente écrite contraire conforme aux lois applicables.</w:t>
      </w:r>
    </w:p>
    <w:p>
      <w:r>
        <w:rPr>
          <w:rFonts w:ascii="Arial" w:hAnsi="Arial"/>
          <w:b/>
          <w:color w:val="17221D"/>
          <w:sz w:val="20"/>
        </w:rPr>
        <w:t>Intégralité.</w:t>
      </w:r>
      <w:r>
        <w:rPr>
          <w:rFonts w:ascii="Arial" w:hAnsi="Arial"/>
          <w:color w:val="17221D"/>
          <w:sz w:val="20"/>
        </w:rPr>
        <w:t xml:space="preserve"> L'Entente constitue l'accord complet sur son objet. Toute modification doit être écrite et acceptée par les deux Parties.</w:t>
      </w:r>
    </w:p>
    <w:p>
      <w:r>
        <w:rPr>
          <w:rFonts w:ascii="Arial" w:hAnsi="Arial"/>
          <w:b/>
          <w:color w:val="17221D"/>
          <w:sz w:val="20"/>
        </w:rPr>
        <w:t>Divisibilité, renonciation et cession.</w:t>
      </w:r>
      <w:r>
        <w:rPr>
          <w:rFonts w:ascii="Arial" w:hAnsi="Arial"/>
          <w:color w:val="17221D"/>
          <w:sz w:val="20"/>
        </w:rPr>
        <w:t xml:space="preserve"> L'invalidité d'une disposition n'affecte pas les autres. Le défaut d'exercer un droit ne constitue pas une renonciation. Aucune cession n'est permise sans consentement écrit, sauf réorganisation ou vente de la quasi-totalité des actifs avec prise en charge des obligations.</w:t>
      </w:r>
    </w:p>
    <w:p>
      <w:r>
        <w:rPr>
          <w:rFonts w:ascii="Arial" w:hAnsi="Arial"/>
          <w:b/>
          <w:color w:val="17221D"/>
          <w:sz w:val="20"/>
        </w:rPr>
        <w:t>Signatures électroniques et exemplaires.</w:t>
      </w:r>
      <w:r>
        <w:rPr>
          <w:rFonts w:ascii="Arial" w:hAnsi="Arial"/>
          <w:color w:val="17221D"/>
          <w:sz w:val="20"/>
        </w:rPr>
        <w:t xml:space="preserve"> L'Entente peut être signée électroniquement et en plusieurs exemplaires, qui forment ensemble un seul document.</w:t>
      </w:r>
    </w:p>
    <w:p>
      <w:pPr>
        <w:pStyle w:val="Heading1"/>
      </w:pPr>
      <w:r>
        <w:t>Annexe A - Fiche de mandat</w:t>
      </w:r>
    </w:p>
    <w:p>
      <w:pPr>
        <w:pStyle w:val="Heading2"/>
      </w:pPr>
      <w:r>
        <w:t>Parties et responsables</w:t>
      </w:r>
    </w:p>
    <w:p>
      <w:pPr>
        <w:numPr>
          <w:ilvl w:val="0"/>
          <w:numId w:val="18"/>
        </w:numPr>
        <w:spacing w:after="60" w:line="283" w:lineRule="auto"/>
      </w:pPr>
      <w:r>
        <w:rPr>
          <w:rFonts w:ascii="Arial" w:hAnsi="Arial"/>
          <w:color w:val="17221D"/>
          <w:sz w:val="20"/>
        </w:rPr>
        <w:t xml:space="preserve">Nom légal de RSPIR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Responsable RSPIR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Nom légal du Client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Responsable du mandat chez le Client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Responsable de la protection des renseignements personnels du Client : </w:t>
      </w:r>
      <w:r>
        <w:rPr>
          <w:rFonts w:ascii="Arial" w:hAnsi="Arial"/>
          <w:b/>
          <w:color w:val="A36F43"/>
          <w:sz w:val="20"/>
        </w:rPr>
        <w:t>[À COMPLÉTER]</w:t>
      </w:r>
    </w:p>
    <w:p>
      <w:pPr>
        <w:numPr>
          <w:ilvl w:val="0"/>
          <w:numId w:val="18"/>
        </w:numPr>
        <w:spacing w:after="60" w:line="283" w:lineRule="auto"/>
      </w:pPr>
      <w:r>
        <w:rPr>
          <w:rFonts w:ascii="Arial" w:hAnsi="Arial"/>
          <w:color w:val="17221D"/>
          <w:sz w:val="20"/>
        </w:rPr>
        <w:t xml:space="preserve">Courriels d'avis : </w:t>
      </w:r>
      <w:r>
        <w:rPr>
          <w:rFonts w:ascii="Arial" w:hAnsi="Arial"/>
          <w:b/>
          <w:color w:val="A36F43"/>
          <w:sz w:val="20"/>
        </w:rPr>
        <w:t>[À COMPLÉTER]</w:t>
      </w:r>
    </w:p>
    <w:p>
      <w:pPr>
        <w:pStyle w:val="Heading2"/>
      </w:pPr>
      <w:r>
        <w:t>Question de départ</w:t>
      </w:r>
    </w:p>
    <w:p>
      <w:r>
        <w:rPr>
          <w:rFonts w:ascii="Arial" w:hAnsi="Arial"/>
          <w:b/>
          <w:color w:val="A36F43"/>
          <w:sz w:val="20"/>
        </w:rPr>
        <w:t>[DÉCRIRE LA DÉCISION, LE PROBLÈME OU LE RÉSULTAT QUE LE CLIENT VEUT CLARIFIER]</w:t>
      </w:r>
    </w:p>
    <w:p>
      <w:pPr>
        <w:pStyle w:val="Heading2"/>
      </w:pPr>
      <w:r>
        <w:t>Niveau retenu</w:t>
      </w:r>
    </w:p>
    <w:p>
      <w:pPr>
        <w:spacing w:after="60"/>
        <w:ind w:left="259" w:firstLine="0"/>
      </w:pPr>
      <w:r>
        <w:rPr>
          <w:rFonts w:ascii="Arial" w:hAnsi="Arial"/>
          <w:b/>
          <w:color w:val="A36F43"/>
          <w:sz w:val="20"/>
        </w:rPr>
        <w:t xml:space="preserve">☐ </w:t>
      </w:r>
      <w:r>
        <w:rPr>
          <w:rFonts w:ascii="Arial" w:hAnsi="Arial"/>
          <w:color w:val="17221D"/>
          <w:sz w:val="20"/>
        </w:rPr>
        <w:t>Standard - 0 à 4 fonctions - 3 500 $ plus taxes</w:t>
      </w:r>
    </w:p>
    <w:p>
      <w:pPr>
        <w:spacing w:after="60"/>
        <w:ind w:left="259" w:firstLine="0"/>
      </w:pPr>
      <w:r>
        <w:rPr>
          <w:rFonts w:ascii="Arial" w:hAnsi="Arial"/>
          <w:b/>
          <w:color w:val="A36F43"/>
          <w:sz w:val="20"/>
        </w:rPr>
        <w:t xml:space="preserve">☐ </w:t>
      </w:r>
      <w:r>
        <w:rPr>
          <w:rFonts w:ascii="Arial" w:hAnsi="Arial"/>
          <w:color w:val="17221D"/>
          <w:sz w:val="20"/>
        </w:rPr>
        <w:t>Élargi - 5 à 8 fonctions - 5 500 $ plus taxes</w:t>
      </w:r>
    </w:p>
    <w:p>
      <w:pPr>
        <w:spacing w:after="60"/>
        <w:ind w:left="259" w:firstLine="0"/>
      </w:pPr>
      <w:r>
        <w:rPr>
          <w:rFonts w:ascii="Arial" w:hAnsi="Arial"/>
          <w:b/>
          <w:color w:val="A36F43"/>
          <w:sz w:val="20"/>
        </w:rPr>
        <w:t xml:space="preserve">☐ </w:t>
      </w:r>
      <w:r>
        <w:rPr>
          <w:rFonts w:ascii="Arial" w:hAnsi="Arial"/>
          <w:color w:val="17221D"/>
          <w:sz w:val="20"/>
        </w:rPr>
        <w:t xml:space="preserve">Complexe - 9 à 12 fonctions - </w:t>
      </w:r>
      <w:r>
        <w:rPr>
          <w:rFonts w:ascii="Arial" w:hAnsi="Arial"/>
          <w:b/>
          <w:color w:val="A36F43"/>
          <w:sz w:val="20"/>
        </w:rPr>
        <w:t>[PRIX FINAL]</w:t>
      </w:r>
      <w:r>
        <w:rPr>
          <w:rFonts w:ascii="Arial" w:hAnsi="Arial"/>
          <w:color w:val="17221D"/>
          <w:sz w:val="20"/>
        </w:rPr>
        <w:t xml:space="preserve"> plus taxes</w:t>
      </w:r>
    </w:p>
    <w:p>
      <w:pPr>
        <w:pStyle w:val="Heading2"/>
      </w:pPr>
      <w:r>
        <w:t>Portée et exclusions propres au mandat</w:t>
      </w:r>
    </w:p>
    <w:p>
      <w:pPr>
        <w:numPr>
          <w:ilvl w:val="0"/>
          <w:numId w:val="19"/>
        </w:numPr>
        <w:spacing w:after="60" w:line="283" w:lineRule="auto"/>
      </w:pPr>
      <w:r>
        <w:rPr>
          <w:rFonts w:ascii="Arial" w:hAnsi="Arial"/>
          <w:color w:val="17221D"/>
          <w:sz w:val="20"/>
        </w:rPr>
        <w:t xml:space="preserve">Vertical de départ pressenti : </w:t>
      </w:r>
      <w:r>
        <w:rPr>
          <w:rFonts w:ascii="Arial" w:hAnsi="Arial"/>
          <w:b/>
          <w:color w:val="A36F43"/>
          <w:sz w:val="20"/>
        </w:rPr>
        <w:t>[À COMPLÉTER OU « À DÉTERMINER »]</w:t>
      </w:r>
    </w:p>
    <w:p>
      <w:pPr>
        <w:numPr>
          <w:ilvl w:val="0"/>
          <w:numId w:val="19"/>
        </w:numPr>
        <w:spacing w:after="60" w:line="283" w:lineRule="auto"/>
      </w:pPr>
      <w:r>
        <w:rPr>
          <w:rFonts w:ascii="Arial" w:hAnsi="Arial"/>
          <w:color w:val="17221D"/>
          <w:sz w:val="20"/>
        </w:rPr>
        <w:t xml:space="preserve">Sites, équipes ou entités inclus : </w:t>
      </w:r>
      <w:r>
        <w:rPr>
          <w:rFonts w:ascii="Arial" w:hAnsi="Arial"/>
          <w:b/>
          <w:color w:val="A36F43"/>
          <w:sz w:val="20"/>
        </w:rPr>
        <w:t>[À COMPLÉTER]</w:t>
      </w:r>
    </w:p>
    <w:p>
      <w:pPr>
        <w:numPr>
          <w:ilvl w:val="0"/>
          <w:numId w:val="19"/>
        </w:numPr>
        <w:spacing w:after="60" w:line="283" w:lineRule="auto"/>
      </w:pPr>
      <w:r>
        <w:rPr>
          <w:rFonts w:ascii="Arial" w:hAnsi="Arial"/>
          <w:color w:val="17221D"/>
          <w:sz w:val="20"/>
        </w:rPr>
        <w:t xml:space="preserve">Éléments expressément exclus : </w:t>
      </w:r>
      <w:r>
        <w:rPr>
          <w:rFonts w:ascii="Arial" w:hAnsi="Arial"/>
          <w:b/>
          <w:color w:val="A36F43"/>
          <w:sz w:val="20"/>
        </w:rPr>
        <w:t>[À COMPLÉTER]</w:t>
      </w:r>
    </w:p>
    <w:p>
      <w:pPr>
        <w:numPr>
          <w:ilvl w:val="0"/>
          <w:numId w:val="19"/>
        </w:numPr>
        <w:spacing w:after="60" w:line="283" w:lineRule="auto"/>
      </w:pPr>
      <w:r>
        <w:rPr>
          <w:rFonts w:ascii="Arial" w:hAnsi="Arial"/>
          <w:color w:val="17221D"/>
          <w:sz w:val="20"/>
        </w:rPr>
        <w:t xml:space="preserve">Données sensibles prévues : </w:t>
      </w:r>
      <w:r>
        <w:rPr>
          <w:rFonts w:ascii="Arial" w:hAnsi="Arial"/>
          <w:b/>
          <w:color w:val="A36F43"/>
          <w:sz w:val="20"/>
        </w:rPr>
        <w:t>[OUI / NON / À DÉTERMINER]</w:t>
      </w:r>
    </w:p>
    <w:p>
      <w:pPr>
        <w:numPr>
          <w:ilvl w:val="0"/>
          <w:numId w:val="19"/>
        </w:numPr>
        <w:spacing w:after="60" w:line="283" w:lineRule="auto"/>
      </w:pPr>
      <w:r>
        <w:rPr>
          <w:rFonts w:ascii="Arial" w:hAnsi="Arial"/>
          <w:color w:val="17221D"/>
          <w:sz w:val="20"/>
        </w:rPr>
        <w:t xml:space="preserve">Enregistrement ou transcription prévu : </w:t>
      </w:r>
      <w:r>
        <w:rPr>
          <w:rFonts w:ascii="Arial" w:hAnsi="Arial"/>
          <w:b/>
          <w:color w:val="A36F43"/>
          <w:sz w:val="20"/>
        </w:rPr>
        <w:t>[OUI / NON]</w:t>
      </w:r>
    </w:p>
    <w:p>
      <w:pPr>
        <w:pStyle w:val="Heading2"/>
      </w:pPr>
      <w:r>
        <w:t>Échéancier et paiement</w:t>
      </w:r>
    </w:p>
    <w:p>
      <w:pPr>
        <w:numPr>
          <w:ilvl w:val="0"/>
          <w:numId w:val="20"/>
        </w:numPr>
        <w:spacing w:after="60" w:line="283" w:lineRule="auto"/>
      </w:pPr>
      <w:r>
        <w:rPr>
          <w:rFonts w:ascii="Arial" w:hAnsi="Arial"/>
          <w:color w:val="17221D"/>
          <w:sz w:val="20"/>
        </w:rPr>
        <w:t xml:space="preserve">Date de démarrage : </w:t>
      </w:r>
      <w:r>
        <w:rPr>
          <w:rFonts w:ascii="Arial" w:hAnsi="Arial"/>
          <w:b/>
          <w:color w:val="A36F43"/>
          <w:sz w:val="20"/>
        </w:rPr>
        <w:t>[À COMPLÉTER]</w:t>
      </w:r>
    </w:p>
    <w:p>
      <w:pPr>
        <w:numPr>
          <w:ilvl w:val="0"/>
          <w:numId w:val="20"/>
        </w:numPr>
        <w:spacing w:after="60" w:line="283" w:lineRule="auto"/>
      </w:pPr>
      <w:r>
        <w:rPr>
          <w:rFonts w:ascii="Arial" w:hAnsi="Arial"/>
          <w:color w:val="17221D"/>
          <w:sz w:val="20"/>
        </w:rPr>
        <w:t xml:space="preserve">Fenêtre visée pour la session de décision : </w:t>
      </w:r>
      <w:r>
        <w:rPr>
          <w:rFonts w:ascii="Arial" w:hAnsi="Arial"/>
          <w:b/>
          <w:color w:val="A36F43"/>
          <w:sz w:val="20"/>
        </w:rPr>
        <w:t>[À COMPLÉTER]</w:t>
      </w:r>
    </w:p>
    <w:p>
      <w:pPr>
        <w:numPr>
          <w:ilvl w:val="0"/>
          <w:numId w:val="20"/>
        </w:numPr>
        <w:spacing w:after="60" w:line="283" w:lineRule="auto"/>
      </w:pPr>
      <w:r>
        <w:rPr>
          <w:rFonts w:ascii="Arial" w:hAnsi="Arial"/>
          <w:color w:val="17221D"/>
          <w:sz w:val="20"/>
        </w:rPr>
        <w:t xml:space="preserve">Modalités de paiement : </w:t>
      </w:r>
      <w:r>
        <w:rPr>
          <w:rFonts w:ascii="Arial" w:hAnsi="Arial"/>
          <w:b/>
          <w:color w:val="A36F43"/>
          <w:sz w:val="20"/>
        </w:rPr>
        <w:t>[À COMPLÉTER]</w:t>
      </w:r>
    </w:p>
    <w:p>
      <w:pPr>
        <w:pStyle w:val="Heading1"/>
      </w:pPr>
      <w:r>
        <w:t>Signatures</w:t>
      </w:r>
    </w:p>
    <w:p>
      <w:pPr>
        <w:pStyle w:val="Heading2"/>
      </w:pPr>
      <w:r>
        <w:t>Pour RSPIR</w:t>
      </w:r>
    </w:p>
    <w:p>
      <w:pPr>
        <w:spacing w:after="50" w:line="240" w:lineRule="auto"/>
      </w:pPr>
      <w:r>
        <w:rPr>
          <w:rFonts w:ascii="Arial" w:hAnsi="Arial"/>
          <w:color w:val="17221D"/>
          <w:sz w:val="20"/>
        </w:rPr>
        <w:t>Nom du signataire : __________________________________</w:t>
      </w:r>
    </w:p>
    <w:p>
      <w:pPr>
        <w:spacing w:after="50" w:line="240" w:lineRule="auto"/>
      </w:pPr>
      <w:r>
        <w:rPr>
          <w:rFonts w:ascii="Arial" w:hAnsi="Arial"/>
          <w:color w:val="17221D"/>
          <w:sz w:val="20"/>
        </w:rPr>
        <w:t>Titre : ______________________________________________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p>
      <w:pPr>
        <w:pStyle w:val="Heading2"/>
      </w:pPr>
      <w:r>
        <w:t>Pour le Client</w:t>
      </w:r>
    </w:p>
    <w:p>
      <w:pPr>
        <w:spacing w:after="50" w:line="240" w:lineRule="auto"/>
      </w:pPr>
      <w:r>
        <w:rPr>
          <w:rFonts w:ascii="Arial" w:hAnsi="Arial"/>
          <w:color w:val="17221D"/>
          <w:sz w:val="20"/>
        </w:rPr>
        <w:t>Nom du signataire : __________________________________</w:t>
      </w:r>
    </w:p>
    <w:p>
      <w:pPr>
        <w:spacing w:after="50" w:line="240" w:lineRule="auto"/>
      </w:pPr>
      <w:r>
        <w:rPr>
          <w:rFonts w:ascii="Arial" w:hAnsi="Arial"/>
          <w:color w:val="17221D"/>
          <w:sz w:val="20"/>
        </w:rPr>
        <w:t>Titre : ______________________________________________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color w:val="85938A"/>
        <w:sz w:val="14"/>
      </w:rPr>
      <w:t xml:space="preserve">CONFIDENTIEL  |  MODÈLE V0.9 - VALIDATION JURIDIQUE REQUISE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8D3C8"/>
      </w:pBdr>
    </w:pPr>
    <w:r>
      <w:rPr>
        <w:rFonts w:ascii="Arial" w:hAnsi="Arial"/>
        <w:b/>
        <w:color w:val="183128"/>
        <w:sz w:val="17"/>
      </w:rPr>
      <w:t>RSPIR</w:t>
    </w:r>
    <w:r>
      <w:rPr>
        <w:rFonts w:ascii="Arial" w:hAnsi="Arial"/>
        <w:b w:val="0"/>
        <w:color w:val="85938A"/>
        <w:sz w:val="14"/>
      </w:rPr>
      <w:t xml:space="preserve">   /   CLARTÉ DANS LA COMPLEXITÉ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80"/>
      </w:pPr>
    </w:lvl>
  </w:abstractNum>
  <w:abstractNum w:abstractNumId="10">
    <w:multiLevelType w:val="singleLevel"/>
    <w:lvl w:ilvl="0">
      <w:start w:val="1"/>
      <w:numFmt w:val="bullet"/>
      <w:lvlText w:val="•"/>
      <w:suff w:val="tab"/>
      <w:pPr>
        <w:tabs>
          <w:tab w:val="num" w:pos="540"/>
        </w:tabs>
        <w:ind w:left="540" w:hanging="280"/>
      </w:pPr>
      <w:rPr>
        <w:rFonts w:ascii="Arial" w:hAnsi="Arial"/>
      </w:rPr>
    </w:lvl>
  </w:abstractNum>
  <w:abstractNum w:abstractNumId="11">
    <w:multiLevelType w:val="singleLevel"/>
    <w:lvl w:ilvl="0">
      <w:start w:val="1"/>
      <w:numFmt w:val="decimal"/>
      <w:lvlText w:val="%1."/>
      <w:suff w:val="tab"/>
      <w:pPr>
        <w:tabs>
          <w:tab w:val="num" w:pos="540"/>
        </w:tabs>
        <w:ind w:left="540" w:hanging="280"/>
      </w:pPr>
    </w:lvl>
  </w:abstractNum>
  <w:abstractNum w:abstractNumId="12">
    <w:multiLevelType w:val="singleLevel"/>
    <w:lvl w:ilvl="0">
      <w:start w:val="1"/>
      <w:numFmt w:val="bullet"/>
      <w:lvlText w:val="•"/>
      <w:suff w:val="tab"/>
      <w:pPr>
        <w:tabs>
          <w:tab w:val="num" w:pos="540"/>
        </w:tabs>
        <w:ind w:left="540" w:hanging="280"/>
      </w:pPr>
      <w:rPr>
        <w:rFonts w:ascii="Arial" w:hAnsi="Arial"/>
      </w:rPr>
    </w:lvl>
  </w:abstractNum>
  <w:abstractNum w:abstractNumId="13">
    <w:multiLevelType w:val="singleLevel"/>
    <w:lvl w:ilvl="0">
      <w:start w:val="1"/>
      <w:numFmt w:val="bullet"/>
      <w:lvlText w:val="•"/>
      <w:suff w:val="tab"/>
      <w:pPr>
        <w:tabs>
          <w:tab w:val="num" w:pos="540"/>
        </w:tabs>
        <w:ind w:left="540" w:hanging="280"/>
      </w:pPr>
      <w:rPr>
        <w:rFonts w:ascii="Arial" w:hAnsi="Arial"/>
      </w:rPr>
    </w:lvl>
  </w:abstractNum>
  <w:abstractNum w:abstractNumId="14">
    <w:multiLevelType w:val="singleLevel"/>
    <w:lvl w:ilvl="0">
      <w:start w:val="1"/>
      <w:numFmt w:val="decimal"/>
      <w:lvlText w:val="%1."/>
      <w:suff w:val="tab"/>
      <w:pPr>
        <w:tabs>
          <w:tab w:val="num" w:pos="540"/>
        </w:tabs>
        <w:ind w:left="540" w:hanging="280"/>
      </w:pPr>
    </w:lvl>
  </w:abstractNum>
  <w:abstractNum w:abstractNumId="15">
    <w:multiLevelType w:val="singleLevel"/>
    <w:lvl w:ilvl="0">
      <w:start w:val="1"/>
      <w:numFmt w:val="bullet"/>
      <w:lvlText w:val="•"/>
      <w:suff w:val="tab"/>
      <w:pPr>
        <w:tabs>
          <w:tab w:val="num" w:pos="540"/>
        </w:tabs>
        <w:ind w:left="540" w:hanging="280"/>
      </w:pPr>
      <w:rPr>
        <w:rFonts w:ascii="Arial" w:hAnsi="Arial"/>
      </w:rPr>
    </w:lvl>
  </w:abstractNum>
  <w:abstractNum w:abstractNumId="16">
    <w:multiLevelType w:val="singleLevel"/>
    <w:lvl w:ilvl="0">
      <w:start w:val="1"/>
      <w:numFmt w:val="bullet"/>
      <w:lvlText w:val="•"/>
      <w:suff w:val="tab"/>
      <w:pPr>
        <w:tabs>
          <w:tab w:val="num" w:pos="540"/>
        </w:tabs>
        <w:ind w:left="540" w:hanging="280"/>
      </w:pPr>
      <w:rPr>
        <w:rFonts w:ascii="Arial" w:hAnsi="Arial"/>
      </w:rPr>
    </w:lvl>
  </w:abstractNum>
  <w:abstractNum w:abstractNumId="17">
    <w:multiLevelType w:val="singleLevel"/>
    <w:lvl w:ilvl="0">
      <w:start w:val="1"/>
      <w:numFmt w:val="bullet"/>
      <w:lvlText w:val="•"/>
      <w:suff w:val="tab"/>
      <w:pPr>
        <w:tabs>
          <w:tab w:val="num" w:pos="540"/>
        </w:tabs>
        <w:ind w:left="540" w:hanging="280"/>
      </w:pPr>
      <w:rPr>
        <w:rFonts w:ascii="Arial" w:hAnsi="Arial"/>
      </w:rPr>
    </w:lvl>
  </w:abstractNum>
  <w:abstractNum w:abstractNumId="18">
    <w:multiLevelType w:val="singleLevel"/>
    <w:lvl w:ilvl="0">
      <w:start w:val="1"/>
      <w:numFmt w:val="bullet"/>
      <w:lvlText w:val="•"/>
      <w:suff w:val="tab"/>
      <w:pPr>
        <w:tabs>
          <w:tab w:val="num" w:pos="540"/>
        </w:tabs>
        <w:ind w:left="540" w:hanging="280"/>
      </w:pPr>
      <w:rPr>
        <w:rFonts w:ascii="Arial" w:hAnsi="Arial"/>
      </w:rPr>
    </w:lvl>
  </w:abstractNum>
  <w:abstractNum w:abstractNumId="19">
    <w:multiLevelType w:val="singleLevel"/>
    <w:lvl w:ilvl="0">
      <w:start w:val="1"/>
      <w:numFmt w:val="bullet"/>
      <w:lvlText w:val="•"/>
      <w:suff w:val="tab"/>
      <w:pPr>
        <w:tabs>
          <w:tab w:val="num" w:pos="540"/>
        </w:tabs>
        <w:ind w:left="540" w:hanging="28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83" w:lineRule="auto"/>
    </w:pPr>
    <w:rPr>
      <w:rFonts w:ascii="Arial" w:hAnsi="Arial"/>
      <w:color w:val="1722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line="264" w:lineRule="auto"/>
      <w:outlineLvl w:val="0"/>
    </w:pPr>
    <w:rPr>
      <w:rFonts w:asciiTheme="majorHAnsi" w:eastAsiaTheme="majorEastAsia" w:hAnsiTheme="majorHAnsi" w:cstheme="majorBidi" w:ascii="Georgia" w:hAnsi="Georgia"/>
      <w:b w:val="0"/>
      <w:bCs/>
      <w:color w:val="18312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A36F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18" w:hanging="259"/>
      <w:contextualSpacing/>
    </w:pPr>
    <w:rPr>
      <w:rFonts w:ascii="Arial" w:hAnsi="Arial"/>
      <w:color w:val="17221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18" w:hanging="259"/>
      <w:contextualSpacing/>
    </w:pPr>
    <w:rPr>
      <w:rFonts w:ascii="Arial" w:hAnsi="Arial"/>
      <w:color w:val="17221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ENTENTE DE SERVICES - DIAGNOSTIC RSPIR</dc:title>
  <dc:subject>Modèle contractuel RSPIR</dc:subject>
  <dc:creator>RSPIR</dc:creator>
  <cp:keywords>RSPIR, contrat, diagnostic, confidentialité</cp:keywords>
  <dc:description>generated by python-docx</dc:description>
  <cp:lastModifiedBy/>
  <cp:revision>1</cp:revision>
  <dcterms:created xsi:type="dcterms:W3CDTF">2013-12-23T23:15:00Z</dcterms:created>
  <dcterms:modified xsi:type="dcterms:W3CDTF">2013-12-23T23:15:00Z</dcterms:modified>
  <cp:category/>
</cp:coreProperties>
</file>