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2B82" w:rsidRDefault="00000000">
      <w:pPr>
        <w:spacing w:before="240" w:after="80"/>
        <w:jc w:val="center"/>
      </w:pPr>
      <w:r>
        <w:rPr>
          <w:b/>
          <w:bCs/>
          <w:color w:val="0B1220"/>
          <w:sz w:val="52"/>
          <w:szCs w:val="52"/>
        </w:rPr>
        <w:t>CAVEAU</w:t>
      </w:r>
    </w:p>
    <w:p w:rsidR="00E22B82" w:rsidRDefault="00000000">
      <w:pPr>
        <w:spacing w:after="80"/>
        <w:jc w:val="center"/>
      </w:pPr>
      <w:r>
        <w:rPr>
          <w:i/>
          <w:iCs/>
          <w:color w:val="555555"/>
        </w:rPr>
        <w:t>Collect with Confidence</w:t>
      </w:r>
    </w:p>
    <w:p w:rsidR="00E22B82" w:rsidRDefault="00E22B82">
      <w:pPr>
        <w:pBdr>
          <w:bottom w:val="single" w:sz="4" w:space="1" w:color="C9A84C"/>
        </w:pBdr>
        <w:spacing w:before="80" w:after="80"/>
      </w:pPr>
    </w:p>
    <w:p w:rsidR="00E22B82" w:rsidRDefault="00000000">
      <w:pPr>
        <w:spacing w:before="120" w:after="60"/>
        <w:jc w:val="center"/>
      </w:pPr>
      <w:r>
        <w:rPr>
          <w:b/>
          <w:bCs/>
          <w:color w:val="0B1220"/>
          <w:sz w:val="32"/>
          <w:szCs w:val="32"/>
        </w:rPr>
        <w:t>EQUITY &amp; INVESTOR SUMMARY</w:t>
      </w:r>
    </w:p>
    <w:p w:rsidR="00E22B82" w:rsidRDefault="00000000">
      <w:pPr>
        <w:spacing w:after="240"/>
        <w:jc w:val="center"/>
      </w:pPr>
      <w:r>
        <w:rPr>
          <w:color w:val="555555"/>
          <w:sz w:val="20"/>
          <w:szCs w:val="20"/>
        </w:rPr>
        <w:t>Seed Round · Sommelier Compensation Structure · Cap Table</w:t>
      </w:r>
    </w:p>
    <w:p w:rsidR="00E22B82" w:rsidRDefault="00000000">
      <w:pPr>
        <w:spacing w:after="360"/>
        <w:jc w:val="center"/>
      </w:pPr>
      <w:r>
        <w:rPr>
          <w:i/>
          <w:iCs/>
          <w:color w:val="555555"/>
          <w:sz w:val="20"/>
          <w:szCs w:val="20"/>
        </w:rPr>
        <w:t>Naples, Florida · 2027 · Confidential</w:t>
      </w:r>
    </w:p>
    <w:p w:rsidR="00E22B82" w:rsidRPr="00C063F9" w:rsidRDefault="00000000">
      <w:pPr>
        <w:pStyle w:val="Heading1"/>
        <w:rPr>
          <w:rFonts w:ascii="Times New Roman" w:hAnsi="Times New Roman" w:cs="Times New Roman"/>
        </w:rPr>
      </w:pPr>
      <w:r w:rsidRPr="00C063F9">
        <w:rPr>
          <w:rFonts w:ascii="Times New Roman" w:hAnsi="Times New Roman" w:cs="Times New Roman"/>
        </w:rPr>
        <w:t>The Business at a Glance</w:t>
      </w:r>
    </w:p>
    <w:p w:rsidR="00E22B82" w:rsidRPr="00C063F9" w:rsidRDefault="00000000" w:rsidP="00C063F9">
      <w:pPr>
        <w:spacing w:before="120" w:after="120"/>
        <w:jc w:val="both"/>
        <w:rPr>
          <w:rFonts w:ascii="Times New Roman" w:hAnsi="Times New Roman" w:cs="Times New Roman"/>
        </w:rPr>
      </w:pPr>
      <w:r w:rsidRPr="00C063F9">
        <w:rPr>
          <w:rFonts w:ascii="Times New Roman" w:hAnsi="Times New Roman" w:cs="Times New Roman"/>
          <w:color w:val="1A1A1A"/>
        </w:rPr>
        <w:t>Caveau is a Naples, Florida-based premium wine storage and asset management platform targeting high-net-worth private collectors. The platform generates revenue across ten streams: (1) tiered monthly storage memberships ($29–$999/</w:t>
      </w:r>
      <w:proofErr w:type="spellStart"/>
      <w:r w:rsidRPr="00C063F9">
        <w:rPr>
          <w:rFonts w:ascii="Times New Roman" w:hAnsi="Times New Roman" w:cs="Times New Roman"/>
          <w:color w:val="1A1A1A"/>
        </w:rPr>
        <w:t>mo</w:t>
      </w:r>
      <w:proofErr w:type="spellEnd"/>
      <w:r w:rsidRPr="00C063F9">
        <w:rPr>
          <w:rFonts w:ascii="Times New Roman" w:hAnsi="Times New Roman" w:cs="Times New Roman"/>
          <w:color w:val="1A1A1A"/>
        </w:rPr>
        <w:t>); (2) member events and tastings; (3) corporate and sponsor events; (4) insurance referrals (PURE, Chubb, AXA XL); (5) Hurricane Emergency Collection Protection; (6) appraisal and estate documentation; (7) exit facilitation (10–12% commission); (8) acquisition sourcing (8–12% margin); (9) digital platform — Collector tier app; and (10) home cellar certification program (Year 2). Members receive climate-controlled vault custody, AI-powered valuation intelligence connected live to Liv-ex, the Caveau Sentinel™ IoT sensor, concierge acquisition sourcing, and exit facilitation — all underpinned by the only institutional wine platform in Southwest Florida.</w:t>
      </w:r>
    </w:p>
    <w:p w:rsidR="00E22B82" w:rsidRPr="00C063F9" w:rsidRDefault="00000000">
      <w:pPr>
        <w:rPr>
          <w:rFonts w:ascii="Times New Roman" w:hAnsi="Times New Roman" w:cs="Times New Roman"/>
        </w:rPr>
      </w:pPr>
      <w:r w:rsidRPr="00C063F9">
        <w:rPr>
          <w:rFonts w:ascii="Times New Roman" w:hAnsi="Times New Roman" w:cs="Times New Roman"/>
          <w:b/>
          <w:color w:val="C9A84C"/>
        </w:rPr>
        <w:t>The Macro Case: Fine Wine as an Alternative Asset</w:t>
      </w:r>
    </w:p>
    <w:p w:rsidR="00E22B82" w:rsidRPr="00C063F9" w:rsidRDefault="00000000" w:rsidP="00C063F9">
      <w:pPr>
        <w:jc w:val="both"/>
        <w:rPr>
          <w:rFonts w:ascii="Times New Roman" w:hAnsi="Times New Roman" w:cs="Times New Roman"/>
        </w:rPr>
      </w:pPr>
      <w:r w:rsidRPr="00C063F9">
        <w:rPr>
          <w:rFonts w:ascii="Times New Roman" w:hAnsi="Times New Roman" w:cs="Times New Roman"/>
        </w:rPr>
        <w:t xml:space="preserve">Fine wine has demonstrated a consistent pattern across every major market crisis: it moves with equities, but at significantly lower magnitude, and recovers faster. During the 2008 financial crisis, the Liv-ex Fine Wine index declined 9% while the S&amp;P 500 fell 38%. During the 2020 COVID shock, the Liv-ex Fine Wine 100 rose 5.4% while equities collapsed. During the 2022 rate hike cycle, wine saw a similar drawdown to equities but </w:t>
      </w:r>
      <w:r w:rsidR="00C063F9" w:rsidRPr="00C063F9">
        <w:rPr>
          <w:rFonts w:ascii="Times New Roman" w:hAnsi="Times New Roman" w:cs="Times New Roman"/>
        </w:rPr>
        <w:t>stabilized</w:t>
      </w:r>
      <w:r w:rsidRPr="00C063F9">
        <w:rPr>
          <w:rFonts w:ascii="Times New Roman" w:hAnsi="Times New Roman" w:cs="Times New Roman"/>
        </w:rPr>
        <w:t xml:space="preserve"> once rates peaked. And in March 2026 — as U.S.-Israeli airstrikes on Iran sent oil up 25% in a single session and the S&amp;P fell 2%+ in a week — the fine wine market saw no panic selling, no margin calls, no algorithmic liquidation. The collector base held through the volatility, as it always has. The Liv-ex </w:t>
      </w:r>
      <w:proofErr w:type="spellStart"/>
      <w:r w:rsidRPr="00C063F9">
        <w:rPr>
          <w:rFonts w:ascii="Times New Roman" w:hAnsi="Times New Roman" w:cs="Times New Roman"/>
        </w:rPr>
        <w:t>Investables</w:t>
      </w:r>
      <w:proofErr w:type="spellEnd"/>
      <w:r w:rsidRPr="00C063F9">
        <w:rPr>
          <w:rFonts w:ascii="Times New Roman" w:hAnsi="Times New Roman" w:cs="Times New Roman"/>
        </w:rPr>
        <w:t xml:space="preserve"> Index has returned +2,050% since 1988. Fine wine is not a hedge against all downturns — it is correlated, but structurally different: a physical, scarce, globally demanded asset with no earnings reports, no margin calls, and a holder base that measures time in vintages, not quarters. Caveau is the institutional infrastructure layer that makes this asset class perform at the level it deserves.</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Founded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2027 (Q3 Soft Launch · Q4 Public Launch)</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Headquarters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Naples, Florida</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Legal Entity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Delaware C-Corporation · FL Counsel: TBD</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Model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B2C Subscription + Secondary Revenue</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Target Customer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HNW collectors, $50K–$2M+ wine portfolios</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Year 1 Revenue (Base)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$620,000 ($568K–$673K range)</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Year 1 Members (Base)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200 (50 Founding + 150 public launch)</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Year 1 Staff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Head Sommelier $100K + Vault Ops $75K + MSC FT $75K + MSC PT $35K = $285K</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EBITDA Breakeven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Year 2 (Base) / Year 1 (Bull)</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Assets Under Custody (Y1)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$15.0M estimated (Base scenario)</w:t>
            </w:r>
          </w:p>
        </w:tc>
      </w:tr>
    </w:tbl>
    <w:p w:rsidR="00E22B82" w:rsidRDefault="00E22B82">
      <w:pPr>
        <w:spacing w:before="120" w:after="120"/>
      </w:pPr>
    </w:p>
    <w:p w:rsidR="00E22B82" w:rsidRPr="00CA1C7F" w:rsidRDefault="00000000">
      <w:pPr>
        <w:pStyle w:val="Heading2"/>
        <w:rPr>
          <w:rFonts w:ascii="Times New Roman" w:hAnsi="Times New Roman" w:cs="Times New Roman"/>
        </w:rPr>
      </w:pPr>
      <w:r w:rsidRPr="00CA1C7F">
        <w:rPr>
          <w:rFonts w:ascii="Times New Roman" w:hAnsi="Times New Roman" w:cs="Times New Roman"/>
        </w:rPr>
        <w:lastRenderedPageBreak/>
        <w:t>Anticipated Investor Questions — Pre-empted</w:t>
      </w:r>
    </w:p>
    <w:p w:rsidR="00E22B82" w:rsidRPr="00CA1C7F" w:rsidRDefault="00000000" w:rsidP="00CA1C7F">
      <w:pPr>
        <w:spacing w:before="120" w:after="120"/>
        <w:jc w:val="both"/>
        <w:rPr>
          <w:rFonts w:ascii="Times New Roman" w:hAnsi="Times New Roman" w:cs="Times New Roman"/>
        </w:rPr>
      </w:pPr>
      <w:r w:rsidRPr="00CA1C7F">
        <w:rPr>
          <w:rFonts w:ascii="Times New Roman" w:hAnsi="Times New Roman" w:cs="Times New Roman"/>
          <w:color w:val="1A1A1A"/>
        </w:rPr>
        <w:t>The following questions will be asked in every investor meeting. Answers should be ready before the first conversation.</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60" w:after="80"/>
            </w:pPr>
            <w:r>
              <w:rPr>
                <w:b/>
                <w:bCs/>
                <w:color w:val="0B1220"/>
                <w:sz w:val="20"/>
                <w:szCs w:val="20"/>
              </w:rPr>
              <w:t>"Do you have any members or LOIs yet?"</w:t>
            </w:r>
          </w:p>
          <w:p w:rsidR="00E22B82" w:rsidRDefault="00000000">
            <w:pPr>
              <w:spacing w:before="40" w:after="40"/>
            </w:pPr>
            <w:r>
              <w:rPr>
                <w:color w:val="555555"/>
                <w:sz w:val="19"/>
                <w:szCs w:val="19"/>
              </w:rPr>
              <w:t>The Naples Winter Wine Festival (Jan 30–Feb 1, 2027) is the first Caveau founding member activation event. Founding member conversations are active with Naples-area collectors ahead of that date. [UPDATE THIS SECTION before each investor meeting with any signed LOIs, waitlist commitments, or warm conversations by name.] Founder traction note: Rob Saenz is personally building an investment-grade home wine cellar at his Naples residence and acquiring a curated collection of 10+ investment-grade bottles (including Pétrus 2018, Screaming Eagle 2019, and Harlan Estate 2018) to be managed on the Caveau platform from Day 1. This collection — fully documented with provenance records, IoT temperature monitoring, and PURE/Chubb insurance coverage — will serve as the platform’s inaugural portfolio and a live demo asset for every investor and founding member conversation before the vault opens. The founder is Member #1.</w:t>
            </w:r>
          </w:p>
          <w:p w:rsidR="00E22B82" w:rsidRDefault="00E22B82">
            <w:pPr>
              <w:spacing w:before="40" w:after="40"/>
            </w:pPr>
          </w:p>
        </w:tc>
      </w:tr>
    </w:tbl>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60" w:after="80"/>
            </w:pPr>
            <w:r>
              <w:rPr>
                <w:b/>
                <w:bCs/>
                <w:color w:val="0B1220"/>
                <w:sz w:val="20"/>
                <w:szCs w:val="20"/>
              </w:rPr>
              <w:t>"Who has built this before? Wine storage is hospitality."</w:t>
            </w:r>
          </w:p>
          <w:p w:rsidR="00E22B82" w:rsidRDefault="00000000">
            <w:pPr>
              <w:spacing w:before="40" w:after="40"/>
            </w:pPr>
            <w:r>
              <w:rPr>
                <w:color w:val="555555"/>
                <w:sz w:val="19"/>
                <w:szCs w:val="19"/>
              </w:rPr>
              <w:t>The Head Sommelier hire is specifically designed to answer this. The Sommelier is the operator — certified, credentialed, with event experience in the Naples luxury market. Rob Saenz brings 20 years of operational execution at scale in demanding government environments. The combination of a proven operator-founder and a hospitality-credentialed Sommelier addresses the full team question.</w:t>
            </w:r>
          </w:p>
          <w:p w:rsidR="00E22B82" w:rsidRDefault="00E22B82">
            <w:pPr>
              <w:spacing w:before="40" w:after="40"/>
            </w:pPr>
          </w:p>
        </w:tc>
      </w:tr>
    </w:tbl>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60" w:after="80"/>
            </w:pPr>
            <w:r>
              <w:rPr>
                <w:b/>
                <w:bCs/>
                <w:color w:val="0B1220"/>
                <w:sz w:val="20"/>
                <w:szCs w:val="20"/>
              </w:rPr>
              <w:t>"What is your Liv-ex arrangement?"</w:t>
            </w:r>
          </w:p>
          <w:p w:rsidR="00E22B82" w:rsidRDefault="00000000">
            <w:pPr>
              <w:spacing w:before="40" w:after="40"/>
            </w:pPr>
            <w:r>
              <w:rPr>
                <w:color w:val="555555"/>
                <w:sz w:val="19"/>
                <w:szCs w:val="19"/>
              </w:rPr>
              <w:t>Liv-ex is a London-based fine wine exchange providing the real-time market pricing data that powers the Caveau AI Advisor. A commercial API membership is required — estimated cost $15,000–$30,000/year — and is included in the Technology budget line.</w:t>
            </w:r>
          </w:p>
          <w:p w:rsidR="00E22B82" w:rsidRDefault="00E22B82">
            <w:pPr>
              <w:spacing w:before="40" w:after="40"/>
            </w:pPr>
          </w:p>
          <w:p w:rsidR="00E22B82" w:rsidRDefault="00000000">
            <w:pPr>
              <w:spacing w:before="40" w:after="40"/>
            </w:pPr>
            <w:r>
              <w:rPr>
                <w:color w:val="555555"/>
                <w:sz w:val="19"/>
                <w:szCs w:val="19"/>
              </w:rPr>
              <w:t>The Liv-ex API agreement is a Q4 2026 milestone on the Caveau timeline. This is not a dependency that can be bypassed — it is a standard commercial arrangement that Liv-ex offers to institutional wine platforms. [Update with signed agreement date when executed.]</w:t>
            </w:r>
          </w:p>
        </w:tc>
      </w:tr>
    </w:tbl>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60" w:after="80"/>
            </w:pPr>
            <w:r>
              <w:rPr>
                <w:b/>
                <w:bCs/>
                <w:color w:val="0B1220"/>
                <w:sz w:val="20"/>
                <w:szCs w:val="20"/>
              </w:rPr>
              <w:t>"Why hasn't a bigger company built this already?"</w:t>
            </w:r>
          </w:p>
          <w:p w:rsidR="00E22B82" w:rsidRDefault="00000000">
            <w:pPr>
              <w:spacing w:before="40" w:after="40"/>
            </w:pPr>
            <w:r>
              <w:rPr>
                <w:color w:val="555555"/>
                <w:sz w:val="19"/>
                <w:szCs w:val="19"/>
              </w:rPr>
              <w:t xml:space="preserve">Iron Gate, Farr Vintners, and traditional wine storage operators built for transaction volume — not intelligence. They are brokers and merchants, not technology platforms. Naples has one small local competitor (Carl’s Wine Vault) offering manual storage and periodic valuation — but no app, no AI, no Liv-ex integration, no membership tiers, and no structured exit facilitation. The AI layer that makes </w:t>
            </w:r>
            <w:proofErr w:type="spellStart"/>
            <w:r>
              <w:rPr>
                <w:color w:val="555555"/>
                <w:sz w:val="19"/>
                <w:szCs w:val="19"/>
              </w:rPr>
              <w:t>Caveau’s</w:t>
            </w:r>
            <w:proofErr w:type="spellEnd"/>
            <w:r>
              <w:rPr>
                <w:color w:val="555555"/>
                <w:sz w:val="19"/>
                <w:szCs w:val="19"/>
              </w:rPr>
              <w:t xml:space="preserve"> advisory model scalable did not exist at viable cost until 2023–2025. And critically: the macro environment has never been more favorable. As geopolitical volatility drives HNW investors toward alternative assets, fine wine’s track record of lower drawdowns and faster recovery versus equities is attracting serious institutional attention. Caveau is positioned to capture that demand with infrastructure that does not yet exist in the Southwest Florida market.</w:t>
            </w:r>
          </w:p>
          <w:p w:rsidR="00E22B82" w:rsidRDefault="00E22B82">
            <w:pPr>
              <w:spacing w:before="40" w:after="40"/>
            </w:pPr>
          </w:p>
          <w:p w:rsidR="00E22B82" w:rsidRDefault="00000000">
            <w:pPr>
              <w:spacing w:before="40" w:after="40"/>
            </w:pPr>
            <w:r>
              <w:rPr>
                <w:color w:val="555555"/>
                <w:sz w:val="19"/>
                <w:szCs w:val="19"/>
              </w:rPr>
              <w:t>First mover, in the right market, with infrastructure no software competitor can replicate, at the moment the technology finally makes the unit economics work.</w:t>
            </w:r>
          </w:p>
        </w:tc>
      </w:tr>
    </w:tbl>
    <w:p w:rsidR="00E22B82" w:rsidRPr="00CA1C7F" w:rsidRDefault="00000000">
      <w:pPr>
        <w:pStyle w:val="Heading1"/>
        <w:rPr>
          <w:rFonts w:ascii="Times New Roman" w:hAnsi="Times New Roman" w:cs="Times New Roman"/>
        </w:rPr>
      </w:pPr>
      <w:r w:rsidRPr="00CA1C7F">
        <w:rPr>
          <w:rFonts w:ascii="Times New Roman" w:hAnsi="Times New Roman" w:cs="Times New Roman"/>
        </w:rPr>
        <w:lastRenderedPageBreak/>
        <w:t>The Seed Round</w:t>
      </w:r>
    </w:p>
    <w:p w:rsidR="00E22B82" w:rsidRPr="00CA1C7F" w:rsidRDefault="00000000" w:rsidP="00CA1C7F">
      <w:pPr>
        <w:spacing w:before="120" w:after="120"/>
        <w:jc w:val="both"/>
        <w:rPr>
          <w:rFonts w:ascii="Times New Roman" w:hAnsi="Times New Roman" w:cs="Times New Roman"/>
        </w:rPr>
      </w:pPr>
      <w:r w:rsidRPr="00CA1C7F">
        <w:rPr>
          <w:rFonts w:ascii="Times New Roman" w:hAnsi="Times New Roman" w:cs="Times New Roman"/>
        </w:rPr>
        <w:t>Caveau is raising $1,500,000–$2,200,000 in seed capital to fund vault buildout, platform development, and founding member acquisition ahead of Q3 2027 soft launch. The round is structured as a SAFE (Simple Agreement for Future Equity). The vault buildout covers two deliberate locations: a Fifth Avenue South showroom for member experience and prestige positioning, and an industrial vault near Naples Airport for climate infrastructure — above flood zone, generator-backed, and built to post-Hurricane Ian Florida commercial building code. This dual-location model is a strategic decision, not a cost addition: the showroom sells the membership, the vault protects the asset.</w:t>
      </w:r>
    </w:p>
    <w:p w:rsidR="00E22B82" w:rsidRPr="00CA1C7F" w:rsidRDefault="00000000">
      <w:pPr>
        <w:spacing w:before="120" w:after="120"/>
        <w:rPr>
          <w:rFonts w:ascii="Times New Roman" w:hAnsi="Times New Roman" w:cs="Times New Roman"/>
        </w:rPr>
      </w:pPr>
      <w:r w:rsidRPr="00CA1C7F">
        <w:rPr>
          <w:rFonts w:ascii="Times New Roman" w:hAnsi="Times New Roman" w:cs="Times New Roman"/>
          <w:b/>
          <w:color w:val="C9A84C"/>
        </w:rPr>
        <w:t>Hurricane Emergency Collection Protection — A Naples-Exclusive Feature</w:t>
      </w:r>
    </w:p>
    <w:p w:rsidR="00E22B82" w:rsidRPr="00CA1C7F" w:rsidRDefault="00000000" w:rsidP="00CA1C7F">
      <w:pPr>
        <w:spacing w:before="60" w:after="60"/>
        <w:jc w:val="both"/>
        <w:rPr>
          <w:rFonts w:ascii="Times New Roman" w:hAnsi="Times New Roman" w:cs="Times New Roman"/>
        </w:rPr>
      </w:pPr>
      <w:r w:rsidRPr="00CA1C7F">
        <w:rPr>
          <w:rFonts w:ascii="Times New Roman" w:hAnsi="Times New Roman" w:cs="Times New Roman"/>
        </w:rPr>
        <w:t>Hurricane Ian (2022) caused catastrophic flooding across Collier and Lee Counties, destroying countless residential wine collections stored at ground level or in flood-zone homes. No wine storage or management platform — local or national — has ever addressed this directly. Caveau does.</w:t>
      </w:r>
    </w:p>
    <w:p w:rsidR="00E22B82" w:rsidRPr="00CA1C7F" w:rsidRDefault="00000000" w:rsidP="00CA1C7F">
      <w:pPr>
        <w:spacing w:before="60" w:after="60"/>
        <w:jc w:val="both"/>
        <w:rPr>
          <w:rFonts w:ascii="Times New Roman" w:hAnsi="Times New Roman" w:cs="Times New Roman"/>
        </w:rPr>
      </w:pPr>
      <w:r w:rsidRPr="00CA1C7F">
        <w:rPr>
          <w:rFonts w:ascii="Times New Roman" w:hAnsi="Times New Roman" w:cs="Times New Roman"/>
        </w:rPr>
        <w:t>When the National Hurricane Center issues a Hurricane Watch for Collier or Lee County (typically 48 hours before projected landfall), Caveau activates the Hurricane Emergency Collection Protection protocol for members in designated flood-risk elevations. A refrigerated, climate-controlled vehicle dispatches to the member’s home. Every bottle is photographed, inventoried against their live Caveau portfolio, and transported to the airport vault — above FEMA flood zone AE, generator-backed, and built to post-Ian FL commercial building code. Collections are held safely until the member returns and conditions are confirmed clear. The Caveau Sentinel sensor at the member’s home continues transmitting throughout the storm, giving members real-time visibility into their cellar conditions even from a hotel hundreds of miles away.</w:t>
      </w:r>
    </w:p>
    <w:p w:rsidR="00E22B82" w:rsidRPr="00CA1C7F" w:rsidRDefault="00000000" w:rsidP="00CA1C7F">
      <w:pPr>
        <w:spacing w:before="60" w:after="60"/>
        <w:jc w:val="both"/>
        <w:rPr>
          <w:rFonts w:ascii="Times New Roman" w:hAnsi="Times New Roman" w:cs="Times New Roman"/>
        </w:rPr>
      </w:pPr>
      <w:r w:rsidRPr="00CA1C7F">
        <w:rPr>
          <w:rFonts w:ascii="Times New Roman" w:hAnsi="Times New Roman" w:cs="Times New Roman"/>
        </w:rPr>
        <w:t>Revenue model: Included as a named benefit in Private Vault ($349/</w:t>
      </w:r>
      <w:proofErr w:type="spellStart"/>
      <w:r w:rsidRPr="00CA1C7F">
        <w:rPr>
          <w:rFonts w:ascii="Times New Roman" w:hAnsi="Times New Roman" w:cs="Times New Roman"/>
        </w:rPr>
        <w:t>mo</w:t>
      </w:r>
      <w:proofErr w:type="spellEnd"/>
      <w:r w:rsidRPr="00CA1C7F">
        <w:rPr>
          <w:rFonts w:ascii="Times New Roman" w:hAnsi="Times New Roman" w:cs="Times New Roman"/>
        </w:rPr>
        <w:t>) and Estate ($999/</w:t>
      </w:r>
      <w:proofErr w:type="spellStart"/>
      <w:r w:rsidRPr="00CA1C7F">
        <w:rPr>
          <w:rFonts w:ascii="Times New Roman" w:hAnsi="Times New Roman" w:cs="Times New Roman"/>
        </w:rPr>
        <w:t>mo</w:t>
      </w:r>
      <w:proofErr w:type="spellEnd"/>
      <w:r w:rsidRPr="00CA1C7F">
        <w:rPr>
          <w:rFonts w:ascii="Times New Roman" w:hAnsi="Times New Roman" w:cs="Times New Roman"/>
        </w:rPr>
        <w:t xml:space="preserve">) tiers — a material differentiator that justifies the price premium. Available as a fee-based emergency service ($500–$1,500 depending on collection size) for Reserve members. Insurance angle: PURE, Chubb, and AXA XL bear significant claims on hurricane-damaged collections. A member who activates </w:t>
      </w:r>
      <w:proofErr w:type="spellStart"/>
      <w:r w:rsidRPr="00CA1C7F">
        <w:rPr>
          <w:rFonts w:ascii="Times New Roman" w:hAnsi="Times New Roman" w:cs="Times New Roman"/>
        </w:rPr>
        <w:t>Caveau’s</w:t>
      </w:r>
      <w:proofErr w:type="spellEnd"/>
      <w:r w:rsidRPr="00CA1C7F">
        <w:rPr>
          <w:rFonts w:ascii="Times New Roman" w:hAnsi="Times New Roman" w:cs="Times New Roman"/>
        </w:rPr>
        <w:t xml:space="preserve"> Emergency Protection materially reduces insurer exposure — strengthening </w:t>
      </w:r>
      <w:proofErr w:type="spellStart"/>
      <w:r w:rsidRPr="00CA1C7F">
        <w:rPr>
          <w:rFonts w:ascii="Times New Roman" w:hAnsi="Times New Roman" w:cs="Times New Roman"/>
        </w:rPr>
        <w:t>Caveau’s</w:t>
      </w:r>
      <w:proofErr w:type="spellEnd"/>
      <w:r w:rsidRPr="00CA1C7F">
        <w:rPr>
          <w:rFonts w:ascii="Times New Roman" w:hAnsi="Times New Roman" w:cs="Times New Roman"/>
        </w:rPr>
        <w:t xml:space="preserve"> preferred-rate partnership relationships and qualifying protected collections for additional premium discounts. Post-Ian Naples, this service is not a hypothetical. It is an emotional close. The insurance savings argument: specialist fine wine insurance typically costs 1–1.5% of declared value annually. </w:t>
      </w:r>
      <w:proofErr w:type="spellStart"/>
      <w:r w:rsidRPr="00CA1C7F">
        <w:rPr>
          <w:rFonts w:ascii="Times New Roman" w:hAnsi="Times New Roman" w:cs="Times New Roman"/>
        </w:rPr>
        <w:t>Caveau’s</w:t>
      </w:r>
      <w:proofErr w:type="spellEnd"/>
      <w:r w:rsidRPr="00CA1C7F">
        <w:rPr>
          <w:rFonts w:ascii="Times New Roman" w:hAnsi="Times New Roman" w:cs="Times New Roman"/>
        </w:rPr>
        <w:t xml:space="preserve"> certified storage documentation, continuous Sentinel IoT monitoring, and documented hurricane evacuation protocol can realistically earn a 20–35% premium reduction from specialist insurers — worth $300–$790/year on a $150K collection, and $1,000–$1,750/year on a $400K Estate-tier collection. For Private Vault and Estate members, where the hurricane service is included in their tier at no extra charge, the annual insurance savings approach or exceed break-even on the service cost entirely. For an Estate member paying $999/month, a $1,250/year insurance reduction offsets more than one full month of membership. The service does not just protect the collection — at scale it is self-funding. Member talking point: “The Sentinel monitoring alone may reduce your annual wine insurance premium enough to offset a meaningful portion of your Caveau membership. The hurricane service — included in your tier — is the coverage your insurer cannot provide and your garage certainly does not.”</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Instrument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SAFE Note (Simple Agreement for Future Equity)</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Amount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$1,500,000 – $2,200,000</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Valuation Cap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$6,000,000 – $6,000,000 pre-money</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Discount Rate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20% to next priced round</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Pro-Rata Rights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Yes — investors may maintain ownership % at Series A</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MFN Clause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Yes — most favored nation protection</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Board Seat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Observer rights only at seed stage</w:t>
            </w:r>
          </w:p>
        </w:tc>
      </w:tr>
    </w:tbl>
    <w:p w:rsidR="00E22B82" w:rsidRDefault="00E22B82">
      <w:pPr>
        <w:spacing w:before="120" w:after="120"/>
      </w:pPr>
    </w:p>
    <w:p w:rsidR="00CA1C7F" w:rsidRDefault="00CA1C7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60" w:after="80"/>
            </w:pPr>
            <w:r>
              <w:rPr>
                <w:b/>
                <w:bCs/>
                <w:color w:val="0B1220"/>
                <w:sz w:val="20"/>
                <w:szCs w:val="20"/>
              </w:rPr>
              <w:lastRenderedPageBreak/>
              <w:t>Why a SAFE?</w:t>
            </w:r>
          </w:p>
          <w:p w:rsidR="00E22B82" w:rsidRDefault="00000000">
            <w:pPr>
              <w:spacing w:before="40" w:after="40"/>
            </w:pPr>
            <w:r>
              <w:rPr>
                <w:color w:val="555555"/>
                <w:sz w:val="19"/>
                <w:szCs w:val="19"/>
              </w:rPr>
              <w:t>A priced equity round requires $15,000–$40,000 in legal fees and weeks of negotiation. A SAFE closes in days with a 5-page document. It gives investors meaningful protections (cap, discount, pro-rata) without the overhead of a full Series A. This is the Y Combinator standard used by thousands of seed-stage companies.</w:t>
            </w:r>
          </w:p>
          <w:p w:rsidR="00E22B82" w:rsidRDefault="00E22B82">
            <w:pPr>
              <w:spacing w:before="40" w:after="40"/>
            </w:pPr>
          </w:p>
          <w:p w:rsidR="00E22B82" w:rsidRDefault="00000000">
            <w:pPr>
              <w:spacing w:before="40" w:after="40"/>
            </w:pPr>
            <w:r>
              <w:rPr>
                <w:color w:val="555555"/>
                <w:sz w:val="19"/>
                <w:szCs w:val="19"/>
              </w:rPr>
              <w:t>The $6–8M valuation cap ensures early investors capture maximum upside if Caveau raises at a higher valuation at Series A.</w:t>
            </w:r>
          </w:p>
        </w:tc>
      </w:tr>
    </w:tbl>
    <w:p w:rsidR="00E22B82" w:rsidRDefault="00E22B82">
      <w:pPr>
        <w:spacing w:before="120" w:after="120"/>
      </w:pPr>
    </w:p>
    <w:p w:rsidR="00E22B82" w:rsidRPr="00CA1C7F" w:rsidRDefault="00000000">
      <w:pPr>
        <w:pStyle w:val="Heading2"/>
        <w:rPr>
          <w:rFonts w:ascii="Times New Roman" w:hAnsi="Times New Roman" w:cs="Times New Roman"/>
        </w:rPr>
      </w:pPr>
      <w:r w:rsidRPr="00CA1C7F">
        <w:rPr>
          <w:rFonts w:ascii="Times New Roman" w:hAnsi="Times New Roman" w:cs="Times New Roman"/>
        </w:rPr>
        <w:t>Use of Funds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Naples Vault Buildout — Dual Location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~$500</w:t>
            </w:r>
            <w:proofErr w:type="gramStart"/>
            <w:r>
              <w:rPr>
                <w:color w:val="1A1A1A"/>
                <w:sz w:val="18"/>
                <w:szCs w:val="18"/>
              </w:rPr>
              <w:t>K  ·</w:t>
            </w:r>
            <w:proofErr w:type="gramEnd"/>
            <w:r>
              <w:rPr>
                <w:color w:val="1A1A1A"/>
                <w:sz w:val="18"/>
                <w:szCs w:val="18"/>
              </w:rPr>
              <w:t xml:space="preserve">  40%</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Technology &amp; AI Platform (incl. Liv-ex API)</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~$313</w:t>
            </w:r>
            <w:proofErr w:type="gramStart"/>
            <w:r>
              <w:rPr>
                <w:color w:val="1A1A1A"/>
                <w:sz w:val="18"/>
                <w:szCs w:val="18"/>
              </w:rPr>
              <w:t>K  ·</w:t>
            </w:r>
            <w:proofErr w:type="gramEnd"/>
            <w:r>
              <w:rPr>
                <w:color w:val="1A1A1A"/>
                <w:sz w:val="18"/>
                <w:szCs w:val="18"/>
              </w:rPr>
              <w:t xml:space="preserve">  25%</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Founding Member Marketing &amp; Events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~$250</w:t>
            </w:r>
            <w:proofErr w:type="gramStart"/>
            <w:r>
              <w:rPr>
                <w:color w:val="1A1A1A"/>
                <w:sz w:val="18"/>
                <w:szCs w:val="18"/>
              </w:rPr>
              <w:t>K  ·</w:t>
            </w:r>
            <w:proofErr w:type="gramEnd"/>
            <w:r>
              <w:rPr>
                <w:color w:val="1A1A1A"/>
                <w:sz w:val="18"/>
                <w:szCs w:val="18"/>
              </w:rPr>
              <w:t xml:space="preserve">  20%</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Working Capital, Legal &amp; Compliance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~$188</w:t>
            </w:r>
            <w:proofErr w:type="gramStart"/>
            <w:r>
              <w:rPr>
                <w:color w:val="1A1A1A"/>
                <w:sz w:val="18"/>
                <w:szCs w:val="18"/>
              </w:rPr>
              <w:t>K  ·</w:t>
            </w:r>
            <w:proofErr w:type="gramEnd"/>
            <w:r>
              <w:rPr>
                <w:color w:val="1A1A1A"/>
                <w:sz w:val="18"/>
                <w:szCs w:val="18"/>
              </w:rPr>
              <w:t xml:space="preserve">  15%</w:t>
            </w:r>
          </w:p>
        </w:tc>
      </w:tr>
    </w:tbl>
    <w:p w:rsidR="00E22B82" w:rsidRDefault="00E22B82">
      <w:pPr>
        <w:spacing w:before="120" w:after="120"/>
      </w:pPr>
    </w:p>
    <w:p w:rsidR="00E22B82" w:rsidRPr="00CA1C7F" w:rsidRDefault="00000000">
      <w:pPr>
        <w:pStyle w:val="Heading1"/>
        <w:rPr>
          <w:rFonts w:ascii="Times New Roman" w:hAnsi="Times New Roman" w:cs="Times New Roman"/>
        </w:rPr>
      </w:pPr>
      <w:r w:rsidRPr="00CA1C7F">
        <w:rPr>
          <w:rFonts w:ascii="Times New Roman" w:hAnsi="Times New Roman" w:cs="Times New Roman"/>
        </w:rPr>
        <w:t>Investor Return Analysis</w:t>
      </w:r>
    </w:p>
    <w:p w:rsidR="00E22B82" w:rsidRPr="00CA1C7F" w:rsidRDefault="00000000" w:rsidP="00CA1C7F">
      <w:pPr>
        <w:spacing w:before="120" w:after="120"/>
        <w:jc w:val="both"/>
        <w:rPr>
          <w:rFonts w:ascii="Times New Roman" w:hAnsi="Times New Roman" w:cs="Times New Roman"/>
        </w:rPr>
      </w:pPr>
      <w:r w:rsidRPr="00CA1C7F">
        <w:rPr>
          <w:rFonts w:ascii="Times New Roman" w:hAnsi="Times New Roman" w:cs="Times New Roman"/>
          <w:color w:val="1A1A1A"/>
        </w:rPr>
        <w:t>The following projections are based on the revised Caveau financial model (2-advisor Year 1 staffing, reconciled revenue) across three scenarios. Exit multiples assume an acquisition or recapitalization at 9–12x EBITDA — conservative for a subscription business with 88–90% gross margins and a defensible physical asset base.</w:t>
      </w:r>
    </w:p>
    <w:p w:rsidR="00E22B82" w:rsidRDefault="00E22B82">
      <w:pPr>
        <w:spacing w:before="120" w:after="120"/>
      </w:pPr>
    </w:p>
    <w:p w:rsidR="00E22B82" w:rsidRDefault="00000000">
      <w:pPr>
        <w:spacing w:before="120" w:after="120"/>
      </w:pPr>
      <w:r>
        <w:rPr>
          <w:b/>
          <w:bCs/>
          <w:color w:val="1A1A1A"/>
        </w:rPr>
        <w:t>$1,250,000 Invested · $6,000,000 Pre-Money Cap · 20% Ownership</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600"/>
        <w:gridCol w:w="1560"/>
        <w:gridCol w:w="1800"/>
        <w:gridCol w:w="1800"/>
      </w:tblGrid>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SCENARIO</w:t>
            </w:r>
          </w:p>
        </w:tc>
        <w:tc>
          <w:tcPr>
            <w:tcW w:w="12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EXIT YEAR</w:t>
            </w:r>
          </w:p>
        </w:tc>
        <w:tc>
          <w:tcPr>
            <w:tcW w:w="16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EXIT VALUE</w:t>
            </w:r>
          </w:p>
        </w:tc>
        <w:tc>
          <w:tcPr>
            <w:tcW w:w="156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INVESTOR $</w:t>
            </w:r>
          </w:p>
        </w:tc>
        <w:tc>
          <w:tcPr>
            <w:tcW w:w="18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MOIC</w:t>
            </w:r>
          </w:p>
        </w:tc>
        <w:tc>
          <w:tcPr>
            <w:tcW w:w="18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EST. IRR</w:t>
            </w:r>
          </w:p>
        </w:tc>
      </w:tr>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2F7FD4"/>
                <w:sz w:val="18"/>
                <w:szCs w:val="18"/>
              </w:rPr>
              <w:t>Bear</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Year 5</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$9.0M</w:t>
            </w:r>
          </w:p>
        </w:tc>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$1.8M</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1A1A1A"/>
                <w:sz w:val="18"/>
                <w:szCs w:val="18"/>
              </w:rPr>
              <w:t>1.4x</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8%</w:t>
            </w:r>
          </w:p>
        </w:tc>
      </w:tr>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2F7FD4"/>
                <w:sz w:val="18"/>
                <w:szCs w:val="18"/>
              </w:rPr>
              <w:t>Bear</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Year 10</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$17.0M</w:t>
            </w:r>
          </w:p>
        </w:tc>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$3.4M</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1A1A1A"/>
                <w:sz w:val="18"/>
                <w:szCs w:val="18"/>
              </w:rPr>
              <w:t>2.7x</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11%</w:t>
            </w:r>
          </w:p>
        </w:tc>
      </w:tr>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C9A84C"/>
                <w:sz w:val="18"/>
                <w:szCs w:val="18"/>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Year 5</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$45.0M</w:t>
            </w:r>
          </w:p>
        </w:tc>
        <w:tc>
          <w:tcPr>
            <w:tcW w:w="1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$9.0M</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1A1A1A"/>
                <w:sz w:val="18"/>
                <w:szCs w:val="18"/>
              </w:rPr>
              <w:t>7.2x</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48%</w:t>
            </w:r>
          </w:p>
        </w:tc>
      </w:tr>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C9A84C"/>
                <w:sz w:val="18"/>
                <w:szCs w:val="18"/>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Year 10</w:t>
            </w:r>
          </w:p>
        </w:tc>
        <w:tc>
          <w:tcPr>
            <w:tcW w:w="16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$105.0M</w:t>
            </w:r>
          </w:p>
        </w:tc>
        <w:tc>
          <w:tcPr>
            <w:tcW w:w="1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$21.0M</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1A1A1A"/>
                <w:sz w:val="18"/>
                <w:szCs w:val="18"/>
              </w:rPr>
              <w:t>16.8x</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32%</w:t>
            </w:r>
          </w:p>
        </w:tc>
      </w:tr>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2E7D52"/>
                <w:sz w:val="18"/>
                <w:szCs w:val="18"/>
              </w:rPr>
              <w:t>Bull</w:t>
            </w:r>
          </w:p>
        </w:tc>
        <w:tc>
          <w:tcPr>
            <w:tcW w:w="12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Year 5</w:t>
            </w:r>
          </w:p>
        </w:tc>
        <w:tc>
          <w:tcPr>
            <w:tcW w:w="16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$150.0M</w:t>
            </w:r>
          </w:p>
        </w:tc>
        <w:tc>
          <w:tcPr>
            <w:tcW w:w="15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$30.0M</w:t>
            </w:r>
          </w:p>
        </w:tc>
        <w:tc>
          <w:tcPr>
            <w:tcW w:w="18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1A1A1A"/>
                <w:sz w:val="18"/>
                <w:szCs w:val="18"/>
              </w:rPr>
              <w:t>24.0x</w:t>
            </w:r>
          </w:p>
        </w:tc>
        <w:tc>
          <w:tcPr>
            <w:tcW w:w="18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89%</w:t>
            </w:r>
          </w:p>
        </w:tc>
      </w:tr>
      <w:tr w:rsidR="00E22B8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2E7D52"/>
                <w:sz w:val="18"/>
                <w:szCs w:val="18"/>
              </w:rPr>
              <w:t>Bull</w:t>
            </w:r>
          </w:p>
        </w:tc>
        <w:tc>
          <w:tcPr>
            <w:tcW w:w="12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Year 10</w:t>
            </w:r>
          </w:p>
        </w:tc>
        <w:tc>
          <w:tcPr>
            <w:tcW w:w="16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$380.0M</w:t>
            </w:r>
          </w:p>
        </w:tc>
        <w:tc>
          <w:tcPr>
            <w:tcW w:w="15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$76.0M</w:t>
            </w:r>
          </w:p>
        </w:tc>
        <w:tc>
          <w:tcPr>
            <w:tcW w:w="18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1A1A1A"/>
                <w:sz w:val="18"/>
                <w:szCs w:val="18"/>
              </w:rPr>
              <w:t>60.8x</w:t>
            </w:r>
          </w:p>
        </w:tc>
        <w:tc>
          <w:tcPr>
            <w:tcW w:w="18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51%</w:t>
            </w:r>
          </w:p>
        </w:tc>
      </w:tr>
    </w:tbl>
    <w:p w:rsidR="00E22B82" w:rsidRDefault="00E22B82">
      <w:pPr>
        <w:spacing w:before="120" w:after="120"/>
      </w:pPr>
    </w:p>
    <w:p w:rsidR="00CA1C7F" w:rsidRDefault="00CA1C7F" w:rsidP="00CA1C7F">
      <w:pPr>
        <w:spacing w:before="120" w:after="120"/>
        <w:jc w:val="both"/>
        <w:rPr>
          <w:i/>
          <w:iCs/>
          <w:color w:val="555555"/>
          <w:sz w:val="18"/>
          <w:szCs w:val="18"/>
        </w:rPr>
      </w:pPr>
    </w:p>
    <w:p w:rsidR="00CA1C7F" w:rsidRDefault="00CA1C7F" w:rsidP="00CA1C7F">
      <w:pPr>
        <w:spacing w:before="120" w:after="120"/>
        <w:jc w:val="both"/>
        <w:rPr>
          <w:i/>
          <w:iCs/>
          <w:color w:val="555555"/>
          <w:sz w:val="18"/>
          <w:szCs w:val="18"/>
        </w:rPr>
      </w:pPr>
    </w:p>
    <w:p w:rsidR="00CA1C7F" w:rsidRDefault="00CA1C7F" w:rsidP="00CA1C7F">
      <w:pPr>
        <w:spacing w:before="120" w:after="120"/>
        <w:jc w:val="both"/>
        <w:rPr>
          <w:i/>
          <w:iCs/>
          <w:color w:val="555555"/>
          <w:sz w:val="18"/>
          <w:szCs w:val="18"/>
        </w:rPr>
      </w:pPr>
    </w:p>
    <w:p w:rsidR="00CA1C7F" w:rsidRDefault="00CA1C7F" w:rsidP="00CA1C7F">
      <w:pPr>
        <w:spacing w:before="120" w:after="120"/>
        <w:jc w:val="both"/>
        <w:rPr>
          <w:i/>
          <w:iCs/>
          <w:color w:val="555555"/>
          <w:sz w:val="18"/>
          <w:szCs w:val="18"/>
        </w:rPr>
      </w:pPr>
    </w:p>
    <w:p w:rsidR="00E22B82" w:rsidRDefault="00000000" w:rsidP="00CA1C7F">
      <w:pPr>
        <w:spacing w:before="120" w:after="120"/>
        <w:jc w:val="both"/>
      </w:pPr>
      <w:r>
        <w:rPr>
          <w:i/>
          <w:iCs/>
          <w:color w:val="555555"/>
          <w:sz w:val="18"/>
          <w:szCs w:val="18"/>
        </w:rPr>
        <w:t>Note: Projections assume a clean exit at the stated year. Bear/Base/Bull scenarios use revised Year 1 revenue of $308K/$620K/$985K respectively, with 3-role staffing ($285K: Head Sommelier $100K + Vault Ops Manager $75K + MSC FT $75K + MSC PT $35K). Exit multiples of 9–12x EBITDA are conservative for a subscription SaaS/physical services hybrid. Verify all projections with a CPA before investor distribution.</w:t>
      </w:r>
    </w:p>
    <w:p w:rsidR="00E22B82" w:rsidRPr="00CA1C7F" w:rsidRDefault="00000000">
      <w:pPr>
        <w:spacing w:before="200" w:after="80"/>
        <w:rPr>
          <w:rFonts w:ascii="Times New Roman" w:hAnsi="Times New Roman" w:cs="Times New Roman"/>
        </w:rPr>
      </w:pPr>
      <w:r w:rsidRPr="00CA1C7F">
        <w:rPr>
          <w:rFonts w:ascii="Times New Roman" w:hAnsi="Times New Roman" w:cs="Times New Roman"/>
          <w:b/>
          <w:color w:val="C9A84C"/>
        </w:rPr>
        <w:lastRenderedPageBreak/>
        <w:t>Investor Return Analysis — Base Case ($1.85M at $7M cap)</w:t>
      </w:r>
    </w:p>
    <w:p w:rsidR="00E22B82" w:rsidRPr="00CA1C7F" w:rsidRDefault="00000000" w:rsidP="00CA1C7F">
      <w:pPr>
        <w:spacing w:before="60" w:after="60"/>
        <w:jc w:val="both"/>
        <w:rPr>
          <w:rFonts w:ascii="Times New Roman" w:hAnsi="Times New Roman" w:cs="Times New Roman"/>
        </w:rPr>
      </w:pPr>
      <w:r w:rsidRPr="00CA1C7F">
        <w:rPr>
          <w:rFonts w:ascii="Times New Roman" w:hAnsi="Times New Roman" w:cs="Times New Roman"/>
        </w:rPr>
        <w:t xml:space="preserve">At the $1.85M midpoint raise against a $7M valuation cap, SAFE investors convert to approximately 21% ownership. Using the 9–12× EBITDA exit multiples applied elsewhere in this </w:t>
      </w:r>
      <w:r w:rsidR="00CA1C7F" w:rsidRPr="00CA1C7F">
        <w:rPr>
          <w:rFonts w:ascii="Times New Roman" w:hAnsi="Times New Roman" w:cs="Times New Roman"/>
        </w:rPr>
        <w:t>document;</w:t>
      </w:r>
      <w:r w:rsidRPr="00CA1C7F">
        <w:rPr>
          <w:rFonts w:ascii="Times New Roman" w:hAnsi="Times New Roman" w:cs="Times New Roman"/>
        </w:rPr>
        <w:t xml:space="preserve"> projected investor returns are as follows:</w:t>
      </w:r>
    </w:p>
    <w:p w:rsidR="00CA1C7F" w:rsidRDefault="00CA1C7F" w:rsidP="00CA1C7F">
      <w:pPr>
        <w:spacing w:before="40" w:after="40"/>
        <w:jc w:val="both"/>
        <w:rPr>
          <w:rFonts w:ascii="Times New Roman" w:hAnsi="Times New Roman" w:cs="Times New Roman"/>
          <w:b/>
        </w:rPr>
      </w:pPr>
    </w:p>
    <w:p w:rsidR="00E22B82" w:rsidRPr="00CA1C7F" w:rsidRDefault="00000000" w:rsidP="00CA1C7F">
      <w:pPr>
        <w:spacing w:before="40" w:after="40"/>
        <w:jc w:val="both"/>
        <w:rPr>
          <w:rFonts w:ascii="Times New Roman" w:hAnsi="Times New Roman" w:cs="Times New Roman"/>
          <w:bCs/>
        </w:rPr>
      </w:pPr>
      <w:r w:rsidRPr="00CA1C7F">
        <w:rPr>
          <w:rFonts w:ascii="Times New Roman" w:hAnsi="Times New Roman" w:cs="Times New Roman"/>
          <w:bCs/>
        </w:rPr>
        <w:t>Year 5 Base Case: EBITDA $4.9M — Exit value $44M–$59M — Investor share $9.3M–$12.3M — Return 5.0×–6.7×</w:t>
      </w:r>
    </w:p>
    <w:p w:rsidR="00E22B82" w:rsidRPr="00CA1C7F" w:rsidRDefault="00000000" w:rsidP="00CA1C7F">
      <w:pPr>
        <w:spacing w:before="40" w:after="40"/>
        <w:jc w:val="both"/>
        <w:rPr>
          <w:rFonts w:ascii="Times New Roman" w:hAnsi="Times New Roman" w:cs="Times New Roman"/>
          <w:bCs/>
        </w:rPr>
      </w:pPr>
      <w:r w:rsidRPr="00CA1C7F">
        <w:rPr>
          <w:rFonts w:ascii="Times New Roman" w:hAnsi="Times New Roman" w:cs="Times New Roman"/>
          <w:bCs/>
        </w:rPr>
        <w:t>Year 10 Base Case: EBITDA $11.6M — Exit value $104M–$139M — Investor share $21.9M–$29.2M — Return 11.8×–15.8×</w:t>
      </w:r>
    </w:p>
    <w:p w:rsidR="00E22B82" w:rsidRPr="00CA1C7F" w:rsidRDefault="00000000" w:rsidP="00CA1C7F">
      <w:pPr>
        <w:spacing w:before="40" w:after="40"/>
        <w:jc w:val="both"/>
        <w:rPr>
          <w:rFonts w:ascii="Times New Roman" w:hAnsi="Times New Roman" w:cs="Times New Roman"/>
          <w:bCs/>
        </w:rPr>
      </w:pPr>
      <w:r w:rsidRPr="00CA1C7F">
        <w:rPr>
          <w:rFonts w:ascii="Times New Roman" w:hAnsi="Times New Roman" w:cs="Times New Roman"/>
          <w:bCs/>
        </w:rPr>
        <w:t>Bear case Year 5: EBITDA $1.0M — roughly breakeven to 1.3× return. Capital is not lost. Bull case Year 5: EBITDA $15.0M — exit $135M–$180M — investor share $28M–$38M — return 15×–20×.</w:t>
      </w:r>
    </w:p>
    <w:p w:rsidR="00CA1C7F" w:rsidRDefault="00CA1C7F" w:rsidP="00CA1C7F">
      <w:pPr>
        <w:spacing w:before="60" w:after="60"/>
        <w:jc w:val="both"/>
        <w:rPr>
          <w:rFonts w:ascii="Times New Roman" w:hAnsi="Times New Roman" w:cs="Times New Roman"/>
          <w:i/>
          <w:color w:val="555555"/>
        </w:rPr>
      </w:pPr>
    </w:p>
    <w:p w:rsidR="00E22B82" w:rsidRPr="00CA1C7F" w:rsidRDefault="00000000" w:rsidP="00CA1C7F">
      <w:pPr>
        <w:spacing w:before="60" w:after="60"/>
        <w:jc w:val="both"/>
        <w:rPr>
          <w:rFonts w:ascii="Times New Roman" w:hAnsi="Times New Roman" w:cs="Times New Roman"/>
        </w:rPr>
      </w:pPr>
      <w:r w:rsidRPr="00CA1C7F">
        <w:rPr>
          <w:rFonts w:ascii="Times New Roman" w:hAnsi="Times New Roman" w:cs="Times New Roman"/>
          <w:i/>
          <w:color w:val="555555"/>
        </w:rPr>
        <w:t>IMPORTANT: These return figures represent exit/acquisition proceeds only — what an acquirer would pay to buy Caveau at those EBITDA multiples. They do NOT include cumulative operating distributions or dividends from the business during the holding period, which would be additive. The operating revenue and EBITDA on slide 14 reflect business performance only, not exit value. A strategic buyer — a wealth management firm, Christie’s, Sotheby’s, an Amex Centurion-type concierge platform, or a private equity roll-up — would pay an acquisition multiple on top of the operating business performance. That is where the investor windfall is realized. These projections are Base Case. Verify with a CPA and securities counsel before distribution to investors.</w:t>
      </w:r>
    </w:p>
    <w:p w:rsidR="00CA1C7F" w:rsidRDefault="00CA1C7F" w:rsidP="00CA1C7F">
      <w:pPr>
        <w:spacing w:before="40" w:after="40"/>
        <w:jc w:val="both"/>
        <w:rPr>
          <w:rFonts w:ascii="Times New Roman" w:hAnsi="Times New Roman" w:cs="Times New Roman"/>
        </w:rPr>
      </w:pPr>
    </w:p>
    <w:p w:rsidR="00E22B82" w:rsidRPr="00CA1C7F" w:rsidRDefault="00000000" w:rsidP="00CA1C7F">
      <w:pPr>
        <w:spacing w:before="40" w:after="40"/>
        <w:jc w:val="both"/>
        <w:rPr>
          <w:rFonts w:ascii="Times New Roman" w:hAnsi="Times New Roman" w:cs="Times New Roman"/>
        </w:rPr>
      </w:pPr>
      <w:r w:rsidRPr="00CA1C7F">
        <w:rPr>
          <w:rFonts w:ascii="Times New Roman" w:hAnsi="Times New Roman" w:cs="Times New Roman"/>
        </w:rPr>
        <w:t xml:space="preserve">For HNW individual investors — </w:t>
      </w:r>
      <w:proofErr w:type="spellStart"/>
      <w:r w:rsidRPr="00CA1C7F">
        <w:rPr>
          <w:rFonts w:ascii="Times New Roman" w:hAnsi="Times New Roman" w:cs="Times New Roman"/>
        </w:rPr>
        <w:t>Caveau’s</w:t>
      </w:r>
      <w:proofErr w:type="spellEnd"/>
      <w:r w:rsidRPr="00CA1C7F">
        <w:rPr>
          <w:rFonts w:ascii="Times New Roman" w:hAnsi="Times New Roman" w:cs="Times New Roman"/>
        </w:rPr>
        <w:t xml:space="preserve"> target audience — the Base Case Year 5 return of 5×–6.7× significantly exceeds the standard benchmark of 3× in 5 years. The investment is in a business they can personally use, physically located in their community, with a founding member slot they can occupy. That combination of financial return and personal utility is rare.</w:t>
      </w:r>
    </w:p>
    <w:p w:rsidR="00E22B82" w:rsidRPr="00CA1C7F" w:rsidRDefault="00000000">
      <w:pPr>
        <w:spacing w:before="280" w:after="100"/>
        <w:rPr>
          <w:rFonts w:ascii="Times New Roman" w:hAnsi="Times New Roman" w:cs="Times New Roman"/>
        </w:rPr>
      </w:pPr>
      <w:r w:rsidRPr="00CA1C7F">
        <w:rPr>
          <w:rFonts w:ascii="Times New Roman" w:hAnsi="Times New Roman" w:cs="Times New Roman"/>
          <w:b/>
          <w:color w:val="C9A84C"/>
          <w:sz w:val="24"/>
          <w:szCs w:val="24"/>
        </w:rPr>
        <w:t>Strategic Acquirer Landscape — Who Would Buy Caveau and Why</w:t>
      </w:r>
    </w:p>
    <w:p w:rsidR="00E22B82" w:rsidRPr="00CA1C7F" w:rsidRDefault="00000000" w:rsidP="00CA1C7F">
      <w:pPr>
        <w:spacing w:before="60" w:after="60"/>
        <w:jc w:val="both"/>
        <w:rPr>
          <w:rFonts w:ascii="Times New Roman" w:hAnsi="Times New Roman" w:cs="Times New Roman"/>
        </w:rPr>
      </w:pPr>
      <w:r w:rsidRPr="00CA1C7F">
        <w:rPr>
          <w:rFonts w:ascii="Times New Roman" w:hAnsi="Times New Roman" w:cs="Times New Roman"/>
        </w:rPr>
        <w:t>The exit value for Caveau investors is not dependent on an IPO or a specific buyer. Multiple credible acquirer categories exist, each with a distinct strategic rationale for acquiring a fully operational luxury wine storage and investment platform with a proprietary IoT sensor, a documented member base, and defensible physical infrastructure in the highest-wealth-density market in the United States. Below is an analysis of the most likely acquirer categories, their motivations, and indicative acquisition valuation ranges.</w:t>
      </w:r>
    </w:p>
    <w:p w:rsidR="00E22B82" w:rsidRPr="00CA1C7F" w:rsidRDefault="00000000" w:rsidP="00CA1C7F">
      <w:pPr>
        <w:spacing w:before="180" w:after="80"/>
        <w:jc w:val="both"/>
        <w:rPr>
          <w:rFonts w:ascii="Times New Roman" w:hAnsi="Times New Roman" w:cs="Times New Roman"/>
        </w:rPr>
      </w:pPr>
      <w:r w:rsidRPr="00CA1C7F">
        <w:rPr>
          <w:rFonts w:ascii="Times New Roman" w:hAnsi="Times New Roman" w:cs="Times New Roman"/>
          <w:b/>
          <w:color w:val="1A3A5C"/>
        </w:rPr>
        <w:t xml:space="preserve">1. Auction Houses — Christie’s, Sotheby’s, Hart Davis Hart, Acker </w:t>
      </w:r>
      <w:proofErr w:type="spellStart"/>
      <w:r w:rsidRPr="00CA1C7F">
        <w:rPr>
          <w:rFonts w:ascii="Times New Roman" w:hAnsi="Times New Roman" w:cs="Times New Roman"/>
          <w:b/>
          <w:color w:val="1A3A5C"/>
        </w:rPr>
        <w:t>Merrall</w:t>
      </w:r>
      <w:proofErr w:type="spellEnd"/>
    </w:p>
    <w:p w:rsidR="00E22B82" w:rsidRPr="00CA1C7F" w:rsidRDefault="00000000" w:rsidP="00CA1C7F">
      <w:pPr>
        <w:spacing w:before="40" w:after="60"/>
        <w:jc w:val="both"/>
        <w:rPr>
          <w:rFonts w:ascii="Times New Roman" w:hAnsi="Times New Roman" w:cs="Times New Roman"/>
        </w:rPr>
      </w:pPr>
      <w:r w:rsidRPr="00CA1C7F">
        <w:rPr>
          <w:rFonts w:ascii="Times New Roman" w:hAnsi="Times New Roman" w:cs="Times New Roman"/>
        </w:rPr>
        <w:t>Auction houses are the most natural strategic buyer. Their core business is wine and luxury asset transactions — they earn commissions on every exit. Caveau members are their ideal client: documented, HNW, already transacting. What an auction house cannot build internally is: (1) recurring subscription revenue, (2) a physical storage network that creates custody chain documentation, (3) a proprietary sensor ecosystem with real-time IoT data, and (4) an AI advisory layer that increases exit frequency. Caveau delivers all four. Christie’s 2025 New York wine sale generated $28.8M from a single collection. If Caveau manages 500 members at $150K average collection value, that is $75M in Assets Under Custody — a meaningful pipeline for any auction house’s wine division. Indicative acquisition multiple: 10–14× EBITDA. Rationale for premium: recurring revenue, proprietary technology, and defensible member relationships not available through organic growth.</w:t>
      </w:r>
    </w:p>
    <w:p w:rsidR="00E22B82" w:rsidRPr="00CA1C7F" w:rsidRDefault="00000000" w:rsidP="00CA1C7F">
      <w:pPr>
        <w:spacing w:before="180" w:after="80"/>
        <w:jc w:val="both"/>
        <w:rPr>
          <w:rFonts w:ascii="Times New Roman" w:hAnsi="Times New Roman" w:cs="Times New Roman"/>
        </w:rPr>
      </w:pPr>
      <w:r w:rsidRPr="00CA1C7F">
        <w:rPr>
          <w:rFonts w:ascii="Times New Roman" w:hAnsi="Times New Roman" w:cs="Times New Roman"/>
          <w:b/>
          <w:color w:val="1A3A5C"/>
        </w:rPr>
        <w:t>2. Wealth Management Platforms — Morgan Stanley, UBS, Raymond James, Merrill Lynch</w:t>
      </w:r>
    </w:p>
    <w:p w:rsidR="00E22B82" w:rsidRPr="00CA1C7F" w:rsidRDefault="00000000" w:rsidP="00CA1C7F">
      <w:pPr>
        <w:spacing w:before="40" w:after="60"/>
        <w:jc w:val="both"/>
        <w:rPr>
          <w:rFonts w:ascii="Times New Roman" w:hAnsi="Times New Roman" w:cs="Times New Roman"/>
        </w:rPr>
      </w:pPr>
      <w:r w:rsidRPr="00CA1C7F">
        <w:rPr>
          <w:rFonts w:ascii="Times New Roman" w:hAnsi="Times New Roman" w:cs="Times New Roman"/>
        </w:rPr>
        <w:t xml:space="preserve">Major wealth managers are actively expanding into alternative asset management for HNW clients. Fine wine is now a recognized asset class with measurable returns, and their clients are asking for it. What they lack is operational infrastructure — they cannot store bottles, generate provenance documentation, or execute exits. Caveau solves this entirely. A wealth management firm acquiring Caveau gains: a white-label platform to offer wine asset management to their existing HNW client base, an additional fee layer on assets they already manage, and a differentiated service that attracts and retains ultra-HNW clients. The Florida market — particularly Naples — is one of the fastest-growing wealth management markets in the country due to the Illinois-to-Florida migration of HNW families. </w:t>
      </w:r>
      <w:r w:rsidRPr="00CA1C7F">
        <w:rPr>
          <w:rFonts w:ascii="Times New Roman" w:hAnsi="Times New Roman" w:cs="Times New Roman"/>
        </w:rPr>
        <w:lastRenderedPageBreak/>
        <w:t>Indicative acquisition multiple: 9–12× EBITDA plus a strategic premium for client base access and the Caveau Sentinel™ IoT patent portfolio.</w:t>
      </w:r>
    </w:p>
    <w:p w:rsidR="00E22B82" w:rsidRPr="00CA1C7F" w:rsidRDefault="00000000" w:rsidP="00CA1C7F">
      <w:pPr>
        <w:spacing w:before="180" w:after="80"/>
        <w:jc w:val="both"/>
        <w:rPr>
          <w:rFonts w:ascii="Times New Roman" w:hAnsi="Times New Roman" w:cs="Times New Roman"/>
        </w:rPr>
      </w:pPr>
      <w:r w:rsidRPr="00CA1C7F">
        <w:rPr>
          <w:rFonts w:ascii="Times New Roman" w:hAnsi="Times New Roman" w:cs="Times New Roman"/>
          <w:b/>
          <w:color w:val="1A3A5C"/>
        </w:rPr>
        <w:t>3. Luxury Concierge Platforms — Amex Centurion, Quintessentially, Knightsbridge Circle</w:t>
      </w:r>
    </w:p>
    <w:p w:rsidR="00E22B82" w:rsidRPr="00CA1C7F" w:rsidRDefault="00000000" w:rsidP="00CA1C7F">
      <w:pPr>
        <w:spacing w:before="40" w:after="60"/>
        <w:jc w:val="both"/>
        <w:rPr>
          <w:rFonts w:ascii="Times New Roman" w:hAnsi="Times New Roman" w:cs="Times New Roman"/>
        </w:rPr>
      </w:pPr>
      <w:r w:rsidRPr="00CA1C7F">
        <w:rPr>
          <w:rFonts w:ascii="Times New Roman" w:hAnsi="Times New Roman" w:cs="Times New Roman"/>
        </w:rPr>
        <w:t>Ultra-luxury concierge platforms compete for wallet share from the same demographic Caveau serves. American Express Centurion, for example, offers bespoke services to clients who spend $250,000+ annually on the Centurion card. Wine collection management is a natural extension of their lifestyle offering but is operationally outside their core competency. Acquiring Caveau gives a concierge platform a fully operational, technology-forward wine division with proprietary hardware, physical infrastructure, and a ready member base — all without the 3–</w:t>
      </w:r>
      <w:proofErr w:type="gramStart"/>
      <w:r w:rsidRPr="00CA1C7F">
        <w:rPr>
          <w:rFonts w:ascii="Times New Roman" w:hAnsi="Times New Roman" w:cs="Times New Roman"/>
        </w:rPr>
        <w:t>5 year</w:t>
      </w:r>
      <w:proofErr w:type="gramEnd"/>
      <w:r w:rsidRPr="00CA1C7F">
        <w:rPr>
          <w:rFonts w:ascii="Times New Roman" w:hAnsi="Times New Roman" w:cs="Times New Roman"/>
        </w:rPr>
        <w:t xml:space="preserve"> build timeline. Quintessentially and similar ultra-HNW service firms have made acquisitions in adjacent luxury verticals for exactly this reason. Indicative acquisition multiple: 11–15× EBITDA. These buyers typically pay a revenue multiple rather than EBITDA for platforms with strong member retention and recurring revenue.</w:t>
      </w:r>
    </w:p>
    <w:p w:rsidR="00E22B82" w:rsidRPr="00CA1C7F" w:rsidRDefault="00000000" w:rsidP="00CA1C7F">
      <w:pPr>
        <w:spacing w:before="180" w:after="80"/>
        <w:jc w:val="both"/>
        <w:rPr>
          <w:rFonts w:ascii="Times New Roman" w:hAnsi="Times New Roman" w:cs="Times New Roman"/>
        </w:rPr>
      </w:pPr>
      <w:r w:rsidRPr="00CA1C7F">
        <w:rPr>
          <w:rFonts w:ascii="Times New Roman" w:hAnsi="Times New Roman" w:cs="Times New Roman"/>
          <w:b/>
          <w:color w:val="1A3A5C"/>
        </w:rPr>
        <w:t>4. Fine Wine Merchants and Storage Operators — Bordeaux Index, Cult Wines, Iron Gate, Farr Vintners</w:t>
      </w:r>
    </w:p>
    <w:p w:rsidR="00E22B82" w:rsidRPr="00CA1C7F" w:rsidRDefault="00000000" w:rsidP="00CA1C7F">
      <w:pPr>
        <w:spacing w:before="40" w:after="60"/>
        <w:jc w:val="both"/>
        <w:rPr>
          <w:rFonts w:ascii="Times New Roman" w:hAnsi="Times New Roman" w:cs="Times New Roman"/>
        </w:rPr>
      </w:pPr>
      <w:r w:rsidRPr="00CA1C7F">
        <w:rPr>
          <w:rFonts w:ascii="Times New Roman" w:hAnsi="Times New Roman" w:cs="Times New Roman"/>
        </w:rPr>
        <w:t>Established fine wine investment firms — particularly UK-based operators like Bordeaux Index and Cult Wines — have been actively expanding into the US market and seeking platforms with US HNW collector bases. Bordeaux Index’s My Portfolio tool is their attempt at a similar offering, but they have no US physical infrastructure, no US storage network, and no proprietary hardware. Acquiring Caveau gives them immediate US market entry, a proven member base in the highest-net-worth US market, and a technology and hardware platform that would take years to replicate. Cult Wines manages over $100M in wine assets and has been vocal about US expansion. Indicative acquisition multiple: 9–12× EBITDA, with additional value assigned to the Caveau Sentinel™ patent portfolio and the certified home cellar installer network as standalone IP assets.</w:t>
      </w:r>
    </w:p>
    <w:p w:rsidR="00E22B82" w:rsidRPr="00CA1C7F" w:rsidRDefault="00000000" w:rsidP="00CA1C7F">
      <w:pPr>
        <w:spacing w:before="180" w:after="80"/>
        <w:jc w:val="both"/>
        <w:rPr>
          <w:rFonts w:ascii="Times New Roman" w:hAnsi="Times New Roman" w:cs="Times New Roman"/>
        </w:rPr>
      </w:pPr>
      <w:r w:rsidRPr="00CA1C7F">
        <w:rPr>
          <w:rFonts w:ascii="Times New Roman" w:hAnsi="Times New Roman" w:cs="Times New Roman"/>
          <w:b/>
          <w:color w:val="1A3A5C"/>
        </w:rPr>
        <w:t>5. Private Equity Roll-Up — Luxury Asset Management Consolidation</w:t>
      </w:r>
    </w:p>
    <w:p w:rsidR="00E22B82" w:rsidRPr="00CA1C7F" w:rsidRDefault="00000000" w:rsidP="00CA1C7F">
      <w:pPr>
        <w:spacing w:before="40" w:after="60"/>
        <w:jc w:val="both"/>
        <w:rPr>
          <w:rFonts w:ascii="Times New Roman" w:hAnsi="Times New Roman" w:cs="Times New Roman"/>
        </w:rPr>
      </w:pPr>
      <w:r w:rsidRPr="00CA1C7F">
        <w:rPr>
          <w:rFonts w:ascii="Times New Roman" w:hAnsi="Times New Roman" w:cs="Times New Roman"/>
        </w:rPr>
        <w:t>Private equity firms focused on luxury alternative assets and subscription businesses represent a financial buyer category. A PE firm building a portfolio of luxury asset management platforms — art, wine, classic cars, watches — would view Caveau as the anchor of a wine vertical with multi-city expansion potential. The recurring subscription revenue, 88–94% gross margins, and physical asset base make Caveau an attractive platform for a PE roll-up strategy. Firms like Permira (which owns Hugo Boss and other luxury brands), KKR’s consumer division, or mid-market PE firms focused on the HNW services space would be natural fits. A PE buyer typically acquires at 8–10× EBITDA and grows through tuck-in acquisitions, geographic expansion, and operational leverage. Indicative timeline: Years 5–7.</w:t>
      </w:r>
    </w:p>
    <w:p w:rsidR="00E22B82" w:rsidRPr="00CA1C7F" w:rsidRDefault="00000000" w:rsidP="00CA1C7F">
      <w:pPr>
        <w:spacing w:before="180" w:after="80"/>
        <w:jc w:val="both"/>
        <w:rPr>
          <w:rFonts w:ascii="Times New Roman" w:hAnsi="Times New Roman" w:cs="Times New Roman"/>
        </w:rPr>
      </w:pPr>
      <w:r w:rsidRPr="00CA1C7F">
        <w:rPr>
          <w:rFonts w:ascii="Times New Roman" w:hAnsi="Times New Roman" w:cs="Times New Roman"/>
          <w:b/>
          <w:color w:val="C9A84C"/>
        </w:rPr>
        <w:t>Acquisition Value Summary — Base Case Year 5</w:t>
      </w:r>
    </w:p>
    <w:p w:rsidR="00E22B82" w:rsidRPr="00CA1C7F" w:rsidRDefault="00000000" w:rsidP="00CA1C7F">
      <w:pPr>
        <w:spacing w:before="40" w:after="60"/>
        <w:jc w:val="both"/>
        <w:rPr>
          <w:rFonts w:ascii="Times New Roman" w:hAnsi="Times New Roman" w:cs="Times New Roman"/>
        </w:rPr>
      </w:pPr>
      <w:r w:rsidRPr="00CA1C7F">
        <w:rPr>
          <w:rFonts w:ascii="Times New Roman" w:hAnsi="Times New Roman" w:cs="Times New Roman"/>
        </w:rPr>
        <w:t>At Year 5 Base Case EBITDA of $4.9M, and applying the acquirer-specific multiples above, indicative acquisition values range from $44M (conservative 9× PE multiple) to $74M (15× luxury concierge premium). At 21% investor ownership, that produces investor proceeds of $9.2M to $15.5M on a $1.85M investment — a 5.0× to 8.4× return at exit. At Year 10 Base Case EBITDA of $11.6M, the range is $104M to $174M — investor proceeds of $21.8M to $36.5M. The Caveau Sentinel™ patent portfolio and the certified home cellar installer network represent additional IP value above and beyond the EBITDA multiple that a strategic buyer would assign separately. These are not included in the projections above and represent upside. Note: All figures are pre-tax estimates. Verify with a CPA and M&amp;A counsel before investor distribution.</w:t>
      </w:r>
    </w:p>
    <w:p w:rsidR="00E22B82" w:rsidRPr="00CA1C7F" w:rsidRDefault="00E22B82">
      <w:pPr>
        <w:spacing w:before="120" w:after="120"/>
        <w:rPr>
          <w:rFonts w:ascii="Times New Roman" w:hAnsi="Times New Roman" w:cs="Times New Roman"/>
        </w:rPr>
      </w:pPr>
    </w:p>
    <w:p w:rsidR="00CA1C7F" w:rsidRDefault="00CA1C7F">
      <w:pPr>
        <w:pStyle w:val="Heading1"/>
        <w:rPr>
          <w:rFonts w:ascii="Times New Roman" w:hAnsi="Times New Roman" w:cs="Times New Roman"/>
        </w:rPr>
      </w:pPr>
    </w:p>
    <w:p w:rsidR="00CA1C7F" w:rsidRDefault="00CA1C7F">
      <w:pPr>
        <w:pStyle w:val="Heading1"/>
        <w:rPr>
          <w:rFonts w:ascii="Times New Roman" w:hAnsi="Times New Roman" w:cs="Times New Roman"/>
        </w:rPr>
      </w:pPr>
    </w:p>
    <w:p w:rsidR="00CA1C7F" w:rsidRDefault="00CA1C7F">
      <w:pPr>
        <w:pStyle w:val="Heading1"/>
        <w:rPr>
          <w:rFonts w:ascii="Times New Roman" w:hAnsi="Times New Roman" w:cs="Times New Roman"/>
        </w:rPr>
      </w:pPr>
    </w:p>
    <w:p w:rsidR="00E22B82" w:rsidRPr="00CA1C7F" w:rsidRDefault="00000000">
      <w:pPr>
        <w:pStyle w:val="Heading1"/>
        <w:rPr>
          <w:rFonts w:ascii="Times New Roman" w:hAnsi="Times New Roman" w:cs="Times New Roman"/>
        </w:rPr>
      </w:pPr>
      <w:r w:rsidRPr="00CA1C7F">
        <w:rPr>
          <w:rFonts w:ascii="Times New Roman" w:hAnsi="Times New Roman" w:cs="Times New Roman"/>
        </w:rPr>
        <w:lastRenderedPageBreak/>
        <w:t>Post-Close Cap Table</w:t>
      </w:r>
    </w:p>
    <w:p w:rsidR="00E22B82" w:rsidRPr="00CA1C7F" w:rsidRDefault="00000000">
      <w:pPr>
        <w:spacing w:before="120" w:after="120"/>
        <w:rPr>
          <w:rFonts w:ascii="Times New Roman" w:hAnsi="Times New Roman" w:cs="Times New Roman"/>
        </w:rPr>
      </w:pPr>
      <w:r w:rsidRPr="00CA1C7F">
        <w:rPr>
          <w:rFonts w:ascii="Times New Roman" w:hAnsi="Times New Roman" w:cs="Times New Roman"/>
          <w:color w:val="1A1A1A"/>
        </w:rPr>
        <w:t>The following illustrates ownership structure at close of the $1,250,000 seed round at a $6,000,000 pre-money valuation.</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E22B8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STAKEHOLDER</w:t>
            </w:r>
          </w:p>
        </w:tc>
        <w:tc>
          <w:tcPr>
            <w:tcW w:w="208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SHARES</w:t>
            </w:r>
          </w:p>
        </w:tc>
        <w:tc>
          <w:tcPr>
            <w:tcW w:w="208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OWNERSHIP %</w:t>
            </w:r>
          </w:p>
        </w:tc>
        <w:tc>
          <w:tcPr>
            <w:tcW w:w="208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NOTE</w:t>
            </w:r>
          </w:p>
        </w:tc>
      </w:tr>
      <w:tr w:rsidR="00E22B8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Rob Saenz (Founder)</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7,625,000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b/>
                <w:bCs/>
                <w:color w:val="1A1A1A"/>
                <w:sz w:val="18"/>
                <w:szCs w:val="18"/>
              </w:rPr>
              <w:t>76.25%</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555555"/>
                <w:sz w:val="18"/>
                <w:szCs w:val="18"/>
              </w:rPr>
              <w:t>4-yr vest from founding</w:t>
            </w:r>
          </w:p>
        </w:tc>
      </w:tr>
      <w:tr w:rsidR="00E22B8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Seed Investors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2,000,000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b/>
                <w:bCs/>
                <w:color w:val="1A1A1A"/>
                <w:sz w:val="18"/>
                <w:szCs w:val="18"/>
              </w:rPr>
              <w:t>20.00%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555555"/>
                <w:sz w:val="18"/>
                <w:szCs w:val="18"/>
              </w:rPr>
              <w:t>$6–8M valuation cap</w:t>
            </w:r>
          </w:p>
        </w:tc>
      </w:tr>
      <w:tr w:rsidR="00E22B8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Head Sommelier</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125,000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b/>
                <w:bCs/>
                <w:color w:val="1A1A1A"/>
                <w:sz w:val="18"/>
                <w:szCs w:val="18"/>
              </w:rPr>
              <w:t>1.25%</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555555"/>
                <w:sz w:val="18"/>
                <w:szCs w:val="18"/>
              </w:rPr>
              <w:t>4-yr vest, 1-yr cliff</w:t>
            </w:r>
          </w:p>
        </w:tc>
      </w:tr>
      <w:tr w:rsidR="00E22B8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Option Pool</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1A1A1A"/>
                <w:sz w:val="18"/>
                <w:szCs w:val="18"/>
              </w:rPr>
              <w:t>250,000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b/>
                <w:bCs/>
                <w:color w:val="1A1A1A"/>
                <w:sz w:val="18"/>
                <w:szCs w:val="18"/>
              </w:rPr>
              <w:t>2.50%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E22B82" w:rsidRDefault="00000000">
            <w:r>
              <w:rPr>
                <w:color w:val="555555"/>
                <w:sz w:val="18"/>
                <w:szCs w:val="18"/>
              </w:rPr>
              <w:t>Reserved for future hires</w:t>
            </w:r>
          </w:p>
        </w:tc>
      </w:tr>
      <w:tr w:rsidR="00E22B8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10,000,000</w:t>
            </w:r>
          </w:p>
        </w:tc>
        <w:tc>
          <w:tcPr>
            <w:tcW w:w="208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C9A84C"/>
                <w:sz w:val="18"/>
                <w:szCs w:val="18"/>
              </w:rPr>
              <w:t>100.00%</w:t>
            </w:r>
          </w:p>
        </w:tc>
        <w:tc>
          <w:tcPr>
            <w:tcW w:w="208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E22B82"/>
        </w:tc>
      </w:tr>
    </w:tbl>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40" w:after="40"/>
            </w:pPr>
            <w:r>
              <w:rPr>
                <w:color w:val="555555"/>
                <w:sz w:val="19"/>
                <w:szCs w:val="19"/>
              </w:rPr>
              <w:t>Share counts are illustrative. Actual share structure to be set at incorporation with Delaware counsel. Rob Saenz retains majority control (76.25%) post-close. Option pool reserved for engineering, operations, and future advisors.</w:t>
            </w:r>
          </w:p>
        </w:tc>
      </w:tr>
    </w:tbl>
    <w:p w:rsidR="00E22B82" w:rsidRDefault="00E22B82">
      <w:pPr>
        <w:spacing w:before="120" w:after="120"/>
      </w:pPr>
    </w:p>
    <w:p w:rsidR="00E22B82" w:rsidRPr="00CA1C7F" w:rsidRDefault="00000000">
      <w:pPr>
        <w:pStyle w:val="Heading1"/>
        <w:rPr>
          <w:rFonts w:ascii="Times New Roman" w:hAnsi="Times New Roman" w:cs="Times New Roman"/>
        </w:rPr>
      </w:pPr>
      <w:r w:rsidRPr="00CA1C7F">
        <w:rPr>
          <w:rFonts w:ascii="Times New Roman" w:hAnsi="Times New Roman" w:cs="Times New Roman"/>
        </w:rPr>
        <w:t>Head Sommelier Compensation Structure</w:t>
      </w:r>
    </w:p>
    <w:p w:rsidR="00E22B82" w:rsidRPr="00CA1C7F" w:rsidRDefault="00000000" w:rsidP="00CA1C7F">
      <w:pPr>
        <w:spacing w:before="120" w:after="120"/>
        <w:jc w:val="both"/>
        <w:rPr>
          <w:rFonts w:ascii="Times New Roman" w:hAnsi="Times New Roman" w:cs="Times New Roman"/>
        </w:rPr>
      </w:pPr>
      <w:r w:rsidRPr="00CA1C7F">
        <w:rPr>
          <w:rFonts w:ascii="Times New Roman" w:hAnsi="Times New Roman" w:cs="Times New Roman"/>
          <w:color w:val="1A1A1A"/>
        </w:rPr>
        <w:t>The Head Sommelier is a mission-critical hire — the face of the Caveau wine story, event curator, member advisor, and credibility anchor for insurance and exit conversations. This role answers the investor question 'who has built this before?' by bringing hospitality, certification, and collector-relationship experience to the founding team.</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Base Salary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$100,000/year</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Title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Head of Cellar &amp; Wine Experience</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Equity Grant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1.25% (+ 0.25% performance kicker = 1.50% max)</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Vesting Schedule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4-year vest, 1-year cliff</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Performance Kicker Trigger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50%+ of Year 1 founding member sign-ups attributable to wine events</w:t>
            </w:r>
          </w:p>
        </w:tc>
      </w:tr>
      <w:tr w:rsidR="00E22B8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b/>
                <w:bCs/>
                <w:color w:val="0B1220"/>
                <w:sz w:val="18"/>
                <w:szCs w:val="18"/>
              </w:rPr>
              <w:t>Credentials Target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2B82" w:rsidRDefault="00000000">
            <w:r>
              <w:rPr>
                <w:color w:val="1A1A1A"/>
                <w:sz w:val="18"/>
                <w:szCs w:val="18"/>
              </w:rPr>
              <w:t>WSET Level 4 minimum; Certified Sommelier preferred</w:t>
            </w:r>
          </w:p>
        </w:tc>
      </w:tr>
    </w:tbl>
    <w:p w:rsidR="00E22B82" w:rsidRDefault="00E22B82">
      <w:pPr>
        <w:spacing w:before="120" w:after="120"/>
      </w:pPr>
    </w:p>
    <w:p w:rsidR="00CA1C7F" w:rsidRDefault="00CA1C7F">
      <w:pPr>
        <w:pStyle w:val="Heading2"/>
        <w:rPr>
          <w:rFonts w:ascii="Times New Roman" w:hAnsi="Times New Roman" w:cs="Times New Roman"/>
        </w:rPr>
      </w:pPr>
    </w:p>
    <w:p w:rsidR="00CA1C7F" w:rsidRDefault="00CA1C7F">
      <w:pPr>
        <w:pStyle w:val="Heading2"/>
        <w:rPr>
          <w:rFonts w:ascii="Times New Roman" w:hAnsi="Times New Roman" w:cs="Times New Roman"/>
        </w:rPr>
      </w:pPr>
    </w:p>
    <w:p w:rsidR="00CA1C7F" w:rsidRDefault="00CA1C7F">
      <w:pPr>
        <w:pStyle w:val="Heading2"/>
        <w:rPr>
          <w:rFonts w:ascii="Times New Roman" w:hAnsi="Times New Roman" w:cs="Times New Roman"/>
        </w:rPr>
      </w:pPr>
    </w:p>
    <w:p w:rsidR="00CA1C7F" w:rsidRDefault="00CA1C7F">
      <w:pPr>
        <w:pStyle w:val="Heading2"/>
        <w:rPr>
          <w:rFonts w:ascii="Times New Roman" w:hAnsi="Times New Roman" w:cs="Times New Roman"/>
        </w:rPr>
      </w:pPr>
    </w:p>
    <w:p w:rsidR="00CA1C7F" w:rsidRDefault="00CA1C7F">
      <w:pPr>
        <w:pStyle w:val="Heading2"/>
        <w:rPr>
          <w:rFonts w:ascii="Times New Roman" w:hAnsi="Times New Roman" w:cs="Times New Roman"/>
        </w:rPr>
      </w:pPr>
    </w:p>
    <w:p w:rsidR="00E22B82" w:rsidRPr="00CA1C7F" w:rsidRDefault="00000000">
      <w:pPr>
        <w:pStyle w:val="Heading2"/>
        <w:rPr>
          <w:rFonts w:ascii="Times New Roman" w:hAnsi="Times New Roman" w:cs="Times New Roman"/>
        </w:rPr>
      </w:pPr>
      <w:r w:rsidRPr="00CA1C7F">
        <w:rPr>
          <w:rFonts w:ascii="Times New Roman" w:hAnsi="Times New Roman" w:cs="Times New Roman"/>
        </w:rPr>
        <w:lastRenderedPageBreak/>
        <w:t>Equity Value at 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400"/>
        <w:gridCol w:w="1800"/>
        <w:gridCol w:w="2200"/>
        <w:gridCol w:w="2400"/>
      </w:tblGrid>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EXIT YEAR</w:t>
            </w:r>
          </w:p>
        </w:tc>
        <w:tc>
          <w:tcPr>
            <w:tcW w:w="18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EQUITY VALUE</w:t>
            </w:r>
          </w:p>
        </w:tc>
        <w:tc>
          <w:tcPr>
            <w:tcW w:w="22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TOTAL CASH COMP</w:t>
            </w:r>
          </w:p>
        </w:tc>
        <w:tc>
          <w:tcPr>
            <w:tcW w:w="2400" w:type="dxa"/>
            <w:tcBorders>
              <w:top w:val="single" w:sz="1" w:space="0" w:color="CCCCCC"/>
              <w:left w:val="single" w:sz="1" w:space="0" w:color="CCCCCC"/>
              <w:bottom w:val="single" w:sz="1" w:space="0" w:color="CCCCCC"/>
              <w:right w:val="single" w:sz="1" w:space="0" w:color="CCCCCC"/>
            </w:tcBorders>
            <w:shd w:val="clear" w:color="auto" w:fill="0B1220"/>
            <w:tcMar>
              <w:top w:w="80" w:type="dxa"/>
              <w:left w:w="120" w:type="dxa"/>
              <w:bottom w:w="80" w:type="dxa"/>
              <w:right w:w="120" w:type="dxa"/>
            </w:tcMar>
            <w:vAlign w:val="center"/>
          </w:tcPr>
          <w:p w:rsidR="00E22B82" w:rsidRDefault="00000000">
            <w:r>
              <w:rPr>
                <w:b/>
                <w:bCs/>
                <w:color w:val="FFFFFF"/>
                <w:sz w:val="18"/>
                <w:szCs w:val="18"/>
              </w:rPr>
              <w:t>EQUITY PREMIUM</w:t>
            </w:r>
          </w:p>
        </w:tc>
      </w:tr>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2F7FD4"/>
                <w:sz w:val="18"/>
                <w:szCs w:val="18"/>
              </w:rPr>
              <w:t>Bear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Year 5</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1A1A1A"/>
                <w:sz w:val="18"/>
                <w:szCs w:val="18"/>
              </w:rPr>
              <w:t>$112K</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$425K</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1A1A1A"/>
                <w:sz w:val="18"/>
                <w:szCs w:val="18"/>
              </w:rPr>
              <w:t>+26%</w:t>
            </w:r>
          </w:p>
        </w:tc>
      </w:tr>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2F7FD4"/>
                <w:sz w:val="18"/>
                <w:szCs w:val="18"/>
              </w:rPr>
              <w:t>Bear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Year 10</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1A1A1A"/>
                <w:sz w:val="18"/>
                <w:szCs w:val="18"/>
              </w:rPr>
              <w:t>$213K</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color w:val="1A1A1A"/>
                <w:sz w:val="18"/>
                <w:szCs w:val="18"/>
              </w:rPr>
              <w:t>$850K</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vAlign w:val="center"/>
          </w:tcPr>
          <w:p w:rsidR="00E22B82" w:rsidRDefault="00000000">
            <w:r>
              <w:rPr>
                <w:b/>
                <w:bCs/>
                <w:color w:val="1A1A1A"/>
                <w:sz w:val="18"/>
                <w:szCs w:val="18"/>
              </w:rPr>
              <w:t>+25%</w:t>
            </w:r>
          </w:p>
        </w:tc>
      </w:tr>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C9A84C"/>
                <w:sz w:val="18"/>
                <w:szCs w:val="18"/>
              </w:rPr>
              <w:t>Base</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Year 5</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1A1A1A"/>
                <w:sz w:val="18"/>
                <w:szCs w:val="18"/>
              </w:rPr>
              <w:t>$563K</w:t>
            </w:r>
          </w:p>
        </w:t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$425K</w:t>
            </w:r>
          </w:p>
        </w:tc>
        <w:tc>
          <w:tcPr>
            <w:tcW w:w="2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C9A84C"/>
                <w:sz w:val="18"/>
                <w:szCs w:val="18"/>
              </w:rPr>
              <w:t>+132%</w:t>
            </w:r>
          </w:p>
        </w:tc>
      </w:tr>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C9A84C"/>
                <w:sz w:val="18"/>
                <w:szCs w:val="18"/>
              </w:rPr>
              <w:t>Base</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Year 10</w:t>
            </w:r>
          </w:p>
        </w:tc>
        <w:tc>
          <w:tcPr>
            <w:tcW w:w="18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1A1A1A"/>
                <w:sz w:val="18"/>
                <w:szCs w:val="18"/>
              </w:rPr>
              <w:t>$1.3M</w:t>
            </w:r>
          </w:p>
        </w:tc>
        <w:tc>
          <w:tcPr>
            <w:tcW w:w="22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color w:val="1A1A1A"/>
                <w:sz w:val="18"/>
                <w:szCs w:val="18"/>
              </w:rPr>
              <w:t>$850K</w:t>
            </w:r>
          </w:p>
        </w:tc>
        <w:tc>
          <w:tcPr>
            <w:tcW w:w="24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E22B82" w:rsidRDefault="00000000">
            <w:r>
              <w:rPr>
                <w:b/>
                <w:bCs/>
                <w:color w:val="C9A84C"/>
                <w:sz w:val="18"/>
                <w:szCs w:val="18"/>
              </w:rPr>
              <w:t>+153%</w:t>
            </w:r>
          </w:p>
        </w:tc>
      </w:tr>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2E7D52"/>
                <w:sz w:val="18"/>
                <w:szCs w:val="18"/>
              </w:rPr>
              <w:t>Bull</w:t>
            </w:r>
          </w:p>
        </w:tc>
        <w:tc>
          <w:tcPr>
            <w:tcW w:w="14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Year 5</w:t>
            </w:r>
          </w:p>
        </w:tc>
        <w:tc>
          <w:tcPr>
            <w:tcW w:w="18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1A1A1A"/>
                <w:sz w:val="18"/>
                <w:szCs w:val="18"/>
              </w:rPr>
              <w:t>$1.9M</w:t>
            </w:r>
          </w:p>
        </w:tc>
        <w:tc>
          <w:tcPr>
            <w:tcW w:w="22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$425K</w:t>
            </w:r>
          </w:p>
        </w:tc>
        <w:tc>
          <w:tcPr>
            <w:tcW w:w="24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2E7D52"/>
                <w:sz w:val="18"/>
                <w:szCs w:val="18"/>
              </w:rPr>
              <w:t>+447%</w:t>
            </w:r>
          </w:p>
        </w:tc>
      </w:tr>
      <w:tr w:rsidR="00E22B82">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2E7D52"/>
                <w:sz w:val="18"/>
                <w:szCs w:val="18"/>
              </w:rPr>
              <w:t>Bull</w:t>
            </w:r>
          </w:p>
        </w:tc>
        <w:tc>
          <w:tcPr>
            <w:tcW w:w="14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Year 10</w:t>
            </w:r>
          </w:p>
        </w:tc>
        <w:tc>
          <w:tcPr>
            <w:tcW w:w="18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1A1A1A"/>
                <w:sz w:val="18"/>
                <w:szCs w:val="18"/>
              </w:rPr>
              <w:t>$4.8M</w:t>
            </w:r>
          </w:p>
        </w:tc>
        <w:tc>
          <w:tcPr>
            <w:tcW w:w="22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color w:val="1A1A1A"/>
                <w:sz w:val="18"/>
                <w:szCs w:val="18"/>
              </w:rPr>
              <w:t>$850K</w:t>
            </w:r>
          </w:p>
        </w:tc>
        <w:tc>
          <w:tcPr>
            <w:tcW w:w="24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vAlign w:val="center"/>
          </w:tcPr>
          <w:p w:rsidR="00E22B82" w:rsidRDefault="00000000">
            <w:r>
              <w:rPr>
                <w:b/>
                <w:bCs/>
                <w:color w:val="2E7D52"/>
                <w:sz w:val="18"/>
                <w:szCs w:val="18"/>
              </w:rPr>
              <w:t>+565%</w:t>
            </w:r>
          </w:p>
        </w:tc>
      </w:tr>
    </w:tbl>
    <w:p w:rsidR="00E22B82" w:rsidRDefault="00E22B82">
      <w:pPr>
        <w:spacing w:before="120" w:after="120"/>
      </w:pPr>
    </w:p>
    <w:p w:rsidR="00E22B82" w:rsidRPr="00CA1C7F" w:rsidRDefault="00000000" w:rsidP="00CA1C7F">
      <w:pPr>
        <w:spacing w:before="120" w:after="120"/>
        <w:jc w:val="both"/>
        <w:rPr>
          <w:rFonts w:ascii="Times New Roman" w:hAnsi="Times New Roman" w:cs="Times New Roman"/>
        </w:rPr>
      </w:pPr>
      <w:r w:rsidRPr="00CA1C7F">
        <w:rPr>
          <w:rFonts w:ascii="Times New Roman" w:hAnsi="Times New Roman" w:cs="Times New Roman"/>
          <w:i/>
          <w:iCs/>
          <w:color w:val="555555"/>
        </w:rPr>
        <w:t>The equity premium shows the Sommelier's equity value above their cumulative cash compensation. In Base/Year 10, the 1.25% stake returns $1.3M — more than 1.5x total salary. Share this projection in the offer conversation.</w:t>
      </w:r>
    </w:p>
    <w:p w:rsidR="00E22B82" w:rsidRPr="00CA1C7F" w:rsidRDefault="00E22B82" w:rsidP="00CA1C7F">
      <w:pPr>
        <w:spacing w:before="120" w:after="120"/>
        <w:jc w:val="both"/>
        <w:rPr>
          <w:rFonts w:ascii="Times New Roman" w:hAnsi="Times New Roman" w:cs="Times New Roman"/>
        </w:rPr>
      </w:pPr>
    </w:p>
    <w:p w:rsidR="00E22B82" w:rsidRPr="00CA1C7F" w:rsidRDefault="00000000" w:rsidP="00CA1C7F">
      <w:pPr>
        <w:pStyle w:val="Heading1"/>
        <w:jc w:val="both"/>
        <w:rPr>
          <w:rFonts w:ascii="Times New Roman" w:hAnsi="Times New Roman" w:cs="Times New Roman"/>
        </w:rPr>
      </w:pPr>
      <w:r w:rsidRPr="00CA1C7F">
        <w:rPr>
          <w:rFonts w:ascii="Times New Roman" w:hAnsi="Times New Roman" w:cs="Times New Roman"/>
        </w:rPr>
        <w:t>Legal &amp; Next Steps</w:t>
      </w:r>
    </w:p>
    <w:p w:rsidR="00E22B82" w:rsidRPr="00CA1C7F" w:rsidRDefault="00000000" w:rsidP="00CA1C7F">
      <w:pPr>
        <w:spacing w:before="120" w:after="120"/>
        <w:jc w:val="both"/>
        <w:rPr>
          <w:rFonts w:ascii="Times New Roman" w:hAnsi="Times New Roman" w:cs="Times New Roman"/>
        </w:rPr>
      </w:pPr>
      <w:r w:rsidRPr="00CA1C7F">
        <w:rPr>
          <w:rFonts w:ascii="Times New Roman" w:hAnsi="Times New Roman" w:cs="Times New Roman"/>
          <w:color w:val="1A1A1A"/>
        </w:rPr>
        <w:t>The following steps should be completed in sequence after the Catalyst sale closes and before Caveau issues any equity or accepts any investment.</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Engage TBD (Florida counsel) for initial consultation — entity structure, SAFE review, Florida lease agreements, and alcohol event compliance.</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 xml:space="preserve">Incorporate Caveau as a Delaware C-Corporation — standard jurisdiction for venture-backed companies. ~$500–$1,500 via </w:t>
      </w:r>
      <w:proofErr w:type="spellStart"/>
      <w:r w:rsidRPr="00CA1C7F">
        <w:rPr>
          <w:rFonts w:ascii="Times New Roman" w:hAnsi="Times New Roman" w:cs="Times New Roman"/>
          <w:color w:val="1A1A1A"/>
          <w:sz w:val="20"/>
          <w:szCs w:val="20"/>
        </w:rPr>
        <w:t>Clerky</w:t>
      </w:r>
      <w:proofErr w:type="spellEnd"/>
      <w:r w:rsidRPr="00CA1C7F">
        <w:rPr>
          <w:rFonts w:ascii="Times New Roman" w:hAnsi="Times New Roman" w:cs="Times New Roman"/>
          <w:color w:val="1A1A1A"/>
          <w:sz w:val="20"/>
          <w:szCs w:val="20"/>
        </w:rPr>
        <w:t xml:space="preserve"> or Stripe Atlas, plus attorney review.</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Issue founder shares with vesting schedule — 4-year vest from founding date, even as sole founder.</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File 83(b) election within 30 days of share issuance — time-sensitive, cannot be undone. Failure means ordinary income tax on equity appreciation instead of capital gains.</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Draft and issue SAFE documents — use Y Combinator standard templates as base. Attorney review: ~$2,000–$4,000.</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Draft Sommelier offer letter with equity grant agreement — include vesting schedule, cliff date, performance kicker trigger, and dilution provisions. Separately draft offer letters for Vault Operations Manager ($75K) and Member Services Coordinator ($75K FT + $35K PT seasonal). Neither of the latter two roles carries equity. NOTE: PT MSC hire is contingent on membership traction — if Caveau is tracking below 94 members at Month 6, delay the PT MSC hire. This reduces Year 1 staff cost by $35K and improves EBITDA by $35K across all scenarios, buying additional runway without compromising core operations.</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Register Delaware C-Corp as foreign entity in Florida — required before signing Florida leases or employment agreements.</w:t>
      </w:r>
    </w:p>
    <w:p w:rsidR="00E22B82" w:rsidRPr="00CA1C7F" w:rsidRDefault="00000000" w:rsidP="00CA1C7F">
      <w:pPr>
        <w:pStyle w:val="ListParagraph"/>
        <w:numPr>
          <w:ilvl w:val="0"/>
          <w:numId w:val="2"/>
        </w:numPr>
        <w:spacing w:before="80" w:after="80"/>
        <w:jc w:val="both"/>
        <w:rPr>
          <w:rFonts w:ascii="Times New Roman" w:hAnsi="Times New Roman" w:cs="Times New Roman"/>
        </w:rPr>
      </w:pPr>
      <w:r w:rsidRPr="00CA1C7F">
        <w:rPr>
          <w:rFonts w:ascii="Times New Roman" w:hAnsi="Times New Roman" w:cs="Times New Roman"/>
          <w:color w:val="1A1A1A"/>
          <w:sz w:val="20"/>
          <w:szCs w:val="20"/>
        </w:rPr>
        <w:t>Initiate Liv-ex commercial API membership application — required for AI Advisor data feed. Budget $15K–$30K/year in technology line.</w:t>
      </w:r>
    </w:p>
    <w:p w:rsidR="00E22B82" w:rsidRDefault="00E22B8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B8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E22B82" w:rsidRDefault="00000000">
            <w:pPr>
              <w:spacing w:before="60" w:after="80"/>
            </w:pPr>
            <w:r>
              <w:rPr>
                <w:b/>
                <w:bCs/>
                <w:color w:val="0B1220"/>
                <w:sz w:val="20"/>
                <w:szCs w:val="20"/>
              </w:rPr>
              <w:t>Important Disclaimer</w:t>
            </w:r>
          </w:p>
          <w:p w:rsidR="00E22B82" w:rsidRDefault="00000000">
            <w:pPr>
              <w:spacing w:before="40" w:after="40"/>
            </w:pPr>
            <w:r>
              <w:rPr>
                <w:color w:val="555555"/>
                <w:sz w:val="19"/>
                <w:szCs w:val="19"/>
              </w:rPr>
              <w:t>This document is for planning and discussion purposes only. It does not constitute legal, tax, or financial advice. All equity structures, SAFE terms, and compensation packages should be reviewed by a qualified startup attorney and CPA before implementation. Rob Saenz is not a registered investment advisor and this document does not constitute an offer to sell or solicitation of an offer to buy any securities.</w:t>
            </w:r>
          </w:p>
        </w:tc>
      </w:tr>
    </w:tbl>
    <w:p w:rsidR="00E22B82" w:rsidRDefault="00E22B82">
      <w:pPr>
        <w:pBdr>
          <w:bottom w:val="single" w:sz="4" w:space="1" w:color="C9A84C"/>
        </w:pBdr>
        <w:spacing w:before="80" w:after="80"/>
      </w:pPr>
    </w:p>
    <w:p w:rsidR="00E22B82" w:rsidRDefault="00000000">
      <w:pPr>
        <w:spacing w:before="160" w:after="80"/>
        <w:jc w:val="center"/>
      </w:pPr>
      <w:proofErr w:type="gramStart"/>
      <w:r>
        <w:rPr>
          <w:color w:val="555555"/>
          <w:sz w:val="18"/>
          <w:szCs w:val="18"/>
        </w:rPr>
        <w:t>CAVEAU  ·</w:t>
      </w:r>
      <w:proofErr w:type="gramEnd"/>
      <w:r>
        <w:rPr>
          <w:color w:val="555555"/>
          <w:sz w:val="18"/>
          <w:szCs w:val="18"/>
        </w:rPr>
        <w:t xml:space="preserve">  Rob Saenz, Founder &amp; </w:t>
      </w:r>
      <w:proofErr w:type="gramStart"/>
      <w:r>
        <w:rPr>
          <w:color w:val="555555"/>
          <w:sz w:val="18"/>
          <w:szCs w:val="18"/>
        </w:rPr>
        <w:t>CEO  ·</w:t>
      </w:r>
      <w:proofErr w:type="gramEnd"/>
      <w:r>
        <w:rPr>
          <w:color w:val="555555"/>
          <w:sz w:val="18"/>
          <w:szCs w:val="18"/>
        </w:rPr>
        <w:t xml:space="preserve">  </w:t>
      </w:r>
      <w:proofErr w:type="gramStart"/>
      <w:r>
        <w:rPr>
          <w:color w:val="555555"/>
          <w:sz w:val="18"/>
          <w:szCs w:val="18"/>
        </w:rPr>
        <w:t>Rob@caveauwine.com  ·</w:t>
      </w:r>
      <w:proofErr w:type="gramEnd"/>
      <w:r>
        <w:rPr>
          <w:color w:val="555555"/>
          <w:sz w:val="18"/>
          <w:szCs w:val="18"/>
        </w:rPr>
        <w:t xml:space="preserve">  </w:t>
      </w:r>
      <w:proofErr w:type="gramStart"/>
      <w:r>
        <w:rPr>
          <w:color w:val="555555"/>
          <w:sz w:val="18"/>
          <w:szCs w:val="18"/>
        </w:rPr>
        <w:t>caveauwine.com  ·</w:t>
      </w:r>
      <w:proofErr w:type="gramEnd"/>
      <w:r>
        <w:rPr>
          <w:color w:val="555555"/>
          <w:sz w:val="18"/>
          <w:szCs w:val="18"/>
        </w:rPr>
        <w:t xml:space="preserve">  Naples, Florida</w:t>
      </w:r>
    </w:p>
    <w:sectPr w:rsidR="00E22B8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3BB"/>
    <w:multiLevelType w:val="hybridMultilevel"/>
    <w:tmpl w:val="2424F1F8"/>
    <w:lvl w:ilvl="0" w:tplc="500E7A6A">
      <w:start w:val="1"/>
      <w:numFmt w:val="bullet"/>
      <w:lvlText w:val="●"/>
      <w:lvlJc w:val="left"/>
      <w:pPr>
        <w:ind w:left="720" w:hanging="360"/>
      </w:pPr>
    </w:lvl>
    <w:lvl w:ilvl="1" w:tplc="D490258A">
      <w:start w:val="1"/>
      <w:numFmt w:val="bullet"/>
      <w:lvlText w:val="○"/>
      <w:lvlJc w:val="left"/>
      <w:pPr>
        <w:ind w:left="1440" w:hanging="360"/>
      </w:pPr>
    </w:lvl>
    <w:lvl w:ilvl="2" w:tplc="6E82CD42">
      <w:start w:val="1"/>
      <w:numFmt w:val="bullet"/>
      <w:lvlText w:val="■"/>
      <w:lvlJc w:val="left"/>
      <w:pPr>
        <w:ind w:left="2160" w:hanging="360"/>
      </w:pPr>
    </w:lvl>
    <w:lvl w:ilvl="3" w:tplc="093232AE">
      <w:start w:val="1"/>
      <w:numFmt w:val="bullet"/>
      <w:lvlText w:val="●"/>
      <w:lvlJc w:val="left"/>
      <w:pPr>
        <w:ind w:left="2880" w:hanging="360"/>
      </w:pPr>
    </w:lvl>
    <w:lvl w:ilvl="4" w:tplc="C9766394">
      <w:start w:val="1"/>
      <w:numFmt w:val="bullet"/>
      <w:lvlText w:val="○"/>
      <w:lvlJc w:val="left"/>
      <w:pPr>
        <w:ind w:left="3600" w:hanging="360"/>
      </w:pPr>
    </w:lvl>
    <w:lvl w:ilvl="5" w:tplc="B70E4C4A">
      <w:start w:val="1"/>
      <w:numFmt w:val="bullet"/>
      <w:lvlText w:val="■"/>
      <w:lvlJc w:val="left"/>
      <w:pPr>
        <w:ind w:left="4320" w:hanging="360"/>
      </w:pPr>
    </w:lvl>
    <w:lvl w:ilvl="6" w:tplc="14706058">
      <w:start w:val="1"/>
      <w:numFmt w:val="bullet"/>
      <w:lvlText w:val="●"/>
      <w:lvlJc w:val="left"/>
      <w:pPr>
        <w:ind w:left="5040" w:hanging="360"/>
      </w:pPr>
    </w:lvl>
    <w:lvl w:ilvl="7" w:tplc="ACA261B2">
      <w:start w:val="1"/>
      <w:numFmt w:val="bullet"/>
      <w:lvlText w:val="●"/>
      <w:lvlJc w:val="left"/>
      <w:pPr>
        <w:ind w:left="5760" w:hanging="360"/>
      </w:pPr>
    </w:lvl>
    <w:lvl w:ilvl="8" w:tplc="4748F5CE">
      <w:start w:val="1"/>
      <w:numFmt w:val="bullet"/>
      <w:lvlText w:val="●"/>
      <w:lvlJc w:val="left"/>
      <w:pPr>
        <w:ind w:left="6480" w:hanging="360"/>
      </w:pPr>
    </w:lvl>
  </w:abstractNum>
  <w:abstractNum w:abstractNumId="1" w15:restartNumberingAfterBreak="0">
    <w:nsid w:val="55817AE0"/>
    <w:multiLevelType w:val="hybridMultilevel"/>
    <w:tmpl w:val="6052BE84"/>
    <w:lvl w:ilvl="0" w:tplc="62FAA4AE">
      <w:start w:val="1"/>
      <w:numFmt w:val="decimal"/>
      <w:lvlText w:val="%1."/>
      <w:lvlJc w:val="left"/>
      <w:pPr>
        <w:ind w:left="720" w:hanging="360"/>
      </w:pPr>
    </w:lvl>
    <w:lvl w:ilvl="1" w:tplc="3FF034AE">
      <w:numFmt w:val="decimal"/>
      <w:lvlText w:val=""/>
      <w:lvlJc w:val="left"/>
    </w:lvl>
    <w:lvl w:ilvl="2" w:tplc="89B20F36">
      <w:numFmt w:val="decimal"/>
      <w:lvlText w:val=""/>
      <w:lvlJc w:val="left"/>
    </w:lvl>
    <w:lvl w:ilvl="3" w:tplc="E850CD1A">
      <w:numFmt w:val="decimal"/>
      <w:lvlText w:val=""/>
      <w:lvlJc w:val="left"/>
    </w:lvl>
    <w:lvl w:ilvl="4" w:tplc="F84C086C">
      <w:numFmt w:val="decimal"/>
      <w:lvlText w:val=""/>
      <w:lvlJc w:val="left"/>
    </w:lvl>
    <w:lvl w:ilvl="5" w:tplc="7F8210C2">
      <w:numFmt w:val="decimal"/>
      <w:lvlText w:val=""/>
      <w:lvlJc w:val="left"/>
    </w:lvl>
    <w:lvl w:ilvl="6" w:tplc="5E80DE4C">
      <w:numFmt w:val="decimal"/>
      <w:lvlText w:val=""/>
      <w:lvlJc w:val="left"/>
    </w:lvl>
    <w:lvl w:ilvl="7" w:tplc="CB7A9DC4">
      <w:numFmt w:val="decimal"/>
      <w:lvlText w:val=""/>
      <w:lvlJc w:val="left"/>
    </w:lvl>
    <w:lvl w:ilvl="8" w:tplc="E28C9F9C">
      <w:numFmt w:val="decimal"/>
      <w:lvlText w:val=""/>
      <w:lvlJc w:val="left"/>
    </w:lvl>
  </w:abstractNum>
  <w:abstractNum w:abstractNumId="2" w15:restartNumberingAfterBreak="0">
    <w:nsid w:val="7FDB3C1E"/>
    <w:multiLevelType w:val="hybridMultilevel"/>
    <w:tmpl w:val="0E60CBE6"/>
    <w:lvl w:ilvl="0" w:tplc="CA1890CE">
      <w:start w:val="1"/>
      <w:numFmt w:val="bullet"/>
      <w:lvlText w:val="•"/>
      <w:lvlJc w:val="left"/>
      <w:pPr>
        <w:ind w:left="720" w:hanging="360"/>
      </w:pPr>
    </w:lvl>
    <w:lvl w:ilvl="1" w:tplc="B574C0A8">
      <w:numFmt w:val="decimal"/>
      <w:lvlText w:val=""/>
      <w:lvlJc w:val="left"/>
    </w:lvl>
    <w:lvl w:ilvl="2" w:tplc="90BC00D2">
      <w:numFmt w:val="decimal"/>
      <w:lvlText w:val=""/>
      <w:lvlJc w:val="left"/>
    </w:lvl>
    <w:lvl w:ilvl="3" w:tplc="F064BF6A">
      <w:numFmt w:val="decimal"/>
      <w:lvlText w:val=""/>
      <w:lvlJc w:val="left"/>
    </w:lvl>
    <w:lvl w:ilvl="4" w:tplc="CD20E732">
      <w:numFmt w:val="decimal"/>
      <w:lvlText w:val=""/>
      <w:lvlJc w:val="left"/>
    </w:lvl>
    <w:lvl w:ilvl="5" w:tplc="1CE6E86E">
      <w:numFmt w:val="decimal"/>
      <w:lvlText w:val=""/>
      <w:lvlJc w:val="left"/>
    </w:lvl>
    <w:lvl w:ilvl="6" w:tplc="84264742">
      <w:numFmt w:val="decimal"/>
      <w:lvlText w:val=""/>
      <w:lvlJc w:val="left"/>
    </w:lvl>
    <w:lvl w:ilvl="7" w:tplc="138C24B0">
      <w:numFmt w:val="decimal"/>
      <w:lvlText w:val=""/>
      <w:lvlJc w:val="left"/>
    </w:lvl>
    <w:lvl w:ilvl="8" w:tplc="BBCAA92A">
      <w:numFmt w:val="decimal"/>
      <w:lvlText w:val=""/>
      <w:lvlJc w:val="left"/>
    </w:lvl>
  </w:abstractNum>
  <w:num w:numId="1" w16cid:durableId="834419312">
    <w:abstractNumId w:val="0"/>
    <w:lvlOverride w:ilvl="0">
      <w:startOverride w:val="1"/>
    </w:lvlOverride>
  </w:num>
  <w:num w:numId="2" w16cid:durableId="1625966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B82"/>
    <w:rsid w:val="00B12503"/>
    <w:rsid w:val="00C063F9"/>
    <w:rsid w:val="00CA1C7F"/>
    <w:rsid w:val="00E2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45791F"/>
  <w15:docId w15:val="{B1464C08-5E21-294E-801B-BFFDB84B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1220"/>
      <w:sz w:val="32"/>
      <w:szCs w:val="32"/>
    </w:rPr>
  </w:style>
  <w:style w:type="paragraph" w:styleId="Heading2">
    <w:name w:val="heading 2"/>
    <w:uiPriority w:val="9"/>
    <w:unhideWhenUsed/>
    <w:qFormat/>
    <w:pPr>
      <w:spacing w:before="240" w:after="120"/>
      <w:outlineLvl w:val="1"/>
    </w:pPr>
    <w:rPr>
      <w:b/>
      <w:bCs/>
      <w:color w:val="0B12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Saenz</cp:lastModifiedBy>
  <cp:revision>2</cp:revision>
  <dcterms:created xsi:type="dcterms:W3CDTF">2026-03-15T23:12:00Z</dcterms:created>
  <dcterms:modified xsi:type="dcterms:W3CDTF">2026-03-15T23:12:00Z</dcterms:modified>
</cp:coreProperties>
</file>