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before="0" w:after="0"/>
        <w:ind w:left="200" w:right="200"/>
      </w:pPr>
      <w:r>
        <w:rPr>
          <w:rFonts w:ascii="Georgia" w:cs="Georgia" w:eastAsia="Georgia" w:hAnsi="Georgia"/>
          <w:b/>
          <w:bCs/>
          <w:color w:val="C9A84C"/>
          <w:spacing w:val="20"/>
          <w:sz w:val="32"/>
          <w:szCs w:val="32"/>
        </w:rPr>
        <w:t xml:space="preserve">CAVEAU HOME CELLAR PROGRAM</w:t>
      </w:r>
    </w:p>
    <w:p>
      <w:pPr>
        <w:shd w:fill="0A1628" w:val="clear"/>
        <w:spacing w:before="60" w:after="200"/>
        <w:ind w:left="200" w:right="200"/>
      </w:pPr>
      <w:r>
        <w:rPr>
          <w:rFonts w:ascii="Arial" w:cs="Arial" w:eastAsia="Arial" w:hAnsi="Arial"/>
          <w:i/>
          <w:iCs/>
          <w:color w:val="7A90B0"/>
          <w:sz w:val="20"/>
          <w:szCs w:val="20"/>
        </w:rPr>
        <w:t xml:space="preserve">Bringing institutional-grade storage into the homes of serious collectors</w:t>
      </w:r>
    </w:p>
    <w:p>
      <w:pPr>
        <w:spacing w:before="60" w:after="60"/>
      </w:pPr>
      <w:r>
        <w:rPr>
          <w:rFonts w:ascii="Arial" w:cs="Arial" w:eastAsia="Arial" w:hAnsi="Arial"/>
          <w:b w:val="false"/>
          <w:bCs w:val="false"/>
          <w:color w:val="555555"/>
          <w:sz w:val="20"/>
          <w:szCs w:val="20"/>
        </w:rPr>
        <w:t xml:space="preserve">Most HNW wine collectors don't want to move their entire collection to a shared vault. They want great wine in their home, managed at the level it deserves. The Caveau Home Cellar Program meets them there — installing Caveau-certified infrastructure in member homes, connecting it to the Caveau platform, and extending the same intelligence, documentation, and exit facilitation to bottles wherever they're stored.</w:t>
      </w:r>
    </w:p>
    <w:p>
      <w:pPr>
        <w:pBdr>
          <w:bottom w:val="single" w:color="C9A84C" w:sz="6"/>
        </w:pBdr>
        <w:spacing w:before="160" w:after="160"/>
      </w:pPr>
    </w:p>
    <w:p>
      <w:pPr>
        <w:spacing w:before="280" w:after="100"/>
      </w:pPr>
      <w:r>
        <w:rPr>
          <w:rFonts w:ascii="Arial" w:cs="Arial" w:eastAsia="Arial" w:hAnsi="Arial"/>
          <w:b/>
          <w:bCs/>
          <w:color w:val="C9A84C"/>
          <w:sz w:val="24"/>
          <w:szCs w:val="24"/>
        </w:rPr>
        <w:t xml:space="preserve">THE OPPORTUNITY</w:t>
      </w:r>
    </w:p>
    <w:p>
      <w:pPr>
        <w:spacing w:before="60" w:after="60"/>
      </w:pPr>
      <w:r>
        <w:rPr>
          <w:rFonts w:ascii="Arial" w:cs="Arial" w:eastAsia="Arial" w:hAnsi="Arial"/>
          <w:b w:val="false"/>
          <w:bCs w:val="false"/>
          <w:color w:val="555555"/>
          <w:sz w:val="20"/>
          <w:szCs w:val="20"/>
        </w:rPr>
        <w:t xml:space="preserve">The average Naples collector holds 60% of their collection at home. That's roughly $90,000–$300,000 in wine sitting in a closet, spare bedroom, or uncertified storage unit — uninsured at preferred rates, unvalued in real time, and invisible to the market when it's time to sell.</w:t>
      </w:r>
    </w:p>
    <w:p>
      <w:pPr>
        <w:spacing w:before="60" w:after="60"/>
      </w:pPr>
      <w:r>
        <w:rPr>
          <w:rFonts w:ascii="Arial" w:cs="Arial" w:eastAsia="Arial" w:hAnsi="Arial"/>
          <w:b w:val="false"/>
          <w:bCs w:val="false"/>
          <w:color w:val="555555"/>
          <w:sz w:val="20"/>
          <w:szCs w:val="20"/>
        </w:rPr>
        <w:t xml:space="preserve">Caveau's Home Cellar Program changes that. Every certified home cellar is a physical node on the Caveau network: live IoT sensor data feeding the member's platform dashboard, provenance records building from day one, and full exit facilitation available the moment a member decides to sell.</w:t>
      </w:r>
    </w:p>
    <w:p>
      <w:pPr>
        <w:pBdr>
          <w:bottom w:val="single" w:color="C9A84C" w:sz="6"/>
        </w:pBdr>
        <w:spacing w:before="160" w:after="160"/>
      </w:pPr>
    </w:p>
    <w:p>
      <w:pPr>
        <w:spacing w:before="280" w:after="100"/>
      </w:pPr>
      <w:r>
        <w:rPr>
          <w:rFonts w:ascii="Arial" w:cs="Arial" w:eastAsia="Arial" w:hAnsi="Arial"/>
          <w:b/>
          <w:bCs/>
          <w:color w:val="C9A84C"/>
          <w:sz w:val="24"/>
          <w:szCs w:val="24"/>
        </w:rPr>
        <w:t xml:space="preserve">PROGRAM STRUCTURE</w:t>
      </w:r>
    </w:p>
    <w:p>
      <w:pPr>
        <w:spacing w:before="180" w:after="80"/>
      </w:pPr>
      <w:r>
        <w:rPr>
          <w:rFonts w:ascii="Arial" w:cs="Arial" w:eastAsia="Arial" w:hAnsi="Arial"/>
          <w:b/>
          <w:bCs/>
          <w:color w:val="0A1628"/>
          <w:sz w:val="20"/>
          <w:szCs w:val="20"/>
        </w:rPr>
        <w:t xml:space="preserve">Phase 1 — Certified Partner Program (Year 1–2)</w:t>
      </w:r>
    </w:p>
    <w:p>
      <w:pPr>
        <w:spacing w:before="60" w:after="60"/>
      </w:pPr>
      <w:r>
        <w:rPr>
          <w:rFonts w:ascii="Arial" w:cs="Arial" w:eastAsia="Arial" w:hAnsi="Arial"/>
          <w:b w:val="false"/>
          <w:bCs w:val="false"/>
          <w:color w:val="555555"/>
          <w:sz w:val="20"/>
          <w:szCs w:val="20"/>
        </w:rPr>
        <w:t xml:space="preserve">Caveau develops and publishes the Caveau Cellar Certification Standard — a technical specification covering temperature, humidity, insulation, racking, lighting, power, and IoT sensor requirements. Vetted Naples contractors complete the Caveau Installer Training Program and perform installations to the standard.</w:t>
      </w:r>
    </w:p>
    <w:tbl>
      <w:tblPr>
        <w:tblW w:type="dxa" w:w="9360"/>
        <w:tblBorders>
          <w:top w:val="single" w:color="C9A84C" w:sz="4"/>
          <w:left w:val="none"/>
          <w:bottom w:val="single" w:color="C9A84C" w:sz="4"/>
          <w:right w:val="none"/>
          <w:insideH w:val="single" w:color="auto" w:sz="4"/>
          <w:insideV w:val="single" w:color="auto" w:sz="4"/>
        </w:tblBorders>
      </w:tblPr>
      <w:tblGrid>
        <w:gridCol w:w="100"/>
        <w:gridCol w:w="100"/>
      </w:tblGrid>
      <w:tr>
        <w:tc>
          <w:tcPr>
            <w:tcW w:type="dxa" w:w="4680"/>
            <w:shd w:fill="F4F1EA" w:val="clear"/>
            <w:vAlign w:val="center"/>
          </w:tcPr>
          <w:p>
            <w:r>
              <w:rPr>
                <w:rFonts w:ascii="Arial" w:cs="Arial" w:eastAsia="Arial" w:hAnsi="Arial"/>
                <w:b/>
                <w:bCs/>
                <w:color w:val="0A1628"/>
                <w:sz w:val="20"/>
                <w:szCs w:val="20"/>
              </w:rPr>
              <w:t xml:space="preserve">Member cost (installation)</w:t>
            </w:r>
          </w:p>
        </w:tc>
        <w:tc>
          <w:tcPr>
            <w:tcW w:type="dxa" w:w="4680"/>
            <w:shd w:fill="F4F1EA" w:val="clear"/>
            <w:vAlign w:val="center"/>
          </w:tcPr>
          <w:p>
            <w:r>
              <w:rPr>
                <w:rFonts w:ascii="Arial" w:cs="Arial" w:eastAsia="Arial" w:hAnsi="Arial"/>
                <w:color w:val="555555"/>
                <w:sz w:val="20"/>
                <w:szCs w:val="20"/>
              </w:rPr>
              <w:t xml:space="preserve">$3,600–$6,400 depending on scope</w:t>
            </w:r>
          </w:p>
        </w:tc>
      </w:tr>
      <w:tr>
        <w:tc>
          <w:tcPr>
            <w:tcW w:type="dxa" w:w="4680"/>
            <w:shd w:fill="FFFFFF" w:val="clear"/>
            <w:vAlign w:val="center"/>
          </w:tcPr>
          <w:p>
            <w:r>
              <w:rPr>
                <w:rFonts w:ascii="Arial" w:cs="Arial" w:eastAsia="Arial" w:hAnsi="Arial"/>
                <w:b/>
                <w:bCs/>
                <w:color w:val="0A1628"/>
                <w:sz w:val="20"/>
                <w:szCs w:val="20"/>
              </w:rPr>
              <w:t xml:space="preserve">Caveau referral revenue</w:t>
            </w:r>
          </w:p>
        </w:tc>
        <w:tc>
          <w:tcPr>
            <w:tcW w:type="dxa" w:w="4680"/>
            <w:shd w:fill="FFFFFF" w:val="clear"/>
            <w:vAlign w:val="center"/>
          </w:tcPr>
          <w:p>
            <w:r>
              <w:rPr>
                <w:rFonts w:ascii="Arial" w:cs="Arial" w:eastAsia="Arial" w:hAnsi="Arial"/>
                <w:color w:val="555555"/>
                <w:sz w:val="20"/>
                <w:szCs w:val="20"/>
              </w:rPr>
              <w:t xml:space="preserve">$500–$1,500 per install</w:t>
            </w:r>
          </w:p>
        </w:tc>
      </w:tr>
      <w:tr>
        <w:tc>
          <w:tcPr>
            <w:tcW w:type="dxa" w:w="4680"/>
            <w:shd w:fill="F4F1EA" w:val="clear"/>
            <w:vAlign w:val="center"/>
          </w:tcPr>
          <w:p>
            <w:r>
              <w:rPr>
                <w:rFonts w:ascii="Arial" w:cs="Arial" w:eastAsia="Arial" w:hAnsi="Arial"/>
                <w:b/>
                <w:bCs/>
                <w:color w:val="0A1628"/>
                <w:sz w:val="20"/>
                <w:szCs w:val="20"/>
              </w:rPr>
              <w:t xml:space="preserve">Ongoing member subscription</w:t>
            </w:r>
          </w:p>
        </w:tc>
        <w:tc>
          <w:tcPr>
            <w:tcW w:type="dxa" w:w="4680"/>
            <w:shd w:fill="F4F1EA" w:val="clear"/>
            <w:vAlign w:val="center"/>
          </w:tcPr>
          <w:p>
            <w:r>
              <w:rPr>
                <w:rFonts w:ascii="Arial" w:cs="Arial" w:eastAsia="Arial" w:hAnsi="Arial"/>
                <w:color w:val="555555"/>
                <w:sz w:val="20"/>
                <w:szCs w:val="20"/>
              </w:rPr>
              <w:t xml:space="preserve">Collector tier at full price ($29/mo — no founding discount)</w:t>
            </w:r>
          </w:p>
        </w:tc>
      </w:tr>
      <w:tr>
        <w:tc>
          <w:tcPr>
            <w:tcW w:type="dxa" w:w="4680"/>
            <w:shd w:fill="FFFFFF" w:val="clear"/>
            <w:vAlign w:val="center"/>
          </w:tcPr>
          <w:p>
            <w:r>
              <w:rPr>
                <w:rFonts w:ascii="Arial" w:cs="Arial" w:eastAsia="Arial" w:hAnsi="Arial"/>
                <w:b/>
                <w:bCs/>
                <w:color w:val="0A1628"/>
                <w:sz w:val="20"/>
                <w:szCs w:val="20"/>
              </w:rPr>
              <w:t xml:space="preserve">Insurance referral trigger</w:t>
            </w:r>
          </w:p>
        </w:tc>
        <w:tc>
          <w:tcPr>
            <w:tcW w:type="dxa" w:w="4680"/>
            <w:shd w:fill="FFFFFF" w:val="clear"/>
            <w:vAlign w:val="center"/>
          </w:tcPr>
          <w:p>
            <w:r>
              <w:rPr>
                <w:rFonts w:ascii="Arial" w:cs="Arial" w:eastAsia="Arial" w:hAnsi="Arial"/>
                <w:color w:val="555555"/>
                <w:sz w:val="20"/>
                <w:szCs w:val="20"/>
              </w:rPr>
              <w:t xml:space="preserve">Certified cellar qualifies for PURE/Chubb preferred rate</w:t>
            </w:r>
          </w:p>
        </w:tc>
      </w:tr>
      <w:tr>
        <w:tc>
          <w:tcPr>
            <w:tcW w:type="dxa" w:w="4680"/>
            <w:shd w:fill="F4F1EA" w:val="clear"/>
            <w:vAlign w:val="center"/>
          </w:tcPr>
          <w:p>
            <w:r>
              <w:rPr>
                <w:rFonts w:ascii="Arial" w:cs="Arial" w:eastAsia="Arial" w:hAnsi="Arial"/>
                <w:b/>
                <w:bCs/>
                <w:color w:val="0A1628"/>
                <w:sz w:val="20"/>
                <w:szCs w:val="20"/>
              </w:rPr>
              <w:t xml:space="preserve">Exit facilitation scope</w:t>
            </w:r>
          </w:p>
        </w:tc>
        <w:tc>
          <w:tcPr>
            <w:tcW w:type="dxa" w:w="4680"/>
            <w:shd w:fill="F4F1EA" w:val="clear"/>
            <w:vAlign w:val="center"/>
          </w:tcPr>
          <w:p>
            <w:r>
              <w:rPr>
                <w:rFonts w:ascii="Arial" w:cs="Arial" w:eastAsia="Arial" w:hAnsi="Arial"/>
                <w:color w:val="555555"/>
                <w:sz w:val="20"/>
                <w:szCs w:val="20"/>
              </w:rPr>
              <w:t xml:space="preserve">Home cellar bottles fully eligible</w:t>
            </w:r>
          </w:p>
        </w:tc>
      </w:tr>
      <w:tr>
        <w:tc>
          <w:tcPr>
            <w:tcW w:type="dxa" w:w="4680"/>
            <w:shd w:fill="FFFFFF" w:val="clear"/>
            <w:vAlign w:val="center"/>
          </w:tcPr>
          <w:p>
            <w:r>
              <w:rPr>
                <w:rFonts w:ascii="Arial" w:cs="Arial" w:eastAsia="Arial" w:hAnsi="Arial"/>
                <w:b/>
                <w:bCs/>
                <w:color w:val="0A1628"/>
                <w:sz w:val="20"/>
                <w:szCs w:val="20"/>
              </w:rPr>
              <w:t xml:space="preserve">Investor pitch value</w:t>
            </w:r>
          </w:p>
        </w:tc>
        <w:tc>
          <w:tcPr>
            <w:tcW w:type="dxa" w:w="4680"/>
            <w:shd w:fill="FFFFFF" w:val="clear"/>
            <w:vAlign w:val="center"/>
          </w:tcPr>
          <w:p>
            <w:r>
              <w:rPr>
                <w:rFonts w:ascii="Arial" w:cs="Arial" w:eastAsia="Arial" w:hAnsi="Arial"/>
                <w:color w:val="555555"/>
                <w:sz w:val="20"/>
                <w:szCs w:val="20"/>
              </w:rPr>
              <w:t xml:space="preserve">"X certified Caveau cellars active in Naples homes"</w:t>
            </w:r>
          </w:p>
        </w:tc>
      </w:tr>
    </w:tbl>
    <w:p>
      <w:pPr>
        <w:spacing w:before="180" w:after="80"/>
      </w:pPr>
      <w:r>
        <w:rPr>
          <w:rFonts w:ascii="Arial" w:cs="Arial" w:eastAsia="Arial" w:hAnsi="Arial"/>
          <w:b/>
          <w:bCs/>
          <w:color w:val="0A1628"/>
          <w:sz w:val="20"/>
          <w:szCs w:val="20"/>
        </w:rPr>
        <w:t xml:space="preserve">Phase 2 — Caveau Signature Cellar (Year 2–3)</w:t>
      </w:r>
    </w:p>
    <w:p>
      <w:pPr>
        <w:spacing w:before="60" w:after="60"/>
      </w:pPr>
      <w:r>
        <w:rPr>
          <w:rFonts w:ascii="Arial" w:cs="Arial" w:eastAsia="Arial" w:hAnsi="Arial"/>
          <w:b w:val="false"/>
          <w:bCs w:val="false"/>
          <w:color w:val="555555"/>
          <w:sz w:val="20"/>
          <w:szCs w:val="20"/>
        </w:rPr>
        <w:t xml:space="preserve">Caveau designs a branded modular home cellar unit — a luxury appliance positioned between a wine refrigerator and a full custom build. Ships flat, installs in one day, arrives with Caveau Sentinel sensor pre-installed and pre-configured. Targeted at new members without an existing cellar space.</w:t>
      </w:r>
    </w:p>
    <w:tbl>
      <w:tblPr>
        <w:tblW w:type="dxa" w:w="9360"/>
        <w:tblBorders>
          <w:top w:val="single" w:color="C9A84C" w:sz="4"/>
          <w:left w:val="none"/>
          <w:bottom w:val="single" w:color="C9A84C" w:sz="4"/>
          <w:right w:val="none"/>
          <w:insideH w:val="single" w:color="auto" w:sz="4"/>
          <w:insideV w:val="single" w:color="auto" w:sz="4"/>
        </w:tblBorders>
      </w:tblPr>
      <w:tblGrid>
        <w:gridCol w:w="100"/>
        <w:gridCol w:w="100"/>
      </w:tblGrid>
      <w:tr>
        <w:tc>
          <w:tcPr>
            <w:tcW w:type="dxa" w:w="4680"/>
            <w:shd w:fill="F4F1EA" w:val="clear"/>
            <w:vAlign w:val="center"/>
          </w:tcPr>
          <w:p>
            <w:r>
              <w:rPr>
                <w:rFonts w:ascii="Arial" w:cs="Arial" w:eastAsia="Arial" w:hAnsi="Arial"/>
                <w:b/>
                <w:bCs/>
                <w:color w:val="0A1628"/>
                <w:sz w:val="20"/>
                <w:szCs w:val="20"/>
              </w:rPr>
              <w:t xml:space="preserve">Capacity</w:t>
            </w:r>
          </w:p>
        </w:tc>
        <w:tc>
          <w:tcPr>
            <w:tcW w:type="dxa" w:w="4680"/>
            <w:shd w:fill="F4F1EA" w:val="clear"/>
            <w:vAlign w:val="center"/>
          </w:tcPr>
          <w:p>
            <w:r>
              <w:rPr>
                <w:rFonts w:ascii="Arial" w:cs="Arial" w:eastAsia="Arial" w:hAnsi="Arial"/>
                <w:color w:val="555555"/>
                <w:sz w:val="20"/>
                <w:szCs w:val="20"/>
              </w:rPr>
              <w:t xml:space="preserve">300–500 bottles (750ml + magnum slots)</w:t>
            </w:r>
          </w:p>
        </w:tc>
      </w:tr>
      <w:tr>
        <w:tc>
          <w:tcPr>
            <w:tcW w:type="dxa" w:w="4680"/>
            <w:shd w:fill="FFFFFF" w:val="clear"/>
            <w:vAlign w:val="center"/>
          </w:tcPr>
          <w:p>
            <w:r>
              <w:rPr>
                <w:rFonts w:ascii="Arial" w:cs="Arial" w:eastAsia="Arial" w:hAnsi="Arial"/>
                <w:b/>
                <w:bCs/>
                <w:color w:val="0A1628"/>
                <w:sz w:val="20"/>
                <w:szCs w:val="20"/>
              </w:rPr>
              <w:t xml:space="preserve">Cooling unit</w:t>
            </w:r>
          </w:p>
        </w:tc>
        <w:tc>
          <w:tcPr>
            <w:tcW w:type="dxa" w:w="4680"/>
            <w:shd w:fill="FFFFFF" w:val="clear"/>
            <w:vAlign w:val="center"/>
          </w:tcPr>
          <w:p>
            <w:r>
              <w:rPr>
                <w:rFonts w:ascii="Arial" w:cs="Arial" w:eastAsia="Arial" w:hAnsi="Arial"/>
                <w:color w:val="555555"/>
                <w:sz w:val="20"/>
                <w:szCs w:val="20"/>
              </w:rPr>
              <w:t xml:space="preserve">Integrated CellarPro or WhisperKOOL</w:t>
            </w:r>
          </w:p>
        </w:tc>
      </w:tr>
      <w:tr>
        <w:tc>
          <w:tcPr>
            <w:tcW w:type="dxa" w:w="4680"/>
            <w:shd w:fill="F4F1EA" w:val="clear"/>
            <w:vAlign w:val="center"/>
          </w:tcPr>
          <w:p>
            <w:r>
              <w:rPr>
                <w:rFonts w:ascii="Arial" w:cs="Arial" w:eastAsia="Arial" w:hAnsi="Arial"/>
                <w:b/>
                <w:bCs/>
                <w:color w:val="0A1628"/>
                <w:sz w:val="20"/>
                <w:szCs w:val="20"/>
              </w:rPr>
              <w:t xml:space="preserve">Racking</w:t>
            </w:r>
          </w:p>
        </w:tc>
        <w:tc>
          <w:tcPr>
            <w:tcW w:type="dxa" w:w="4680"/>
            <w:shd w:fill="F4F1EA" w:val="clear"/>
            <w:vAlign w:val="center"/>
          </w:tcPr>
          <w:p>
            <w:r>
              <w:rPr>
                <w:rFonts w:ascii="Arial" w:cs="Arial" w:eastAsia="Arial" w:hAnsi="Arial"/>
                <w:color w:val="555555"/>
                <w:sz w:val="20"/>
                <w:szCs w:val="20"/>
              </w:rPr>
              <w:t xml:space="preserve">Redwood + walnut finish, brass Caveau nameplate</w:t>
            </w:r>
          </w:p>
        </w:tc>
      </w:tr>
      <w:tr>
        <w:tc>
          <w:tcPr>
            <w:tcW w:type="dxa" w:w="4680"/>
            <w:shd w:fill="FFFFFF" w:val="clear"/>
            <w:vAlign w:val="center"/>
          </w:tcPr>
          <w:p>
            <w:r>
              <w:rPr>
                <w:rFonts w:ascii="Arial" w:cs="Arial" w:eastAsia="Arial" w:hAnsi="Arial"/>
                <w:b/>
                <w:bCs/>
                <w:color w:val="0A1628"/>
                <w:sz w:val="20"/>
                <w:szCs w:val="20"/>
              </w:rPr>
              <w:t xml:space="preserve">Sensor</w:t>
            </w:r>
          </w:p>
        </w:tc>
        <w:tc>
          <w:tcPr>
            <w:tcW w:type="dxa" w:w="4680"/>
            <w:shd w:fill="FFFFFF" w:val="clear"/>
            <w:vAlign w:val="center"/>
          </w:tcPr>
          <w:p>
            <w:r>
              <w:rPr>
                <w:rFonts w:ascii="Arial" w:cs="Arial" w:eastAsia="Arial" w:hAnsi="Arial"/>
                <w:color w:val="555555"/>
                <w:sz w:val="20"/>
                <w:szCs w:val="20"/>
              </w:rPr>
              <w:t xml:space="preserve">Caveau Sentinel pre-installed, WiFi out of box</w:t>
            </w:r>
          </w:p>
        </w:tc>
      </w:tr>
      <w:tr>
        <w:tc>
          <w:tcPr>
            <w:tcW w:type="dxa" w:w="4680"/>
            <w:shd w:fill="F4F1EA" w:val="clear"/>
            <w:vAlign w:val="center"/>
          </w:tcPr>
          <w:p>
            <w:r>
              <w:rPr>
                <w:rFonts w:ascii="Arial" w:cs="Arial" w:eastAsia="Arial" w:hAnsi="Arial"/>
                <w:b/>
                <w:bCs/>
                <w:color w:val="0A1628"/>
                <w:sz w:val="20"/>
                <w:szCs w:val="20"/>
              </w:rPr>
              <w:t xml:space="preserve">Target price (installed)</w:t>
            </w:r>
          </w:p>
        </w:tc>
        <w:tc>
          <w:tcPr>
            <w:tcW w:type="dxa" w:w="4680"/>
            <w:shd w:fill="F4F1EA" w:val="clear"/>
            <w:vAlign w:val="center"/>
          </w:tcPr>
          <w:p>
            <w:r>
              <w:rPr>
                <w:rFonts w:ascii="Arial" w:cs="Arial" w:eastAsia="Arial" w:hAnsi="Arial"/>
                <w:color w:val="555555"/>
                <w:sz w:val="20"/>
                <w:szCs w:val="20"/>
              </w:rPr>
              <w:t xml:space="preserve">$8,000–$18,000</w:t>
            </w:r>
          </w:p>
        </w:tc>
      </w:tr>
      <w:tr>
        <w:tc>
          <w:tcPr>
            <w:tcW w:type="dxa" w:w="4680"/>
            <w:shd w:fill="FFFFFF" w:val="clear"/>
            <w:vAlign w:val="center"/>
          </w:tcPr>
          <w:p>
            <w:r>
              <w:rPr>
                <w:rFonts w:ascii="Arial" w:cs="Arial" w:eastAsia="Arial" w:hAnsi="Arial"/>
                <w:b/>
                <w:bCs/>
                <w:color w:val="0A1628"/>
                <w:sz w:val="20"/>
                <w:szCs w:val="20"/>
              </w:rPr>
              <w:t xml:space="preserve">Hardware margin</w:t>
            </w:r>
          </w:p>
        </w:tc>
        <w:tc>
          <w:tcPr>
            <w:tcW w:type="dxa" w:w="4680"/>
            <w:shd w:fill="FFFFFF" w:val="clear"/>
            <w:vAlign w:val="center"/>
          </w:tcPr>
          <w:p>
            <w:r>
              <w:rPr>
                <w:rFonts w:ascii="Arial" w:cs="Arial" w:eastAsia="Arial" w:hAnsi="Arial"/>
                <w:color w:val="555555"/>
                <w:sz w:val="20"/>
                <w:szCs w:val="20"/>
              </w:rPr>
              <w:t xml:space="preserve">$3,000–$6,000 per unit</w:t>
            </w:r>
          </w:p>
        </w:tc>
      </w:tr>
      <w:tr>
        <w:tc>
          <w:tcPr>
            <w:tcW w:type="dxa" w:w="4680"/>
            <w:shd w:fill="F4F1EA" w:val="clear"/>
            <w:vAlign w:val="center"/>
          </w:tcPr>
          <w:p>
            <w:r>
              <w:rPr>
                <w:rFonts w:ascii="Arial" w:cs="Arial" w:eastAsia="Arial" w:hAnsi="Arial"/>
                <w:b/>
                <w:bCs/>
                <w:color w:val="0A1628"/>
                <w:sz w:val="20"/>
                <w:szCs w:val="20"/>
              </w:rPr>
              <w:t xml:space="preserve">Launch market</w:t>
            </w:r>
          </w:p>
        </w:tc>
        <w:tc>
          <w:tcPr>
            <w:tcW w:type="dxa" w:w="4680"/>
            <w:shd w:fill="F4F1EA" w:val="clear"/>
            <w:vAlign w:val="center"/>
          </w:tcPr>
          <w:p>
            <w:r>
              <w:rPr>
                <w:rFonts w:ascii="Arial" w:cs="Arial" w:eastAsia="Arial" w:hAnsi="Arial"/>
                <w:color w:val="555555"/>
                <w:sz w:val="20"/>
                <w:szCs w:val="20"/>
              </w:rPr>
              <w:t xml:space="preserve">Naples, then Fort Myers + Miami (Year 3)</w:t>
            </w:r>
          </w:p>
        </w:tc>
      </w:tr>
    </w:tbl>
    <w:p>
      <w:pPr>
        <w:pBdr>
          <w:bottom w:val="single" w:color="C9A84C" w:sz="6"/>
        </w:pBdr>
        <w:spacing w:before="160" w:after="160"/>
      </w:pPr>
    </w:p>
    <w:p>
      <w:pPr>
        <w:spacing w:before="280" w:after="100"/>
      </w:pPr>
      <w:r>
        <w:rPr>
          <w:rFonts w:ascii="Arial" w:cs="Arial" w:eastAsia="Arial" w:hAnsi="Arial"/>
          <w:b/>
          <w:bCs/>
          <w:color w:val="C9A84C"/>
          <w:sz w:val="24"/>
          <w:szCs w:val="24"/>
        </w:rPr>
        <w:t xml:space="preserve">THE CAVEAU SENTINEL™ — BRANDED IOT SENSOR</w:t>
      </w:r>
    </w:p>
    <w:p>
      <w:pPr>
        <w:spacing w:before="60" w:after="60"/>
      </w:pPr>
      <w:r>
        <w:rPr>
          <w:rFonts w:ascii="Arial" w:cs="Arial" w:eastAsia="Arial" w:hAnsi="Arial"/>
          <w:b w:val="false"/>
          <w:bCs w:val="false"/>
          <w:color w:val="555555"/>
          <w:sz w:val="20"/>
          <w:szCs w:val="20"/>
        </w:rPr>
        <w:t xml:space="preserve">The Caveau Sentinel is Caveau's proprietary IoT sensor device, installed in every certified home cellar and vault location. It is the physical embodiment of the Caveau brand in a member's home — a luxury object that signals membership, monitors conditions continuously, and connects the collection to the platform.</w:t>
      </w:r>
    </w:p>
    <w:p>
      <w:pPr>
        <w:spacing w:before="180" w:after="80"/>
      </w:pPr>
      <w:r>
        <w:rPr>
          <w:rFonts w:ascii="Arial" w:cs="Arial" w:eastAsia="Arial" w:hAnsi="Arial"/>
          <w:b/>
          <w:bCs/>
          <w:color w:val="0A1628"/>
          <w:sz w:val="20"/>
          <w:szCs w:val="20"/>
        </w:rPr>
        <w:t xml:space="preserve">Sentinel Specifications</w:t>
      </w:r>
    </w:p>
    <w:tbl>
      <w:tblPr>
        <w:tblW w:type="dxa" w:w="9360"/>
        <w:tblBorders>
          <w:top w:val="single" w:color="C9A84C" w:sz="4"/>
          <w:left w:val="none"/>
          <w:bottom w:val="single" w:color="C9A84C" w:sz="4"/>
          <w:right w:val="none"/>
          <w:insideH w:val="single" w:color="auto" w:sz="4"/>
          <w:insideV w:val="single" w:color="auto" w:sz="4"/>
        </w:tblBorders>
      </w:tblPr>
      <w:tblGrid>
        <w:gridCol w:w="100"/>
        <w:gridCol w:w="100"/>
      </w:tblGrid>
      <w:tr>
        <w:tc>
          <w:tcPr>
            <w:tcW w:type="dxa" w:w="4680"/>
            <w:shd w:fill="F4F1EA" w:val="clear"/>
            <w:vAlign w:val="center"/>
          </w:tcPr>
          <w:p>
            <w:r>
              <w:rPr>
                <w:rFonts w:ascii="Arial" w:cs="Arial" w:eastAsia="Arial" w:hAnsi="Arial"/>
                <w:b/>
                <w:bCs/>
                <w:color w:val="0A1628"/>
                <w:sz w:val="20"/>
                <w:szCs w:val="20"/>
              </w:rPr>
              <w:t xml:space="preserve">Form factor</w:t>
            </w:r>
          </w:p>
        </w:tc>
        <w:tc>
          <w:tcPr>
            <w:tcW w:type="dxa" w:w="4680"/>
            <w:shd w:fill="F4F1EA" w:val="clear"/>
            <w:vAlign w:val="center"/>
          </w:tcPr>
          <w:p>
            <w:r>
              <w:rPr>
                <w:rFonts w:ascii="Arial" w:cs="Arial" w:eastAsia="Arial" w:hAnsi="Arial"/>
                <w:color w:val="555555"/>
                <w:sz w:val="20"/>
                <w:szCs w:val="20"/>
              </w:rPr>
              <w:t xml:space="preserve">Compact puck, 85mm diameter × 22mm depth</w:t>
            </w:r>
          </w:p>
        </w:tc>
      </w:tr>
      <w:tr>
        <w:tc>
          <w:tcPr>
            <w:tcW w:type="dxa" w:w="4680"/>
            <w:shd w:fill="FFFFFF" w:val="clear"/>
            <w:vAlign w:val="center"/>
          </w:tcPr>
          <w:p>
            <w:r>
              <w:rPr>
                <w:rFonts w:ascii="Arial" w:cs="Arial" w:eastAsia="Arial" w:hAnsi="Arial"/>
                <w:b/>
                <w:bCs/>
                <w:color w:val="0A1628"/>
                <w:sz w:val="20"/>
                <w:szCs w:val="20"/>
              </w:rPr>
              <w:t xml:space="preserve">Finish</w:t>
            </w:r>
          </w:p>
        </w:tc>
        <w:tc>
          <w:tcPr>
            <w:tcW w:type="dxa" w:w="4680"/>
            <w:shd w:fill="FFFFFF" w:val="clear"/>
            <w:vAlign w:val="center"/>
          </w:tcPr>
          <w:p>
            <w:r>
              <w:rPr>
                <w:rFonts w:ascii="Arial" w:cs="Arial" w:eastAsia="Arial" w:hAnsi="Arial"/>
                <w:color w:val="555555"/>
                <w:sz w:val="20"/>
                <w:szCs w:val="20"/>
              </w:rPr>
              <w:t xml:space="preserve">Anodized aluminum, deep navy (RAL 5004)</w:t>
            </w:r>
          </w:p>
        </w:tc>
      </w:tr>
      <w:tr>
        <w:tc>
          <w:tcPr>
            <w:tcW w:type="dxa" w:w="4680"/>
            <w:shd w:fill="F4F1EA" w:val="clear"/>
            <w:vAlign w:val="center"/>
          </w:tcPr>
          <w:p>
            <w:r>
              <w:rPr>
                <w:rFonts w:ascii="Arial" w:cs="Arial" w:eastAsia="Arial" w:hAnsi="Arial"/>
                <w:b/>
                <w:bCs/>
                <w:color w:val="0A1628"/>
                <w:sz w:val="20"/>
                <w:szCs w:val="20"/>
              </w:rPr>
              <w:t xml:space="preserve">Branding</w:t>
            </w:r>
          </w:p>
        </w:tc>
        <w:tc>
          <w:tcPr>
            <w:tcW w:type="dxa" w:w="4680"/>
            <w:shd w:fill="F4F1EA" w:val="clear"/>
            <w:vAlign w:val="center"/>
          </w:tcPr>
          <w:p>
            <w:r>
              <w:rPr>
                <w:rFonts w:ascii="Arial" w:cs="Arial" w:eastAsia="Arial" w:hAnsi="Arial"/>
                <w:color w:val="555555"/>
                <w:sz w:val="20"/>
                <w:szCs w:val="20"/>
              </w:rPr>
              <w:t xml:space="preserve">CAVEAU wordmark engraved in gold on face</w:t>
            </w:r>
          </w:p>
        </w:tc>
      </w:tr>
      <w:tr>
        <w:tc>
          <w:tcPr>
            <w:tcW w:type="dxa" w:w="4680"/>
            <w:shd w:fill="FFFFFF" w:val="clear"/>
            <w:vAlign w:val="center"/>
          </w:tcPr>
          <w:p>
            <w:r>
              <w:rPr>
                <w:rFonts w:ascii="Arial" w:cs="Arial" w:eastAsia="Arial" w:hAnsi="Arial"/>
                <w:b/>
                <w:bCs/>
                <w:color w:val="0A1628"/>
                <w:sz w:val="20"/>
                <w:szCs w:val="20"/>
              </w:rPr>
              <w:t xml:space="preserve">LED indicator</w:t>
            </w:r>
          </w:p>
        </w:tc>
        <w:tc>
          <w:tcPr>
            <w:tcW w:type="dxa" w:w="4680"/>
            <w:shd w:fill="FFFFFF" w:val="clear"/>
            <w:vAlign w:val="center"/>
          </w:tcPr>
          <w:p>
            <w:r>
              <w:rPr>
                <w:rFonts w:ascii="Arial" w:cs="Arial" w:eastAsia="Arial" w:hAnsi="Arial"/>
                <w:color w:val="555555"/>
                <w:sz w:val="20"/>
                <w:szCs w:val="20"/>
              </w:rPr>
              <w:t xml:space="preserve">Single gold LED — solid: connected, pulse: alert, off: standby</w:t>
            </w:r>
          </w:p>
        </w:tc>
      </w:tr>
      <w:tr>
        <w:tc>
          <w:tcPr>
            <w:tcW w:type="dxa" w:w="4680"/>
            <w:shd w:fill="F4F1EA" w:val="clear"/>
            <w:vAlign w:val="center"/>
          </w:tcPr>
          <w:p>
            <w:r>
              <w:rPr>
                <w:rFonts w:ascii="Arial" w:cs="Arial" w:eastAsia="Arial" w:hAnsi="Arial"/>
                <w:b/>
                <w:bCs/>
                <w:color w:val="0A1628"/>
                <w:sz w:val="20"/>
                <w:szCs w:val="20"/>
              </w:rPr>
              <w:t xml:space="preserve">Sensors</w:t>
            </w:r>
          </w:p>
        </w:tc>
        <w:tc>
          <w:tcPr>
            <w:tcW w:type="dxa" w:w="4680"/>
            <w:shd w:fill="F4F1EA" w:val="clear"/>
            <w:vAlign w:val="center"/>
          </w:tcPr>
          <w:p>
            <w:r>
              <w:rPr>
                <w:rFonts w:ascii="Arial" w:cs="Arial" w:eastAsia="Arial" w:hAnsi="Arial"/>
                <w:color w:val="555555"/>
                <w:sz w:val="20"/>
                <w:szCs w:val="20"/>
              </w:rPr>
              <w:t xml:space="preserve">Temperature ±0.5°F, Humidity ±2% RH, Lux/UV, 3-axis vibration</w:t>
            </w:r>
          </w:p>
        </w:tc>
      </w:tr>
      <w:tr>
        <w:tc>
          <w:tcPr>
            <w:tcW w:type="dxa" w:w="4680"/>
            <w:shd w:fill="FFFFFF" w:val="clear"/>
            <w:vAlign w:val="center"/>
          </w:tcPr>
          <w:p>
            <w:r>
              <w:rPr>
                <w:rFonts w:ascii="Arial" w:cs="Arial" w:eastAsia="Arial" w:hAnsi="Arial"/>
                <w:b/>
                <w:bCs/>
                <w:color w:val="0A1628"/>
                <w:sz w:val="20"/>
                <w:szCs w:val="20"/>
              </w:rPr>
              <w:t xml:space="preserve">Connectivity</w:t>
            </w:r>
          </w:p>
        </w:tc>
        <w:tc>
          <w:tcPr>
            <w:tcW w:type="dxa" w:w="4680"/>
            <w:shd w:fill="FFFFFF" w:val="clear"/>
            <w:vAlign w:val="center"/>
          </w:tcPr>
          <w:p>
            <w:r>
              <w:rPr>
                <w:rFonts w:ascii="Arial" w:cs="Arial" w:eastAsia="Arial" w:hAnsi="Arial"/>
                <w:color w:val="555555"/>
                <w:sz w:val="20"/>
                <w:szCs w:val="20"/>
              </w:rPr>
              <w:t xml:space="preserve">WiFi 2.4GHz primary + LTE-M cellular fallback + Bluetooth 5.0</w:t>
            </w:r>
          </w:p>
        </w:tc>
      </w:tr>
      <w:tr>
        <w:tc>
          <w:tcPr>
            <w:tcW w:type="dxa" w:w="4680"/>
            <w:shd w:fill="F4F1EA" w:val="clear"/>
            <w:vAlign w:val="center"/>
          </w:tcPr>
          <w:p>
            <w:r>
              <w:rPr>
                <w:rFonts w:ascii="Arial" w:cs="Arial" w:eastAsia="Arial" w:hAnsi="Arial"/>
                <w:b/>
                <w:bCs/>
                <w:color w:val="0A1628"/>
                <w:sz w:val="20"/>
                <w:szCs w:val="20"/>
              </w:rPr>
              <w:t xml:space="preserve">Power</w:t>
            </w:r>
          </w:p>
        </w:tc>
        <w:tc>
          <w:tcPr>
            <w:tcW w:type="dxa" w:w="4680"/>
            <w:shd w:fill="F4F1EA" w:val="clear"/>
            <w:vAlign w:val="center"/>
          </w:tcPr>
          <w:p>
            <w:r>
              <w:rPr>
                <w:rFonts w:ascii="Arial" w:cs="Arial" w:eastAsia="Arial" w:hAnsi="Arial"/>
                <w:color w:val="555555"/>
                <w:sz w:val="20"/>
                <w:szCs w:val="20"/>
              </w:rPr>
              <w:t xml:space="preserve">USB-C wired + 24hr backup battery</w:t>
            </w:r>
          </w:p>
        </w:tc>
      </w:tr>
      <w:tr>
        <w:tc>
          <w:tcPr>
            <w:tcW w:type="dxa" w:w="4680"/>
            <w:shd w:fill="FFFFFF" w:val="clear"/>
            <w:vAlign w:val="center"/>
          </w:tcPr>
          <w:p>
            <w:r>
              <w:rPr>
                <w:rFonts w:ascii="Arial" w:cs="Arial" w:eastAsia="Arial" w:hAnsi="Arial"/>
                <w:b/>
                <w:bCs/>
                <w:color w:val="0A1628"/>
                <w:sz w:val="20"/>
                <w:szCs w:val="20"/>
              </w:rPr>
              <w:t xml:space="preserve">Mounting</w:t>
            </w:r>
          </w:p>
        </w:tc>
        <w:tc>
          <w:tcPr>
            <w:tcW w:type="dxa" w:w="4680"/>
            <w:shd w:fill="FFFFFF" w:val="clear"/>
            <w:vAlign w:val="center"/>
          </w:tcPr>
          <w:p>
            <w:r>
              <w:rPr>
                <w:rFonts w:ascii="Arial" w:cs="Arial" w:eastAsia="Arial" w:hAnsi="Arial"/>
                <w:color w:val="555555"/>
                <w:sz w:val="20"/>
                <w:szCs w:val="20"/>
              </w:rPr>
              <w:t xml:space="preserve">Magnetic wall plate or adhesive shelf mount</w:t>
            </w:r>
          </w:p>
        </w:tc>
      </w:tr>
      <w:tr>
        <w:tc>
          <w:tcPr>
            <w:tcW w:type="dxa" w:w="4680"/>
            <w:shd w:fill="F4F1EA" w:val="clear"/>
            <w:vAlign w:val="center"/>
          </w:tcPr>
          <w:p>
            <w:r>
              <w:rPr>
                <w:rFonts w:ascii="Arial" w:cs="Arial" w:eastAsia="Arial" w:hAnsi="Arial"/>
                <w:b/>
                <w:bCs/>
                <w:color w:val="0A1628"/>
                <w:sz w:val="20"/>
                <w:szCs w:val="20"/>
              </w:rPr>
              <w:t xml:space="preserve">Data refresh</w:t>
            </w:r>
          </w:p>
        </w:tc>
        <w:tc>
          <w:tcPr>
            <w:tcW w:type="dxa" w:w="4680"/>
            <w:shd w:fill="F4F1EA" w:val="clear"/>
            <w:vAlign w:val="center"/>
          </w:tcPr>
          <w:p>
            <w:r>
              <w:rPr>
                <w:rFonts w:ascii="Arial" w:cs="Arial" w:eastAsia="Arial" w:hAnsi="Arial"/>
                <w:color w:val="555555"/>
                <w:sz w:val="20"/>
                <w:szCs w:val="20"/>
              </w:rPr>
              <w:t xml:space="preserve">Every 1 minute, retained 2 years on platform</w:t>
            </w:r>
          </w:p>
        </w:tc>
      </w:tr>
      <w:tr>
        <w:tc>
          <w:tcPr>
            <w:tcW w:type="dxa" w:w="4680"/>
            <w:shd w:fill="FFFFFF" w:val="clear"/>
            <w:vAlign w:val="center"/>
          </w:tcPr>
          <w:p>
            <w:r>
              <w:rPr>
                <w:rFonts w:ascii="Arial" w:cs="Arial" w:eastAsia="Arial" w:hAnsi="Arial"/>
                <w:b/>
                <w:bCs/>
                <w:color w:val="0A1628"/>
                <w:sz w:val="20"/>
                <w:szCs w:val="20"/>
              </w:rPr>
              <w:t xml:space="preserve">Alert channels</w:t>
            </w:r>
          </w:p>
        </w:tc>
        <w:tc>
          <w:tcPr>
            <w:tcW w:type="dxa" w:w="4680"/>
            <w:shd w:fill="FFFFFF" w:val="clear"/>
            <w:vAlign w:val="center"/>
          </w:tcPr>
          <w:p>
            <w:r>
              <w:rPr>
                <w:rFonts w:ascii="Arial" w:cs="Arial" w:eastAsia="Arial" w:hAnsi="Arial"/>
                <w:color w:val="555555"/>
                <w:sz w:val="20"/>
                <w:szCs w:val="20"/>
              </w:rPr>
              <w:t xml:space="preserve">Push notification, email, SMS</w:t>
            </w:r>
          </w:p>
        </w:tc>
      </w:tr>
    </w:tbl>
    <w:p>
      <w:pPr>
        <w:spacing w:before="180" w:after="80"/>
      </w:pPr>
      <w:r>
        <w:rPr>
          <w:rFonts w:ascii="Arial" w:cs="Arial" w:eastAsia="Arial" w:hAnsi="Arial"/>
          <w:b/>
          <w:bCs/>
          <w:color w:val="0A1628"/>
          <w:sz w:val="20"/>
          <w:szCs w:val="20"/>
        </w:rPr>
        <w:t xml:space="preserve">Manufacturing Roadmap</w:t>
      </w:r>
    </w:p>
    <w:p>
      <w:pPr>
        <w:pStyle w:val="ListParagraph"/>
        <w:numPr>
          <w:ilvl w:val="0"/>
          <w:numId w:val="1"/>
        </w:numPr>
        <w:spacing w:before="40" w:after="40"/>
      </w:pPr>
      <w:r>
        <w:rPr>
          <w:rFonts w:ascii="Arial" w:cs="Arial" w:eastAsia="Arial" w:hAnsi="Arial"/>
          <w:b w:val="false"/>
          <w:bCs w:val="false"/>
          <w:color w:val="555555"/>
          <w:sz w:val="20"/>
          <w:szCs w:val="20"/>
        </w:rPr>
        <w:t xml:space="preserve">Phase 1 (Year 1): White-label SensorPush or Govee hardware with Caveau-branded enclosure. Fastest path to market, lowest capital requirement.</w:t>
      </w:r>
    </w:p>
    <w:p>
      <w:pPr>
        <w:pStyle w:val="ListParagraph"/>
        <w:numPr>
          <w:ilvl w:val="0"/>
          <w:numId w:val="1"/>
        </w:numPr>
        <w:spacing w:before="40" w:after="40"/>
      </w:pPr>
      <w:r>
        <w:rPr>
          <w:rFonts w:ascii="Arial" w:cs="Arial" w:eastAsia="Arial" w:hAnsi="Arial"/>
          <w:b w:val="false"/>
          <w:bCs w:val="false"/>
          <w:color w:val="555555"/>
          <w:sz w:val="20"/>
          <w:szCs w:val="20"/>
        </w:rPr>
        <w:t xml:space="preserve">Phase 2 (Year 2): Custom enclosure designed and manufactured in partnership with a Florida electronics firm. Proprietary PCB with sensor fusion and Caveau firmware. Phase 2 introduces two new Sentinel capabilities: (1) Caveau Bottle Probe Accessory — a machined aluminum probe in matching navy finish that magnetically connects to the Sentinel base and measures actual liquid temperature inside a wine bottle, not just ambient cellar air. No luxury competitor offers this. (2) LTE-M Cellular Fallback — automatic switchover from WiFi to cellular when internet connectivity is lost. During a hurricane or power outage, the Sentinel continues transmitting to the member’s phone and Caveau HQ via cell network. The Moniteur du Vin (now discontinued) was the only prior device with cellular capability — its discontinuation leaves the cellular wine sensor market completely open. Both additions are included in provisional patent filing.</w:t>
      </w:r>
    </w:p>
    <w:p>
      <w:pPr>
        <w:pStyle w:val="ListParagraph"/>
        <w:numPr>
          <w:ilvl w:val="0"/>
          <w:numId w:val="1"/>
        </w:numPr>
        <w:spacing w:before="40" w:after="40"/>
      </w:pPr>
      <w:r>
        <w:rPr>
          <w:rFonts w:ascii="Arial" w:cs="Arial" w:eastAsia="Arial" w:hAnsi="Arial"/>
          <w:b w:val="false"/>
          <w:bCs w:val="false"/>
          <w:color w:val="555555"/>
          <w:sz w:val="20"/>
          <w:szCs w:val="20"/>
        </w:rPr>
        <w:t xml:space="preserve">Phase 3 (Year 3+): Fully proprietary Caveau Sentinel, manufactured at scale, sold standalone and bundled with Signature Cellar. Consider Obsidian Logix hardware expertise for development.</w:t>
      </w:r>
    </w:p>
    <w:p>
      <w:pPr>
        <w:pBdr>
          <w:bottom w:val="single" w:color="C9A84C" w:sz="6"/>
        </w:pBdr>
        <w:spacing w:before="160" w:after="160"/>
      </w:pPr>
    </w:p>
    <w:p>
      <w:pPr>
        <w:spacing w:before="280" w:after="100"/>
      </w:pPr>
      <w:r>
        <w:rPr>
          <w:rFonts w:ascii="Arial" w:cs="Arial" w:eastAsia="Arial" w:hAnsi="Arial"/>
          <w:b/>
          <w:bCs/>
          <w:color w:val="C9A84C"/>
          <w:sz w:val="24"/>
          <w:szCs w:val="24"/>
        </w:rPr>
        <w:t xml:space="preserve">REVENUE MODEL — HOME CELLAR PROGRAM</w:t>
      </w:r>
    </w:p>
    <w:tbl>
      <w:tblPr>
        <w:tblW w:type="dxa" w:w="9360"/>
        <w:tblBorders>
          <w:top w:val="single" w:color="C9A84C" w:sz="4"/>
          <w:left w:val="none"/>
          <w:bottom w:val="single" w:color="C9A84C" w:sz="4"/>
          <w:right w:val="none"/>
          <w:insideH w:val="single" w:color="auto" w:sz="4"/>
          <w:insideV w:val="single" w:color="auto" w:sz="4"/>
        </w:tblBorders>
      </w:tblPr>
      <w:tblGrid>
        <w:gridCol w:w="100"/>
        <w:gridCol w:w="100"/>
      </w:tblGrid>
      <w:tr>
        <w:tc>
          <w:tcPr>
            <w:tcW w:type="dxa" w:w="4680"/>
            <w:shd w:fill="F4F1EA" w:val="clear"/>
            <w:vAlign w:val="center"/>
          </w:tcPr>
          <w:p>
            <w:r>
              <w:rPr>
                <w:rFonts w:ascii="Arial" w:cs="Arial" w:eastAsia="Arial" w:hAnsi="Arial"/>
                <w:b/>
                <w:bCs/>
                <w:color w:val="0A1628"/>
                <w:sz w:val="20"/>
                <w:szCs w:val="20"/>
              </w:rPr>
              <w:t xml:space="preserve">STREAM</w:t>
            </w:r>
          </w:p>
        </w:tc>
        <w:tc>
          <w:tcPr>
            <w:tcW w:type="dxa" w:w="4680"/>
            <w:shd w:fill="F4F1EA" w:val="clear"/>
            <w:vAlign w:val="center"/>
          </w:tcPr>
          <w:p>
            <w:r>
              <w:rPr>
                <w:rFonts w:ascii="Arial" w:cs="Arial" w:eastAsia="Arial" w:hAnsi="Arial"/>
                <w:color w:val="555555"/>
                <w:sz w:val="20"/>
                <w:szCs w:val="20"/>
              </w:rPr>
              <w:t xml:space="preserve">YEAR 2 ESTIMATE</w:t>
            </w:r>
          </w:p>
        </w:tc>
      </w:tr>
      <w:tr>
        <w:tc>
          <w:tcPr>
            <w:tcW w:type="dxa" w:w="4680"/>
            <w:shd w:fill="FFFFFF" w:val="clear"/>
            <w:vAlign w:val="center"/>
          </w:tcPr>
          <w:p>
            <w:r>
              <w:rPr>
                <w:rFonts w:ascii="Arial" w:cs="Arial" w:eastAsia="Arial" w:hAnsi="Arial"/>
                <w:b/>
                <w:bCs/>
                <w:color w:val="0A1628"/>
                <w:sz w:val="20"/>
                <w:szCs w:val="20"/>
              </w:rPr>
              <w:t xml:space="preserve">Installer referral fees</w:t>
            </w:r>
          </w:p>
        </w:tc>
        <w:tc>
          <w:tcPr>
            <w:tcW w:type="dxa" w:w="4680"/>
            <w:shd w:fill="FFFFFF" w:val="clear"/>
            <w:vAlign w:val="center"/>
          </w:tcPr>
          <w:p>
            <w:r>
              <w:rPr>
                <w:rFonts w:ascii="Arial" w:cs="Arial" w:eastAsia="Arial" w:hAnsi="Arial"/>
                <w:color w:val="555555"/>
                <w:sz w:val="20"/>
                <w:szCs w:val="20"/>
              </w:rPr>
              <w:t xml:space="preserve">$500–$1,500 × 20–40 installs = $10K–$60K</w:t>
            </w:r>
          </w:p>
        </w:tc>
      </w:tr>
      <w:tr>
        <w:tc>
          <w:tcPr>
            <w:tcW w:type="dxa" w:w="4680"/>
            <w:shd w:fill="F4F1EA" w:val="clear"/>
            <w:vAlign w:val="center"/>
          </w:tcPr>
          <w:p>
            <w:r>
              <w:rPr>
                <w:rFonts w:ascii="Arial" w:cs="Arial" w:eastAsia="Arial" w:hAnsi="Arial"/>
                <w:b/>
                <w:bCs/>
                <w:color w:val="0A1628"/>
                <w:sz w:val="20"/>
                <w:szCs w:val="20"/>
              </w:rPr>
              <w:t xml:space="preserve">Sentinel hardware (Phase 1 white-label; Phase 2 proprietary with bottle probe + LTE-M cellular)</w:t>
            </w:r>
          </w:p>
        </w:tc>
        <w:tc>
          <w:tcPr>
            <w:tcW w:type="dxa" w:w="4680"/>
            <w:shd w:fill="F4F1EA" w:val="clear"/>
            <w:vAlign w:val="center"/>
          </w:tcPr>
          <w:p>
            <w:r>
              <w:rPr>
                <w:rFonts w:ascii="Arial" w:cs="Arial" w:eastAsia="Arial" w:hAnsi="Arial"/>
                <w:color w:val="555555"/>
                <w:sz w:val="20"/>
                <w:szCs w:val="20"/>
              </w:rPr>
              <w:t xml:space="preserve">Phase 1: $250–$350 COGS → $400–$500 retail (required for Collector tier; included in Reserve and above). Phase 2 (with bottle probe + LTE-M): $80–$120 COGS at 500 units → $1,200–$1,500 retail. Hardware margin improves dramatically at scale.</w:t>
            </w:r>
          </w:p>
        </w:tc>
      </w:tr>
      <w:tr>
        <w:tc>
          <w:tcPr>
            <w:tcW w:type="dxa" w:w="4680"/>
            <w:shd w:fill="FFFFFF" w:val="clear"/>
            <w:vAlign w:val="center"/>
          </w:tcPr>
          <w:p>
            <w:r>
              <w:rPr>
                <w:rFonts w:ascii="Arial" w:cs="Arial" w:eastAsia="Arial" w:hAnsi="Arial"/>
                <w:b/>
                <w:bCs/>
                <w:color w:val="0A1628"/>
                <w:sz w:val="20"/>
                <w:szCs w:val="20"/>
              </w:rPr>
              <w:t xml:space="preserve">New subscription revenue</w:t>
            </w:r>
          </w:p>
        </w:tc>
        <w:tc>
          <w:tcPr>
            <w:tcW w:type="dxa" w:w="4680"/>
            <w:shd w:fill="FFFFFF" w:val="clear"/>
            <w:vAlign w:val="center"/>
          </w:tcPr>
          <w:p>
            <w:r>
              <w:rPr>
                <w:rFonts w:ascii="Arial" w:cs="Arial" w:eastAsia="Arial" w:hAnsi="Arial"/>
                <w:color w:val="555555"/>
                <w:sz w:val="20"/>
                <w:szCs w:val="20"/>
              </w:rPr>
              <w:t xml:space="preserve">40 new members × $29–$149/mo = $14K–$72K ARR</w:t>
            </w:r>
          </w:p>
        </w:tc>
      </w:tr>
      <w:tr>
        <w:tc>
          <w:tcPr>
            <w:tcW w:type="dxa" w:w="4680"/>
            <w:shd w:fill="F4F1EA" w:val="clear"/>
            <w:vAlign w:val="center"/>
          </w:tcPr>
          <w:p>
            <w:r>
              <w:rPr>
                <w:rFonts w:ascii="Arial" w:cs="Arial" w:eastAsia="Arial" w:hAnsi="Arial"/>
                <w:b/>
                <w:bCs/>
                <w:color w:val="0A1628"/>
                <w:sz w:val="20"/>
                <w:szCs w:val="20"/>
              </w:rPr>
              <w:t xml:space="preserve">Insurance referrals (home)</w:t>
            </w:r>
          </w:p>
        </w:tc>
        <w:tc>
          <w:tcPr>
            <w:tcW w:type="dxa" w:w="4680"/>
            <w:shd w:fill="F4F1EA" w:val="clear"/>
            <w:vAlign w:val="center"/>
          </w:tcPr>
          <w:p>
            <w:r>
              <w:rPr>
                <w:rFonts w:ascii="Arial" w:cs="Arial" w:eastAsia="Arial" w:hAnsi="Arial"/>
                <w:color w:val="555555"/>
                <w:sz w:val="20"/>
                <w:szCs w:val="20"/>
              </w:rPr>
              <w:t xml:space="preserve">$5K–$15K incremental</w:t>
            </w:r>
          </w:p>
        </w:tc>
      </w:tr>
      <w:tr>
        <w:tc>
          <w:tcPr>
            <w:tcW w:type="dxa" w:w="4680"/>
            <w:shd w:fill="FFFFFF" w:val="clear"/>
            <w:vAlign w:val="center"/>
          </w:tcPr>
          <w:p>
            <w:r>
              <w:rPr>
                <w:rFonts w:ascii="Arial" w:cs="Arial" w:eastAsia="Arial" w:hAnsi="Arial"/>
                <w:b/>
                <w:bCs/>
                <w:color w:val="0A1628"/>
                <w:sz w:val="20"/>
                <w:szCs w:val="20"/>
              </w:rPr>
              <w:t xml:space="preserve">Exit facilitation (home bottles)</w:t>
            </w:r>
          </w:p>
        </w:tc>
        <w:tc>
          <w:tcPr>
            <w:tcW w:type="dxa" w:w="4680"/>
            <w:shd w:fill="FFFFFF" w:val="clear"/>
            <w:vAlign w:val="center"/>
          </w:tcPr>
          <w:p>
            <w:r>
              <w:rPr>
                <w:rFonts w:ascii="Arial" w:cs="Arial" w:eastAsia="Arial" w:hAnsi="Arial"/>
                <w:color w:val="555555"/>
                <w:sz w:val="20"/>
                <w:szCs w:val="20"/>
              </w:rPr>
              <w:t xml:space="preserve">$10K–$25K incremental commission</w:t>
            </w:r>
          </w:p>
        </w:tc>
      </w:tr>
      <w:tr>
        <w:tc>
          <w:tcPr>
            <w:tcW w:type="dxa" w:w="4680"/>
            <w:shd w:fill="F4F1EA" w:val="clear"/>
            <w:vAlign w:val="center"/>
          </w:tcPr>
          <w:p>
            <w:r>
              <w:rPr>
                <w:rFonts w:ascii="Arial" w:cs="Arial" w:eastAsia="Arial" w:hAnsi="Arial"/>
                <w:b/>
                <w:bCs/>
                <w:color w:val="0A1628"/>
                <w:sz w:val="20"/>
                <w:szCs w:val="20"/>
              </w:rPr>
              <w:t xml:space="preserve">Total Year 2 incremental</w:t>
            </w:r>
          </w:p>
        </w:tc>
        <w:tc>
          <w:tcPr>
            <w:tcW w:type="dxa" w:w="4680"/>
            <w:shd w:fill="F4F1EA" w:val="clear"/>
            <w:vAlign w:val="center"/>
          </w:tcPr>
          <w:p>
            <w:r>
              <w:rPr>
                <w:rFonts w:ascii="Arial" w:cs="Arial" w:eastAsia="Arial" w:hAnsi="Arial"/>
                <w:color w:val="555555"/>
                <w:sz w:val="20"/>
                <w:szCs w:val="20"/>
              </w:rPr>
              <w:t xml:space="preserve">$49K–$172K</w:t>
            </w:r>
          </w:p>
        </w:tc>
      </w:tr>
    </w:tbl>
    <w:p>
      <w:pPr>
        <w:pBdr>
          <w:bottom w:val="single" w:color="C9A84C" w:sz="6"/>
        </w:pBdr>
        <w:spacing w:before="160" w:after="160"/>
      </w:pPr>
    </w:p>
    <w:p>
      <w:pPr>
        <w:spacing w:before="280" w:after="100"/>
      </w:pPr>
      <w:r>
        <w:rPr>
          <w:rFonts w:ascii="Arial" w:cs="Arial" w:eastAsia="Arial" w:hAnsi="Arial"/>
          <w:b/>
          <w:bCs/>
          <w:color w:val="C9A84C"/>
          <w:sz w:val="24"/>
          <w:szCs w:val="24"/>
        </w:rPr>
        <w:t xml:space="preserve">WHY THIS STRENGTHENS THE INVESTOR STORY</w:t>
      </w:r>
    </w:p>
    <w:p>
      <w:pPr>
        <w:pStyle w:val="ListParagraph"/>
        <w:numPr>
          <w:ilvl w:val="0"/>
          <w:numId w:val="1"/>
        </w:numPr>
        <w:spacing w:before="40" w:after="40"/>
      </w:pPr>
      <w:r>
        <w:rPr>
          <w:rFonts w:ascii="Arial" w:cs="Arial" w:eastAsia="Arial" w:hAnsi="Arial"/>
          <w:b w:val="false"/>
          <w:bCs w:val="false"/>
          <w:color w:val="555555"/>
          <w:sz w:val="20"/>
          <w:szCs w:val="20"/>
        </w:rPr>
        <w:t xml:space="preserve">Expands TAM: Addresses the 60% of a collector's portfolio that lives at home, not in a vault</w:t>
      </w:r>
    </w:p>
    <w:p>
      <w:pPr>
        <w:pStyle w:val="ListParagraph"/>
        <w:numPr>
          <w:ilvl w:val="0"/>
          <w:numId w:val="1"/>
        </w:numPr>
        <w:spacing w:before="40" w:after="40"/>
      </w:pPr>
      <w:r>
        <w:rPr>
          <w:rFonts w:ascii="Arial" w:cs="Arial" w:eastAsia="Arial" w:hAnsi="Arial"/>
          <w:b w:val="false"/>
          <w:bCs w:val="false"/>
          <w:color w:val="555555"/>
          <w:sz w:val="20"/>
          <w:szCs w:val="20"/>
        </w:rPr>
        <w:t xml:space="preserve">Deepens moat: A competitor can’t copy the vault infrastructure AND a home cellar network AND a proprietary sensor with bottle probe and LTE-M cellular fallback — three layers that compound into an uncopyable system</w:t>
      </w:r>
    </w:p>
    <w:p>
      <w:pPr>
        <w:pStyle w:val="ListParagraph"/>
        <w:numPr>
          <w:ilvl w:val="0"/>
          <w:numId w:val="1"/>
        </w:numPr>
        <w:spacing w:before="40" w:after="40"/>
      </w:pPr>
      <w:r>
        <w:rPr>
          <w:rFonts w:ascii="Arial" w:cs="Arial" w:eastAsia="Arial" w:hAnsi="Arial"/>
          <w:b w:val="false"/>
          <w:bCs w:val="false"/>
          <w:color w:val="555555"/>
          <w:sz w:val="20"/>
          <w:szCs w:val="20"/>
        </w:rPr>
        <w:t xml:space="preserve">Increases LTV: Every sensor in a home is a touchpoint, a subscription lock, and an exit facilitation opportunity</w:t>
      </w:r>
    </w:p>
    <w:p>
      <w:pPr>
        <w:pStyle w:val="ListParagraph"/>
        <w:numPr>
          <w:ilvl w:val="0"/>
          <w:numId w:val="1"/>
        </w:numPr>
        <w:spacing w:before="40" w:after="40"/>
      </w:pPr>
      <w:r>
        <w:rPr>
          <w:rFonts w:ascii="Arial" w:cs="Arial" w:eastAsia="Arial" w:hAnsi="Arial"/>
          <w:b w:val="false"/>
          <w:bCs w:val="false"/>
          <w:color w:val="555555"/>
          <w:sz w:val="20"/>
          <w:szCs w:val="20"/>
        </w:rPr>
        <w:t xml:space="preserve">Generates investor-ready metrics: 'X certified Caveau cellars active' before the vault even opens</w:t>
      </w:r>
    </w:p>
    <w:p>
      <w:pPr>
        <w:pStyle w:val="ListParagraph"/>
        <w:numPr>
          <w:ilvl w:val="0"/>
          <w:numId w:val="1"/>
        </w:numPr>
        <w:spacing w:before="40" w:after="40"/>
      </w:pPr>
      <w:r>
        <w:rPr>
          <w:rFonts w:ascii="Arial" w:cs="Arial" w:eastAsia="Arial" w:hAnsi="Arial"/>
          <w:b w:val="false"/>
          <w:bCs w:val="false"/>
          <w:color w:val="555555"/>
          <w:sz w:val="20"/>
          <w:szCs w:val="20"/>
        </w:rPr>
        <w:t xml:space="preserve">Builds toward hardware revenue: Phase 2 sensor margins rival SaaS margins at scale</w:t>
      </w:r>
    </w:p>
    <w:p>
      <w:pPr>
        <w:pStyle w:val="ListParagraph"/>
        <w:numPr>
          <w:ilvl w:val="0"/>
          <w:numId w:val="1"/>
        </w:numPr>
        <w:spacing w:before="40" w:after="40"/>
      </w:pPr>
      <w:r>
        <w:rPr>
          <w:rFonts w:ascii="Arial" w:cs="Arial" w:eastAsia="Arial" w:hAnsi="Arial"/>
          <w:b w:val="false"/>
          <w:bCs w:val="false"/>
          <w:color w:val="555555"/>
          <w:sz w:val="20"/>
          <w:szCs w:val="20"/>
        </w:rPr>
        <w:t xml:space="preserve">Naples proof of concept: Rob Saenz's personal Naples home cellar is the first Caveau Certified installation</w:t>
      </w:r>
    </w:p>
    <w:p>
      <w:pPr>
        <w:pBdr>
          <w:bottom w:val="single" w:color="C9A84C" w:sz="6"/>
        </w:pBdr>
        <w:spacing w:before="160" w:after="160"/>
      </w:pPr>
    </w:p>
    <w:p>
      <w:pPr>
        <w:shd w:fill="0A1628" w:val="clear"/>
        <w:spacing w:before="200" w:after="0"/>
        <w:jc w:val="center"/>
      </w:pPr>
      <w:r>
        <w:rPr>
          <w:rFonts w:ascii="Arial" w:cs="Arial" w:eastAsia="Arial" w:hAnsi="Arial"/>
          <w:color w:val="7A90B0"/>
          <w:sz w:val="18"/>
          <w:szCs w:val="18"/>
        </w:rPr>
        <w:t xml:space="preserve">CAVEAU  ·  Rob@caveauwine.com  ·  caveauwine.com  ·  Naples, Florida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2026-03-14T23:24:58.535Z</dcterms:created>
  <dcterms:modified xsi:type="dcterms:W3CDTF">2026-03-14T23:24:58.536Z</dcterms:modified>
</cp:coreProperties>
</file>

<file path=docProps/custom.xml><?xml version="1.0" encoding="utf-8"?>
<Properties xmlns="http://schemas.openxmlformats.org/officeDocument/2006/custom-properties" xmlns:vt="http://schemas.openxmlformats.org/officeDocument/2006/docPropsVTypes"/>
</file>