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House Style</w:t>
      </w:r>
    </w:p>
    <w:p>
      <w:pPr>
        <w:pStyle w:val="Subtitle"/>
      </w:pPr>
      <w:r>
        <w:rPr>
          <w:b/>
          <w:smallCaps/>
          <w:color w:val="9C4A2F"/>
        </w:rPr>
        <w:t xml:space="preserve">Quire Press</w:t>
      </w:r>
      <w:r>
        <w:rPr>
          <w:color w:val="5A6672"/>
        </w:rPr>
        <w:t xml:space="preserve">  ·  Composition and prepress  ·  Fourth revision</w:t>
      </w:r>
    </w:p>
    <w:p>
      <w:pPr>
        <w:pStyle w:val="BodyText"/>
      </w:pPr>
      <w:r>
        <w:t xml:space="preserve">This is how we set type. It is not a standard, and nobody outside this building has agreed to it. It is a record of the arguments we have already had, written down so that we do not have to have them again on a Tuesday afternoon with a form locked up and the press waiting. Where a rule here disagrees with the job in front of you, the job wins. But say so out loud, and say why, and we will write the exception into the next revision.</w:t>
      </w:r>
    </w:p>
    <w:p>
      <w:pPr>
        <w:pStyle w:val="BodyText"/>
      </w:pPr>
      <w:r>
        <w:t xml:space="preserve">Most of what follows is about restraint. A page that draws attention to its own cleverness has failed at the only task it was given, which is to hand the reader a sentence without the reader noticing the hand.</w:t>
      </w:r>
    </w:p>
    <w:p>
      <w:pPr>
        <w:pStyle w:val="Heading2"/>
      </w:pPr>
      <w:r>
        <w:t xml:space="preserve">The measure and the leading</w:t>
      </w:r>
    </w:p>
    <w:p>
      <w:pPr>
        <w:pStyle w:val="Heading3"/>
      </w:pPr>
      <w:r>
        <w:t xml:space="preserve">Setting the measure</w:t>
      </w:r>
    </w:p>
    <w:p>
      <w:pPr>
        <w:pStyle w:val="BodyText"/>
      </w:pPr>
      <w:r>
        <w:t xml:space="preserve">Set the measure by counting characters, not by counting picas. We want between sixty and seventy-two characters to the line, counting spaces, and we are happiest at sixty-six. Below fifty-five the eye starts snapping back to the left margin too often and the reader feels hurried without knowing why. Above eighty the return sweep gets unreliable, lines get read twice, and the reader begins to lose their place in a way they will blame on themselves rather than on us.</w:t>
      </w:r>
    </w:p>
    <w:p>
      <w:pPr>
        <w:pStyle w:val="BodyText"/>
      </w:pPr>
      <w:r>
        <w:t xml:space="preserve">The quickest test costs nothing. Set the lowercase alphabet twice at the working size, measure it, and take about two and a half of those lengths as your measure. It is a rough instrument and it is nearly always right.</w:t>
      </w:r>
    </w:p>
    <w:p>
      <w:pPr>
        <w:pStyle w:val="Heading3"/>
      </w:pPr>
      <w:r>
        <w:t xml:space="preserve">Choosing leading</w:t>
      </w:r>
    </w:p>
    <w:p>
      <w:pPr>
        <w:pStyle w:val="BodyText"/>
      </w:pPr>
      <w:r>
        <w:t xml:space="preserve">Leading follows the measure, never the other way around. A long line needs more air beneath it because the return sweep is longer and needs a clearer runway. For text at ten point on a sixty-six character measure we start at fourteen point of leading and adjust by ear. A face with a large x-height wants more; a face with long, generous ascenders will often carry less and look better for it.</w:t>
      </w:r>
    </w:p>
    <w:p>
      <w:pPr>
        <w:pStyle w:val="BodyText"/>
      </w:pPr>
      <w:r>
        <w:t xml:space="preserve">Watch the </w:t>
      </w:r>
      <w:r>
        <w:rPr>
          <w:i/>
        </w:rPr>
        <w:t xml:space="preserve">colour</w:t>
      </w:r>
      <w:r>
        <w:t xml:space="preserve"> of the block, which is the grey you see when you unfocus your eyes and stop reading. If the block looks striped, the leading is fighting the word spacing. If it looks like a wall, you have not given it enough.</w:t>
      </w:r>
    </w:p>
    <w:p>
      <w:pPr>
        <w:pStyle w:val="Heading2"/>
      </w:pPr>
      <w:r>
        <w:t xml:space="preserve">Capitals, small capitals, numerals</w:t>
      </w:r>
    </w:p>
    <w:p>
      <w:pPr>
        <w:pStyle w:val="BodyText"/>
      </w:pPr>
      <w:r>
        <w:t xml:space="preserve">Full capitals are loud, and we spend them carefully. Small capitals are the polite version and do most of the work here.</w:t>
      </w:r>
    </w:p>
    <w:p>
      <w:pPr>
        <w:pStyle w:val="ListParagraph"/>
        <w:numPr>
          <w:ilvl w:val="0"/>
          <w:numId w:val="1"/>
        </w:numPr>
      </w:pPr>
      <w:r>
        <w:t xml:space="preserve">Use small capitals for strings of capitals that fall inside running text: acronyms, era markers, and the odd shouted word in dialogue.</w:t>
      </w:r>
    </w:p>
    <w:p>
      <w:pPr>
        <w:pStyle w:val="ListParagraph"/>
        <w:numPr>
          <w:ilvl w:val="0"/>
          <w:numId w:val="1"/>
        </w:numPr>
      </w:pPr>
      <w:r>
        <w:t xml:space="preserve">Letterspace small capitals lightly, around forty units. Unspaced small capitals look cramped and slightly ashamed of themselves.</w:t>
      </w:r>
    </w:p>
    <w:p>
      <w:pPr>
        <w:pStyle w:val="ListParagraph"/>
        <w:numPr>
          <w:ilvl w:val="0"/>
          <w:numId w:val="1"/>
        </w:numPr>
      </w:pPr>
      <w:r>
        <w:t xml:space="preserve">Never fake them by shrinking full capitals. The stems go thin, the colour of the line breaks, and everyone who works here will see it from across the room.</w:t>
      </w:r>
    </w:p>
    <w:p>
      <w:pPr>
        <w:pStyle w:val="ListParagraph"/>
        <w:numPr>
          <w:ilvl w:val="0"/>
          <w:numId w:val="1"/>
        </w:numPr>
      </w:pPr>
      <w:r>
        <w:t xml:space="preserve">Exceptions we allow without asking:</w:t>
      </w:r>
    </w:p>
    <w:p>
      <w:pPr>
        <w:pStyle w:val="ListParagraph"/>
        <w:numPr>
          <w:ilvl w:val="1"/>
          <w:numId w:val="1"/>
        </w:numPr>
      </w:pPr>
      <w:r>
        <w:t xml:space="preserve">Two letter country and state abbreviations.</w:t>
      </w:r>
    </w:p>
    <w:p>
      <w:pPr>
        <w:pStyle w:val="ListParagraph"/>
        <w:numPr>
          <w:ilvl w:val="1"/>
          <w:numId w:val="1"/>
        </w:numPr>
      </w:pPr>
      <w:r>
        <w:t xml:space="preserve">Any acronym already set in the client's mark.</w:t>
      </w:r>
    </w:p>
    <w:p>
      <w:pPr>
        <w:pStyle w:val="BodyText"/>
      </w:pPr>
      <w:r>
        <w:t xml:space="preserve">Numerals follow the company they keep. Old style figures in running prose, where they have ascenders and descenders and behave like lowercase letters. Lining figures in tables, where they need to stack.</w:t>
      </w:r>
    </w:p>
    <w:p>
      <w:pPr>
        <w:pStyle w:val="Heading2"/>
      </w:pPr>
      <w:r>
        <w:t xml:space="preserve">The punctuation we argue about</w:t>
      </w:r>
    </w:p>
    <w:p>
      <w:pPr>
        <w:pStyle w:val="BodyText"/>
      </w:pPr>
      <w:r>
        <w:t xml:space="preserve">The long dash. </w:t>
      </w:r>
      <w:r>
        <w:rPr>
          <w:b/>
          <w:i/>
          <w:color w:val="9C4A2F"/>
          <w:sz w:val="22"/>
          <w:szCs w:val="22"/>
          <w:u w:val="single"/>
        </w:rPr>
        <w:t xml:space="preserve">The studio sets a spaced en rule instead of an em rule</w:t>
      </w:r>
      <w:r>
        <w:t xml:space="preserve">, and yes, we know that puts us at odds with most of the reference books on the shelf behind you. The reasoning is practical rather than moral. An unspaced em rule welds two phrases into one dark clot that the eye reads as a single wide character, and at text sizes on cheap paper the ink spread makes it worse. A spaced en rule keeps the pause visible and gives the line somewhere to breathe when it needs to justify. Set thin spaces on either side, not word spaces, and mark the pair as non-breaking so the rule can never begin a line.</w:t>
      </w:r>
    </w:p>
    <w:p>
      <w:pPr>
        <w:pStyle w:val="BodyText"/>
      </w:pPr>
      <w:r>
        <w:t xml:space="preserve">Ellipses get the proper character, spaced from the words on both sides, never three periods hammered in by hand. Quotation marks are always the typographic pairs; a straight mark in a proof is a fault, not a preference. Apostrophes in elided years lean the right way, so the winter of the year is set with the comma-shaped mark, not the opening one, and half of you will get this wrong until you have been caught once.</w:t>
      </w:r>
    </w:p>
    <w:p>
      <w:pPr>
        <w:pStyle w:val="Quotation"/>
      </w:pPr>
      <w:r>
        <w:rPr>
          <w:i/>
        </w:rPr>
        <w:t xml:space="preserve">Set the punctuation for the reader in the chair, not for the compositor in the argument. Every mark you place is a small instruction about breathing, and the reader obeys it whether or not they notice it.</w:t>
      </w:r>
    </w:p>
    <w:p>
      <w:pPr>
        <w:pStyle w:val="Heading2"/>
      </w:pPr>
      <w:r>
        <w:t xml:space="preserve">Hanging punctuation and the optical edge</w:t>
      </w:r>
    </w:p>
    <w:p>
      <w:pPr>
        <w:pStyle w:val="BodyText"/>
      </w:pPr>
      <w:r>
        <w:t xml:space="preserve">A margin is a straight line the reader believes in, and belief is optical rather than mathematical. Quotation marks, hyphens, commas and periods are mostly white space, so when one of them sits flush against the measure it punches a small dent in the edge. Hang them. Push the mark just outside the measure until the edge reads straight.</w:t>
      </w:r>
    </w:p>
    <w:p>
      <w:pPr>
        <w:pStyle w:val="BodyText"/>
      </w:pPr>
      <w:r>
        <w:t xml:space="preserve">How far is a matter of the face and the size. Opening quotation marks usually want to hang by most of their own width. Hyphens at the end of broken words want about a third. Periods and commas want a hair, and a hair is all. If you can see that something is hanging, it is hanging too far and you have traded one dent for a bulge.</w:t>
      </w:r>
    </w:p>
    <w:p>
      <w:pPr>
        <w:pStyle w:val="Figure"/>
      </w:pPr>
      <w:r>
        <w:drawing>
          <wp:inline distT="0" distB="0" distL="0" distR="0">
            <wp:extent cx="4572000" cy="800100"/>
            <wp:effectExtent l="0" t="0" r="0" b="0"/>
            <wp:docPr id="1" name="Picture 1" descr="Duotone proof rule pulled on the Vander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of-rule.png"/>
                    <pic:cNvPicPr/>
                  </pic:nvPicPr>
                  <pic:blipFill>
                    <a:blip r:embed="rId3"/>
                    <a:stretch>
                      <a:fillRect/>
                    </a:stretch>
                  </pic:blipFill>
                  <pic:spPr>
                    <a:xfrm>
                      <a:off x="0" y="0"/>
                      <a:ext cx="4572000" cy="800100"/>
                    </a:xfrm>
                    <a:prstGeom prst="rect">
                      <a:avLst/>
                    </a:prstGeom>
                  </pic:spPr>
                </pic:pic>
              </a:graphicData>
            </a:graphic>
          </wp:inline>
        </w:drawing>
      </w:r>
    </w:p>
    <w:p>
      <w:pPr>
        <w:pStyle w:val="Caption"/>
      </w:pPr>
      <w:r>
        <w:rPr>
          <w:i/>
          <w:color w:val="5A6672"/>
          <w:sz w:val="17"/>
          <w:szCs w:val="17"/>
        </w:rPr>
        <w:t xml:space="preserve">A proof pulled on the Vandercook to check ink coverage and the optical edge before the run.</w:t>
      </w:r>
    </w:p>
    <w:p>
      <w:pPr>
        <w:pStyle w:val="Heading2"/>
      </w:pPr>
      <w:r>
        <w:t xml:space="preserve">Numbers in tables</w:t>
      </w:r>
    </w:p>
    <w:p>
      <w:pPr>
        <w:pStyle w:val="BodyText"/>
      </w:pPr>
      <w:r>
        <w:t xml:space="preserve">Tables are where careless setting shows fastest, because a table asks the reader to compare rather than to read. Everything in a column must be comparable at a glance, which means the digits have to line up on the thing the reader is actually comparing.</w:t>
      </w:r>
    </w:p>
    <w:tbl>
      <w:tblPr>
        <w:tblStyle w:val="TableGrid"/>
        <w:tblW w:w="8600" w:type="dxa"/>
        <w:tblBorders>
          <w:top w:val="single" w:sz="8" w:space="0" w:color="1F3243"/>
          <w:left w:val="single" w:sz="4" w:space="0" w:color="B9C2CB"/>
          <w:bottom w:val="single" w:sz="8" w:space="0" w:color="1F3243"/>
          <w:right w:val="single" w:sz="4" w:space="0" w:color="B9C2CB"/>
          <w:insideH w:val="single" w:sz="4" w:space="0" w:color="B9C2CB"/>
          <w:insideV w:val="single" w:sz="4" w:space="0" w:color="B9C2CB"/>
        </w:tblBorders>
        <w:tblCellMar>
          <w:top w:w="72" w:type="dxa"/>
          <w:left w:w="108" w:type="dxa"/>
          <w:bottom w:w="72" w:type="dxa"/>
          <w:right w:w="108" w:type="dxa"/>
        </w:tblCellMar>
      </w:tblPr>
      <w:tblGrid>
        <w:gridCol w:w="3400"/>
        <w:gridCol w:w="2600"/>
        <w:gridCol w:w="2600"/>
      </w:tblGrid>
      <w:tr>
        <w:trPr>
          <w:tblHeader/>
          <w:cantSplit/>
        </w:trPr>
        <w:tc>
          <w:tcPr>
            <w:tcW w:w="3400" w:type="dxa"/>
            <w:shd w:val="clear" w:color="auto" w:fill="1F3243"/>
            <w:vAlign w:val="center"/>
          </w:tcPr>
          <w:p>
            <w:pPr>
              <w:pStyle w:val="TableCell"/>
            </w:pPr>
            <w:r>
              <w:rPr>
                <w:b/>
                <w:color w:val="FFFFFF"/>
              </w:rPr>
              <w:t xml:space="preserve">Kind of number</w:t>
            </w:r>
          </w:p>
        </w:tc>
        <w:tc>
          <w:tcPr>
            <w:tcW w:w="2600" w:type="dxa"/>
            <w:shd w:val="clear" w:color="auto" w:fill="1F3243"/>
            <w:vAlign w:val="center"/>
          </w:tcPr>
          <w:p>
            <w:pPr>
              <w:pStyle w:val="TableCell"/>
            </w:pPr>
            <w:r>
              <w:rPr>
                <w:b/>
                <w:color w:val="FFFFFF"/>
              </w:rPr>
              <w:t xml:space="preserve">How we set it</w:t>
            </w:r>
          </w:p>
        </w:tc>
        <w:tc>
          <w:tcPr>
            <w:tcW w:w="2600" w:type="dxa"/>
            <w:shd w:val="clear" w:color="auto" w:fill="1F3243"/>
            <w:vAlign w:val="center"/>
          </w:tcPr>
          <w:p>
            <w:pPr>
              <w:pStyle w:val="TableCell"/>
            </w:pPr>
            <w:r>
              <w:rPr>
                <w:b/>
                <w:color w:val="FFFFFF"/>
              </w:rPr>
              <w:t xml:space="preserve">Aligned on</w:t>
            </w:r>
          </w:p>
        </w:tc>
      </w:tr>
      <w:tr>
        <w:tc>
          <w:tcPr>
            <w:tcW w:w="3400" w:type="dxa"/>
            <w:vAlign w:val="center"/>
          </w:tcPr>
          <w:p>
            <w:pPr>
              <w:pStyle w:val="TableCell"/>
            </w:pPr>
            <w:r>
              <w:rPr>
                <w:b/>
              </w:rPr>
              <w:t xml:space="preserve">Running text</w:t>
            </w:r>
          </w:p>
        </w:tc>
        <w:tc>
          <w:tcPr>
            <w:tcW w:w="2600" w:type="dxa"/>
            <w:vAlign w:val="center"/>
          </w:tcPr>
          <w:p>
            <w:pPr>
              <w:pStyle w:val="TableCell"/>
            </w:pPr>
            <w:r>
              <w:t xml:space="preserve">Old style, text figures</w:t>
            </w:r>
          </w:p>
        </w:tc>
        <w:tc>
          <w:tcPr>
            <w:tcW w:w="2600" w:type="dxa"/>
            <w:vAlign w:val="center"/>
          </w:tcPr>
          <w:p>
            <w:pPr>
              <w:pStyle w:val="TableCell"/>
            </w:pPr>
            <w:r>
              <w:t xml:space="preserve">Nothing, they sit in the line</w:t>
            </w:r>
          </w:p>
        </w:tc>
      </w:tr>
      <w:tr>
        <w:tc>
          <w:tcPr>
            <w:tcW w:w="3400" w:type="dxa"/>
            <w:vAlign w:val="center"/>
          </w:tcPr>
          <w:p>
            <w:pPr>
              <w:pStyle w:val="TableCell"/>
            </w:pPr>
            <w:r>
              <w:rPr>
                <w:b/>
              </w:rPr>
              <w:t xml:space="preserve">Money in a column</w:t>
            </w:r>
          </w:p>
        </w:tc>
        <w:tc>
          <w:tcPr>
            <w:tcW w:w="2600" w:type="dxa"/>
            <w:vAlign w:val="center"/>
          </w:tcPr>
          <w:p>
            <w:pPr>
              <w:pStyle w:val="TableCell"/>
            </w:pPr>
            <w:r>
              <w:t xml:space="preserve">Lining, tabular width</w:t>
            </w:r>
          </w:p>
        </w:tc>
        <w:tc>
          <w:tcPr>
            <w:tcW w:w="2600" w:type="dxa"/>
            <w:vAlign w:val="center"/>
          </w:tcPr>
          <w:p>
            <w:pPr>
              <w:pStyle w:val="TableCell"/>
            </w:pPr>
            <w:r>
              <w:t xml:space="preserve">The decimal point</w:t>
            </w:r>
          </w:p>
        </w:tc>
      </w:tr>
      <w:tr>
        <w:tc>
          <w:tcPr>
            <w:tcW w:w="3400" w:type="dxa"/>
            <w:vAlign w:val="center"/>
          </w:tcPr>
          <w:p>
            <w:pPr>
              <w:pStyle w:val="TableCell"/>
            </w:pPr>
            <w:r>
              <w:rPr>
                <w:b/>
              </w:rPr>
              <w:t xml:space="preserve">Quantities and rules</w:t>
            </w:r>
          </w:p>
        </w:tc>
        <w:tc>
          <w:tcPr>
            <w:tcW w:w="2600" w:type="dxa"/>
            <w:vAlign w:val="center"/>
          </w:tcPr>
          <w:p>
            <w:pPr>
              <w:pStyle w:val="TableCell"/>
            </w:pPr>
            <w:r>
              <w:t xml:space="preserve">Lining, tabular width</w:t>
            </w:r>
          </w:p>
        </w:tc>
        <w:tc>
          <w:tcPr>
            <w:tcW w:w="2600" w:type="dxa"/>
            <w:vAlign w:val="center"/>
          </w:tcPr>
          <w:p>
            <w:pPr>
              <w:pStyle w:val="TableCell"/>
            </w:pPr>
            <w:r>
              <w:t xml:space="preserve">The rightmost digit</w:t>
            </w:r>
          </w:p>
        </w:tc>
      </w:tr>
      <w:tr>
        <w:tc>
          <w:tcPr>
            <w:tcW w:w="3400" w:type="dxa"/>
            <w:vAlign w:val="center"/>
          </w:tcPr>
          <w:p>
            <w:pPr>
              <w:pStyle w:val="TableCell"/>
            </w:pPr>
            <w:r>
              <w:rPr>
                <w:b/>
              </w:rPr>
              <w:t xml:space="preserve">Dates in a schedule</w:t>
            </w:r>
          </w:p>
        </w:tc>
        <w:tc>
          <w:tcPr>
            <w:tcW w:w="2600" w:type="dxa"/>
            <w:vAlign w:val="center"/>
          </w:tcPr>
          <w:p>
            <w:pPr>
              <w:pStyle w:val="TableCell"/>
            </w:pPr>
            <w:r>
              <w:t xml:space="preserve">Old style, tabular width</w:t>
            </w:r>
          </w:p>
        </w:tc>
        <w:tc>
          <w:tcPr>
            <w:tcW w:w="2600" w:type="dxa"/>
            <w:vAlign w:val="center"/>
          </w:tcPr>
          <w:p>
            <w:pPr>
              <w:pStyle w:val="TableCell"/>
            </w:pPr>
            <w:r>
              <w:t xml:space="preserve">The first digit of the year</w:t>
            </w:r>
          </w:p>
        </w:tc>
      </w:tr>
      <w:tr>
        <w:tc>
          <w:tcPr>
            <w:tcW w:w="8600" w:type="dxa"/>
            <w:gridSpan w:val="3"/>
            <w:shd w:val="clear" w:color="auto" w:fill="F0EBE0"/>
            <w:vAlign w:val="center"/>
          </w:tcPr>
          <w:p>
            <w:pPr>
              <w:pStyle w:val="TableCell"/>
            </w:pPr>
            <w:r>
              <w:rPr>
                <w:i/>
              </w:rPr>
              <w:t xml:space="preserve">A column of figures is a picture before it is a number. </w:t>
            </w:r>
            <w:r>
              <w:rPr>
                <w:b/>
                <w:i/>
              </w:rPr>
              <w:t xml:space="preserve">If it does not look level, it is not set right.</w:t>
            </w:r>
          </w:p>
        </w:tc>
      </w:tr>
    </w:tbl>
    <w:p>
      <w:pPr>
        <w:pStyle w:val="BodyText"/>
      </w:pPr>
      <w:r>
        <w:t xml:space="preserve">Rules inside a table are a last resort. Space separates columns better than a line does, and a table ruled in both directions has stopped being a table and become a cage. Where we do rule, we rule under the head and above the total, and nowhere else.</w:t>
      </w:r>
    </w:p>
    <w:p>
      <w:r>
        <w:br w:type="page"/>
      </w:r>
    </w:p>
    <w:p>
      <w:pPr>
        <w:pStyle w:val="Heading2"/>
      </w:pPr>
      <w:r>
        <w:t xml:space="preserve">Preparing files for the press</w:t>
      </w:r>
    </w:p>
    <w:p>
      <w:pPr>
        <w:pStyle w:val="BodyText"/>
      </w:pPr>
      <w:r>
        <w:t xml:space="preserve">Everything below exists because we have been bitten by it. Work through it in order, because a later step will happily hide the damage an earlier one caused.</w:t>
      </w:r>
    </w:p>
    <w:p>
      <w:pPr>
        <w:pStyle w:val="ListParagraph"/>
        <w:numPr>
          <w:ilvl w:val="0"/>
          <w:numId w:val="2"/>
        </w:numPr>
      </w:pPr>
      <w:r>
        <w:t xml:space="preserve">Fix the trim size and the bleed before you set a single word. Three millimetres of bleed on every side that will be cut.</w:t>
      </w:r>
    </w:p>
    <w:p>
      <w:pPr>
        <w:pStyle w:val="ListParagraph"/>
        <w:numPr>
          <w:ilvl w:val="0"/>
          <w:numId w:val="2"/>
        </w:numPr>
      </w:pPr>
      <w:r>
        <w:t xml:space="preserve">Convert every colour to the press profile for the stock, and look at the result rather than trusting the conversion.</w:t>
      </w:r>
    </w:p>
    <w:p>
      <w:pPr>
        <w:pStyle w:val="ListParagraph"/>
        <w:numPr>
          <w:ilvl w:val="0"/>
          <w:numId w:val="2"/>
        </w:numPr>
      </w:pPr>
      <w:r>
        <w:t xml:space="preserve">Outline nothing until the very end. Live text survives a correction; outlined text becomes a drawing of a mistake.</w:t>
      </w:r>
    </w:p>
    <w:p>
      <w:pPr>
        <w:pStyle w:val="ListParagraph"/>
        <w:numPr>
          <w:ilvl w:val="0"/>
          <w:numId w:val="2"/>
        </w:numPr>
      </w:pPr>
      <w:r>
        <w:t xml:space="preserve">Check the images at final placed size:</w:t>
      </w:r>
    </w:p>
    <w:p>
      <w:pPr>
        <w:pStyle w:val="ListParagraph"/>
        <w:numPr>
          <w:ilvl w:val="1"/>
          <w:numId w:val="2"/>
        </w:numPr>
      </w:pPr>
      <w:r>
        <w:t xml:space="preserve">Three hundred pixels per inch for halftones.</w:t>
      </w:r>
    </w:p>
    <w:p>
      <w:pPr>
        <w:pStyle w:val="ListParagraph"/>
        <w:numPr>
          <w:ilvl w:val="1"/>
          <w:numId w:val="2"/>
        </w:numPr>
      </w:pPr>
      <w:r>
        <w:t xml:space="preserve">Twelve hundred for line art and anything with a hard edge.</w:t>
      </w:r>
    </w:p>
    <w:p>
      <w:pPr>
        <w:pStyle w:val="ListParagraph"/>
        <w:numPr>
          <w:ilvl w:val="0"/>
          <w:numId w:val="2"/>
        </w:numPr>
      </w:pPr>
      <w:r>
        <w:t xml:space="preserve">Export a flattened proof, print it at full size, and read it on paper. The screen forgives things the paper will not.</w:t>
      </w:r>
    </w:p>
    <w:p>
      <w:pPr>
        <w:pStyle w:val="Heading3"/>
      </w:pPr>
      <w:r>
        <w:t xml:space="preserve">Sending work to us</w:t>
      </w:r>
    </w:p>
    <w:p>
      <w:pPr>
        <w:pStyle w:val="BodyText"/>
      </w:pPr>
      <w:r>
        <w:t xml:space="preserve">Send one package, not a folder of hopeful attachments. Our current checklist lives at </w:t>
      </w:r>
      <w:hyperlink r:id="rId4" w:history="1">
        <w:r>
          <w:rPr>
            <w:rStyle w:val="Hyperlink"/>
          </w:rPr>
          <w:t xml:space="preserve">the prepress checklist</w:t>
        </w:r>
      </w:hyperlink>
      <w:r>
        <w:t xml:space="preserve"> and it is revised whenever a job teaches us something new. Include the fonts you actually used, a printed proof if you have one, and a note about anything you did on purpose that looks like a mistake. That last line saves more time than everything above it.</w:t>
      </w:r>
    </w:p>
    <w:p>
      <w:pPr>
        <w:pStyle w:val="Heading2"/>
      </w:pPr>
      <w:r>
        <w:t xml:space="preserve">Widows, orphans, and the last line</w:t>
      </w:r>
    </w:p>
    <w:p>
      <w:pPr>
        <w:pStyle w:val="BodyText"/>
      </w:pPr>
      <w:r>
        <w:t xml:space="preserve">A widow is a short last line of a paragraph stranded at the top of a column, and it is the worse of the two because it arrives with no context and leaves immediately. An orphan is a first line left alone at the foot of a column. We do not tolerate widows. We tolerate orphans when the alternative is worse, and the alternative is often worse.</w:t>
      </w:r>
    </w:p>
    <w:p>
      <w:pPr>
        <w:pStyle w:val="BodyText"/>
      </w:pPr>
      <w:r>
        <w:t xml:space="preserve">Fix them by rewriting where you are allowed to and by re-breaking where you are not. Steal a word back from the line above. Adjust the tracking of a single paragraph by a unit or two, never the whole page. Run a spread one line long or one line short if the fold allows it. What you may not do is stretch the word spacing until the paragraph goes pale, because the reader will see the pale patch from the far side of the page even if they never work out what they are looking at.</w:t>
      </w:r>
    </w:p>
    <w:p>
      <w:pPr>
        <w:pStyle w:val="BodyText"/>
      </w:pPr>
      <w:r>
        <w:t xml:space="preserve">The last line of a paragraph deserves one more look than you want to give it. It should be shorter than the measure and longer than about a quarter of it, and it should never be a single short word sitting by itself. Give the paragraph an ending it can stand on. That is most of this trade: small decisions, made once, in the right order, by someone who was willing to look again.</w:t>
      </w:r>
    </w:p>
    <w:p>
      <w:pPr>
        <w:pStyle w:val="Caption"/>
      </w:pPr>
      <w:r>
        <w:rPr>
          <w:i/>
          <w:color w:val="5A6672"/>
          <w:sz w:val="17"/>
          <w:szCs w:val="17"/>
        </w:rPr>
        <w:t xml:space="preserve">Composed and revised in the shop. Corrections to the bench, not to the file.</w:t>
      </w:r>
    </w:p>
    <w:sectPr>
      <w:pgSz w:w="11906" w:h="16838"/>
      <w:pgMar w:top="1418" w:right="1418" w:bottom="1418" w:left="1418" w:header="709" w:footer="709" w:gutter="0"/>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1">
    <w:multiLevelType w:val="multilevel"/>
    <w:lvl w:ilvl="0">
      <w:start w:val="1"/>
      <w:numFmt w:val="decimal"/>
      <w:lvlText w:val="%1."/>
      <w:lvlJc w:val="left"/>
      <w:pPr>
        <w:ind w:left="720" w:hanging="420"/>
      </w:pPr>
    </w:lvl>
    <w:lvl w:ilvl="1">
      <w:start w:val="1"/>
      <w:numFmt w:val="lowerLetter"/>
      <w:lvlText w:val="%2)"/>
      <w:lvlJc w:val="left"/>
      <w:pPr>
        <w:ind w:left="1440" w:hanging="420"/>
      </w:pPr>
    </w:lvl>
    <w:lvl w:ilvl="2">
      <w:start w:val="1"/>
      <w:numFmt w:val="lowerRoman"/>
      <w:lvlText w:val="%3."/>
      <w:lvlJc w:val="left"/>
      <w:pPr>
        <w:ind w:left="2160" w:hanging="4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Georgia" w:hAnsi="Georgia" w:cs="Georgia"/>
        <w:sz w:val="21"/>
        <w:szCs w:val="21"/>
        <w:lang w:val="en-GB"/>
      </w:rPr>
    </w:rPrDefault>
    <w:pPrDefault>
      <w:pPr>
        <w:spacing w:after="140" w:line="288" w:lineRule="auto"/>
      </w:pPr>
    </w:pPrDefault>
  </w:docDefaults>
  <w:style w:type="paragraph" w:default="1" w:styleId="Normal">
    <w:name w:val="Normal"/>
    <w:qFormat/>
  </w:style>
  <w:style w:type="paragraph" w:styleId="BodyText">
    <w:name w:val="Body Text"/>
    <w:basedOn w:val="Normal"/>
    <w:qFormat/>
    <w:pPr>
      <w:spacing w:after="140"/>
      <w:jc w:val="both"/>
    </w:pPr>
  </w:style>
  <w:style w:type="paragraph" w:styleId="Heading1">
    <w:name w:val="heading 1"/>
    <w:basedOn w:val="Normal"/>
    <w:next w:val="BodyText"/>
    <w:qFormat/>
    <w:pPr>
      <w:keepNext/>
      <w:keepLines/>
      <w:spacing w:before="0" w:after="120"/>
      <w:outlineLvl w:val="0"/>
    </w:pPr>
    <w:rPr>
      <w:rFonts w:ascii="Georgia" w:hAnsi="Georgia"/>
      <w:b/>
      <w:color w:val="1F3243"/>
      <w:sz w:val="40"/>
      <w:szCs w:val="40"/>
    </w:rPr>
  </w:style>
  <w:style w:type="paragraph" w:styleId="Heading2">
    <w:name w:val="heading 2"/>
    <w:basedOn w:val="Normal"/>
    <w:next w:val="BodyText"/>
    <w:qFormat/>
    <w:pPr>
      <w:keepNext/>
      <w:keepLines/>
      <w:spacing w:before="360" w:after="120"/>
      <w:outlineLvl w:val="1"/>
    </w:pPr>
    <w:rPr>
      <w:rFonts w:ascii="Georgia" w:hAnsi="Georgia"/>
      <w:b/>
      <w:color w:val="1F3243"/>
      <w:sz w:val="30"/>
      <w:szCs w:val="30"/>
    </w:rPr>
  </w:style>
  <w:style w:type="paragraph" w:styleId="Heading3">
    <w:name w:val="heading 3"/>
    <w:basedOn w:val="Normal"/>
    <w:next w:val="BodyText"/>
    <w:qFormat/>
    <w:pPr>
      <w:keepNext/>
      <w:keepLines/>
      <w:spacing w:before="280" w:after="120"/>
      <w:outlineLvl w:val="2"/>
    </w:pPr>
    <w:rPr>
      <w:rFonts w:ascii="Georgia" w:hAnsi="Georgia"/>
      <w:b/>
      <w:i/>
      <w:color w:val="9C4A2F"/>
      <w:sz w:val="24"/>
      <w:szCs w:val="24"/>
    </w:rPr>
  </w:style>
  <w:style w:type="paragraph" w:styleId="Subtitle">
    <w:name w:val="Subtitle"/>
    <w:basedOn w:val="Normal"/>
    <w:qFormat/>
    <w:pPr>
      <w:spacing w:before="0" w:after="360"/>
      <w:pBdr>
        <w:bottom w:val="single" w:sz="6" w:space="6" w:color="C8B79A"/>
      </w:pBdr>
    </w:pPr>
    <w:rPr>
      <w:sz w:val="19"/>
      <w:szCs w:val="19"/>
    </w:rPr>
  </w:style>
  <w:style w:type="paragraph" w:styleId="Quotation">
    <w:name w:val="Quote"/>
    <w:basedOn w:val="Normal"/>
    <w:qFormat/>
    <w:pPr>
      <w:spacing w:before="200" w:after="200"/>
      <w:ind w:left="720" w:right="720"/>
      <w:pBdr>
        <w:left w:val="single" w:sz="12" w:space="10" w:color="9C4A2F"/>
      </w:pBdr>
    </w:pPr>
    <w:rPr>
      <w:i/>
      <w:color w:val="3C4A57"/>
      <w:sz w:val="22"/>
      <w:szCs w:val="22"/>
    </w:rPr>
  </w:style>
  <w:style w:type="paragraph" w:styleId="ListParagraph">
    <w:name w:val="List Paragraph"/>
    <w:basedOn w:val="Normal"/>
    <w:qFormat/>
    <w:pPr>
      <w:spacing w:after="80"/>
      <w:contextualSpacing/>
    </w:pPr>
  </w:style>
  <w:style w:type="paragraph" w:styleId="Caption">
    <w:name w:val="Caption"/>
    <w:basedOn w:val="Normal"/>
    <w:qFormat/>
    <w:pPr>
      <w:spacing w:before="60" w:after="240"/>
      <w:jc w:val="center"/>
    </w:pPr>
    <w:rPr>
      <w:i/>
      <w:sz w:val="17"/>
      <w:szCs w:val="17"/>
    </w:rPr>
  </w:style>
  <w:style w:type="paragraph" w:styleId="Figure">
    <w:name w:val="Figure"/>
    <w:basedOn w:val="Normal"/>
    <w:pPr>
      <w:spacing w:before="200" w:after="0"/>
      <w:jc w:val="center"/>
    </w:pPr>
  </w:style>
  <w:style w:type="paragraph" w:styleId="TableCell">
    <w:name w:val="Table Cell"/>
    <w:basedOn w:val="Normal"/>
    <w:pPr>
      <w:spacing w:before="40" w:after="40" w:line="240" w:lineRule="auto"/>
    </w:pPr>
    <w:rPr>
      <w:sz w:val="19"/>
      <w:szCs w:val="19"/>
    </w:rPr>
  </w:style>
  <w:style w:type="character" w:styleId="Hyperlink">
    <w:name w:val="Hyperlink"/>
    <w:rPr>
      <w:color w:val="9C4A2F"/>
      <w:u w:val="single"/>
    </w:rPr>
  </w:style>
  <w:style w:type="table" w:styleId="TableGrid">
    <w:name w:val="Table Grid"/>
    <w:tblPr>
      <w:tblBorders>
        <w:top w:val="single" w:sz="4" w:space="0" w:color="B9C2CB"/>
        <w:left w:val="single" w:sz="4" w:space="0" w:color="B9C2CB"/>
        <w:bottom w:val="single" w:sz="4" w:space="0" w:color="B9C2CB"/>
        <w:right w:val="single" w:sz="4" w:space="0" w:color="B9C2CB"/>
        <w:insideH w:val="single" w:sz="4" w:space="0" w:color="B9C2CB"/>
        <w:insideV w:val="single" w:sz="4" w:space="0" w:color="B9C2CB"/>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proof-rule.png"/><Relationship Id="rId4" Type="http://schemas.openxmlformats.org/officeDocument/2006/relationships/hyperlink" Target="https://quirepress.example/prepress-checklist" TargetMode="External"/></Relationships>
</file>

<file path=docProps/app.xml><?xml version="1.0" encoding="utf-8"?>
<Properties xmlns="http://schemas.openxmlformats.org/officeDocument/2006/extended-properties" xmlns:vt="http://schemas.openxmlformats.org/officeDocument/2006/docPropsVTypes">
  <Application>Quire Press Composition Desk</Application>
  <Company>Quire Press</Company>
  <Manager>Quire Press</Manager>
  <Pages>2</Pages>
  <Words>1559</Words>
  <Paragraphs>65</Paragraphs>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Style</dc:title>
  <dc:subject>Composition and prepress rules</dc:subject>
  <dc:creator>Quire Press</dc:creator>
  <cp:lastModifiedBy>Quire Press</cp:lastModifiedBy>
  <cp:keywords>typography; composition; prepress; letterpress</cp:keywords>
  <dc:description>The studio rules for setting type, kept so the same arguments are not had twice.</dc:description>
  <dcterms:created xsi:type="dcterms:W3CDTF">2026-01-06T09:00:00Z</dcterms:created>
  <dcterms:modified xsi:type="dcterms:W3CDTF">2026-01-06T09:00:00Z</dcterms:modified>
  <cp:revision>4</cp:revision>
  <cp:category>Studio handbook</cp:category>
</cp:coreProperties>
</file>