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template.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6552A" w14:textId="77777777" w:rsidR="00BE500F" w:rsidRDefault="00000000">
      <w:pPr>
        <w:pStyle w:val="Title"/>
      </w:pPr>
      <w:r>
        <w:t>Policy Effects on Mixed-Citizenship, Same-Sex Unions: A Triple-Difference Analysis</w:t>
      </w:r>
    </w:p>
    <w:p w14:paraId="1C3E147C" w14:textId="77777777" w:rsidR="00BE500F" w:rsidRDefault="00000000">
      <w:pPr>
        <w:pStyle w:val="FirstParagraph"/>
      </w:pPr>
      <w:r>
        <w:rPr>
          <w:b/>
          <w:bCs/>
        </w:rPr>
        <w:t>Abstract</w:t>
      </w:r>
      <w:r>
        <w:t>: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p w14:paraId="14A4A5ED" w14:textId="77777777" w:rsidR="00BE500F" w:rsidRDefault="00000000">
      <w:pPr>
        <w:pStyle w:val="Heading1"/>
      </w:pPr>
      <w:bookmarkStart w:id="0" w:name="introduction"/>
      <w:r>
        <w:t>Introduction</w:t>
      </w:r>
    </w:p>
    <w:p w14:paraId="0B7E3683" w14:textId="77777777" w:rsidR="00BE500F" w:rsidRDefault="00000000">
      <w:pPr>
        <w:pStyle w:val="FirstParagraph"/>
      </w:pPr>
      <w:r>
        <w:t xml:space="preserve">While mixed-citizenship couples generally face barriers to union formation (López 2021), numbers of same-sex couples containing one U.S. citizen and one non-citizen are dramatically </w:t>
      </w:r>
      <w:r>
        <w:lastRenderedPageBreak/>
        <w:t>increasing. This has co-occurred with an important policy change: In 2013, the U.S. Supreme Court ruled the Defense of Marriage Act (DOMA) unconstitutional.</w:t>
      </w:r>
      <w:r>
        <w:rPr>
          <w:vertAlign w:val="superscript"/>
        </w:rPr>
        <w:t>1</w:t>
      </w:r>
      <w:r>
        <w:t xml:space="preserve"> For the first time, U.S. citizens could sponsor the visa of their same-sex fiancé or spouse (Edwards 2013; Carron 2015). In the years since, the U.S. population of immigrant-containing same-sex couples has grown rapidly (Hoffmann and Velasco 2021; Redpath 2022). Data on cohabiting partners and spouses from the American Community Survey (ACS, Ruggles et al. 2021) show that numbers of different-sex, mixed-citizenship couples grew by 8 percent from 2013 to 2019 (from 3.8 million to 4.1 million), while corresponding same-sex couples increased by 197 percent (from 28 thousand to 82 thousand) in the same period. Despite this rapid increase, research on this population has been limited; existing work has largely focused on such unions only outside of the U.S. (Chauvin et al. 2021; Salcedo Robledo 2013; Badgett 2011).</w:t>
      </w:r>
    </w:p>
    <w:p w14:paraId="03FE0906" w14:textId="77777777" w:rsidR="00BE500F" w:rsidRDefault="00000000">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 (Kalmijn 2007; Treas, Lui, and Gubernskaya 2014; Wang and Schofer 2018; Perelli-Harris and Bernardi 2015).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 (Baiocco, Argalia, and Laghi 2014; Abou-Chadi </w:t>
      </w:r>
      <w:r>
        <w:lastRenderedPageBreak/>
        <w:t>and Finnigan 2019).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 (Carron 2015).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14:paraId="43ACDEF5" w14:textId="77777777" w:rsidR="00BE500F" w:rsidRDefault="00000000">
      <w:pPr>
        <w:pStyle w:val="BodyText"/>
      </w:pPr>
      <w:r>
        <w:rPr>
          <w:b/>
          <w:bCs/>
        </w:rPr>
        <w:t>[Figure 1 about here]</w:t>
      </w:r>
    </w:p>
    <w:p w14:paraId="59F2242F" w14:textId="77777777" w:rsidR="00BE500F" w:rsidRDefault="00000000">
      <w:pPr>
        <w:pStyle w:val="BodyText"/>
      </w:pPr>
      <w:r>
        <w:t>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 (Redpath 2022). We proxy the cultural environment at the country of origin through LGB policies, relying on an original dataset indexing LGB policy changes in 123 countries from 1991 to 2019 (Velasco 2018). We stratify the sample by the LGB policy context at the country of origin to examine how the policy environment of the origin country moderates the effect of the end of DOMA on the incidence of mixed-citizenship, same-sex couples in the U.S.</w:t>
      </w:r>
    </w:p>
    <w:p w14:paraId="39630E58" w14:textId="77777777" w:rsidR="00BE500F" w:rsidRDefault="00000000">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w:t>
      </w:r>
      <w:r>
        <w:lastRenderedPageBreak/>
        <w:t>countries with regressive laws experienced no significant increase. Affirming, family-oriented policies seem to be particularly influential.</w:t>
      </w:r>
    </w:p>
    <w:p w14:paraId="282A15B2" w14:textId="77777777" w:rsidR="00BE500F" w:rsidRDefault="00000000">
      <w:pPr>
        <w:pStyle w:val="BodyText"/>
      </w:pPr>
      <w:r>
        <w:t>Our work adds to and connects the burgeoning literature on the importance of culture in shaping both migration (Benson and O’Reilly 2009; Dixon 2020; Thompson 2017) and union decisions (Wang and Schofer 2018; Msibi 2013).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p w14:paraId="718F0B54" w14:textId="77777777" w:rsidR="00BE500F" w:rsidRDefault="00000000">
      <w:pPr>
        <w:pStyle w:val="Heading1"/>
      </w:pPr>
      <w:bookmarkStart w:id="1" w:name="background"/>
      <w:bookmarkEnd w:id="0"/>
      <w:r>
        <w:t>Background</w:t>
      </w:r>
    </w:p>
    <w:p w14:paraId="17B2822A" w14:textId="77777777" w:rsidR="00BE500F" w:rsidRDefault="00000000">
      <w:pPr>
        <w:pStyle w:val="Heading2"/>
      </w:pPr>
      <w:bookmarkStart w:id="2" w:name="X98fdc96d26fdaab07ded1d058a6d5577afb4842"/>
      <w:r>
        <w:t>The Overturning of Defense of Marriage Act and Expansion of Mixed-Citizenship, Same-Sex Unions</w:t>
      </w:r>
    </w:p>
    <w:p w14:paraId="3638476C" w14:textId="77777777" w:rsidR="00BE500F" w:rsidRDefault="00000000">
      <w:pPr>
        <w:pStyle w:val="FirstParagraph"/>
      </w:pPr>
      <w:r>
        <w:t xml:space="preserve">The U.S. Supreme Court overturned the Defense of Marriage Act (DOMA) in </w:t>
      </w:r>
      <w:r>
        <w:rPr>
          <w:i/>
          <w:iCs/>
        </w:rPr>
        <w:t>United States v. Windsor</w:t>
      </w:r>
      <w:r>
        <w:t xml:space="preserve"> 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 </w:t>
      </w:r>
      <w:r>
        <w:rPr>
          <w:i/>
          <w:iCs/>
        </w:rPr>
        <w:t>Windsor</w:t>
      </w:r>
      <w:r>
        <w:t xml:space="preserve"> decision could same-sex couples file federal tax returns jointly, secure Social Security benefits, or participate in federal programs like the Supplemental Nutrition Assistance Program.</w:t>
      </w:r>
    </w:p>
    <w:p w14:paraId="2818BC9F" w14:textId="77777777" w:rsidR="00BE500F" w:rsidRDefault="00000000">
      <w:pPr>
        <w:pStyle w:val="BodyText"/>
      </w:pPr>
      <w:r>
        <w:t xml:space="preserve">The DOMA ruling had another important consequence: unlocking spousal visas for same-sex couples (Edwards 2013). The federal government has long provided a pathway for U.S. </w:t>
      </w:r>
      <w:r>
        <w:lastRenderedPageBreak/>
        <w:t>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2</w:t>
      </w:r>
      <w:r>
        <w:t xml:space="preserve"> 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 </w:t>
      </w:r>
      <w:r>
        <w:rPr>
          <w:i/>
          <w:iCs/>
        </w:rPr>
        <w:t>Windsor</w:t>
      </w:r>
      <w:r>
        <w:t xml:space="preserve"> decision allowed mixed-citizenship couples access to spousal visas and, where legal, for such couples to get married and switch visa types. Following the 2013 end of DOMA, Redpath (2022) finds a 36 percent relative increase in partnering of mixed-citizenship, same-sex couples and a 78 percent increase in these types of marriages.</w:t>
      </w:r>
    </w:p>
    <w:p w14:paraId="5808F70D" w14:textId="77777777" w:rsidR="00BE500F" w:rsidRDefault="00000000">
      <w:pPr>
        <w:pStyle w:val="BodyText"/>
      </w:pPr>
      <w:r>
        <w:t>The dramatic rise in mixed-citizenship, same-sex unions found by Redpath may result from two distinct mechanisms: (1) increased entry into such unions of individuals already residing in the U.S. or (2) new immigration of one or both members of the couple into the U.S. as a result of the policy shift.</w:t>
      </w:r>
      <w:r>
        <w:rPr>
          <w:vertAlign w:val="superscript"/>
        </w:rPr>
        <w:t>3</w:t>
      </w:r>
      <w:r>
        <w:t xml:space="preserve"> Regardless of pathway, rising trends invite us to ask new questions: What are the characteristics of immigrants selecting into these relationships? How does one’s country of origin condition entering into such a union?</w:t>
      </w:r>
    </w:p>
    <w:p w14:paraId="6AFA9F03" w14:textId="77777777" w:rsidR="00BE500F" w:rsidRDefault="00000000">
      <w:pPr>
        <w:pStyle w:val="BodyText"/>
      </w:pPr>
      <w:r>
        <w:t>Indeed, as shown in Figure 1,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p w14:paraId="2BB32882" w14:textId="77777777" w:rsidR="00BE500F" w:rsidRDefault="00000000">
      <w:pPr>
        <w:pStyle w:val="Heading2"/>
      </w:pPr>
      <w:bookmarkStart w:id="3" w:name="X708da6b11595b7fd94ad5fa66bffd7f41953071"/>
      <w:bookmarkEnd w:id="2"/>
      <w:r>
        <w:lastRenderedPageBreak/>
        <w:t>Intersections of Culture, Law, and Sexuality in Understanding Union Formation</w:t>
      </w:r>
    </w:p>
    <w:p w14:paraId="1325C4CB" w14:textId="77777777" w:rsidR="00BE500F" w:rsidRDefault="00000000">
      <w:pPr>
        <w:pStyle w:val="FirstParagraph"/>
      </w:pPr>
      <w:r>
        <w:t>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14:paraId="2AFB50C0" w14:textId="77777777" w:rsidR="00BE500F" w:rsidRDefault="00000000">
      <w:pPr>
        <w:pStyle w:val="BodyText"/>
      </w:pPr>
      <w:r>
        <w:t>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 (Wang and Schofer 2018; Sassler and Lichter 2020; Perelli-Harris and Bernardi 2015). These global processes have weakened family-arranged marriages and created the space for individual preferences to hold greater significance in union formation (Desai and Andrist 2010; Yu and Xie 2015). Yet “individual preferences” regarding partner selection are influenced by the cultural environment in which people are embedded (Hiekel, Liefbroer, and Poortman 2014; Lappegård, Klüsener, and Vignoli 2018). Even at the most intimate of scales, the “when, where, how, why, and with whom” of sexual behaviors themselves are culturally determined (Ahmadi 2003).</w:t>
      </w:r>
    </w:p>
    <w:p w14:paraId="0655A7A7" w14:textId="77777777" w:rsidR="00BE500F" w:rsidRDefault="00000000">
      <w:pPr>
        <w:pStyle w:val="BodyText"/>
      </w:pPr>
      <w:r>
        <w:t xml:space="preserve">Public policy is an important lever that both reflects and alters cultural understandings of unions and stratifies access to their benefits based precisely on such cultural understandings. While certainly not a perfect correlate, laws are nevertheless meaningfully driven by underlying cultural </w:t>
      </w:r>
      <w:r>
        <w:lastRenderedPageBreak/>
        <w:t>values pre-existing within a society (Adamczyk and Pitt 2009; Adamczyk and Liao 2019; Lax and Phillips 2009). But policies are also an important trigger to shape subsequent cultural possibilities in an interactive, recursive process (Abou-Chadi and Finnigan 2019; Hiller and Recoules 2013; Hooghe and Meeusen 2013; Kazyak and Stange 2018). For example, interracial marriages, same-sex marriages, divorce proceedings that confer women greater autonomy, and the rise in nonmarital cohabitation in the U.S. reflect evolving cultural values that connect to changes in these arrangements’ legal governance (Emens 2009; Sassler and Lichter 2020; Perelli-Harris and Bernardi 2015). Moreover, public policies that touch on unions – such as paid family leave, welfare programs, health insurance, hospital visitation, and foster care – all have embedded assumptions regarding an ideal family type (Levitt et al. 2020; Cahill 2005). Consequently, ostensibly “neutral” policies result in stratified participation based on how couples both fit these ideal types and have the requisite resources to access their benefits. The close interactions between public policy and the cultural norms societies place onto unions mean that “values and behavioral expectations about marriage and cohabitation, and about appropriate partners, are likely to be at the forefront of cultural and political clashes around the world” (Sassler and Lichter 2020, 49). While the adoption of any one policy is subject to several factors, a substantial swath of literature details that, broadly, public policies and cultural environments are inextricably linked (Burstein 1991; Minkenberg 2002).</w:t>
      </w:r>
    </w:p>
    <w:p w14:paraId="1F0D533D" w14:textId="77777777" w:rsidR="00BE500F" w:rsidRDefault="00000000">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 (López 2015, 2021; Lichter, Qian, and Tumin 2015; Lee </w:t>
      </w:r>
      <w:r>
        <w:lastRenderedPageBreak/>
        <w:t>and Yamanaka 1990) and elsewhere (Bonjour and de Hart 2021; Medrano 2020; Hoogenraad 2021). Historically, such research has focused on “marital assimilation” – i.e., marriage to a native-born citizen – as an important measure of immigrant integration (Lichter, Qian, and Tumin 2015; Gordon 1964; Lee and Yamanaka 1990). But more recent work has highlighted the particular stressors and barriers that mixed-citizenship couples face (López 2015, 2021; Hoogenraad 2021).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14:paraId="5D3F0D05" w14:textId="77777777" w:rsidR="00BE500F" w:rsidRDefault="00000000">
      <w:pPr>
        <w:pStyle w:val="BodyText"/>
      </w:pPr>
      <w:r>
        <w:t>Second, a burgeoning area of research focuses on same-sex unions (Baumle, Compton, and Poston 2009; Carrington 1999; Rosenfeld and Kim 2005; Kolk and Andersson 2020; Moore 2011; Sullivan 2004; Umberson et al. 2015). Especially following recent U.S. state and federal legalizations in marriage equality, this work compares same-sex to different-sex couples across a range of outcomes, including patterns of assortative mating (Schwartz and Graf 2009; Jepsen and Jepsen 2002); division of household labor (Giddings et al. 2014; Goldberg, Smith, and Perry-Jenkins 2012; Goldberg 2013; van der Vleuten, Jaspers, and van der Lippe 2021); relationship satisfaction (Mackey, Diemer, and O’Brien 2004; Holmberg and Blair 2009); and relationship stability (Manning, Brown, and Stykes 2016; Manning, Westrick-Payne, and Gates 2022; Joyner, Manning, and Bogle 2017). Recent research also seeks to understand how legalization of marriage equality affects propensity to marry (Carpenter 2020), interstate migration (Marcén and Morales 2019), and earnings (Martell and Nash 2020), as well as how shifting legal environments alter LGB individuals’ desire to join such a union or alters their behaviors in the union once legal recognition is conferred (Ocobock 2020).</w:t>
      </w:r>
    </w:p>
    <w:p w14:paraId="56E36C0E" w14:textId="77777777" w:rsidR="00BE500F" w:rsidRDefault="00000000">
      <w:pPr>
        <w:pStyle w:val="BodyText"/>
      </w:pPr>
      <w:r>
        <w:lastRenderedPageBreak/>
        <w:t>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 (Luibhéid 2008). Queer migration research is expanding, yet this area of research largely focuses on refugees seeking asylum in the U.S. or qualitative studies into the motivations and experiences of queer migrants. Thus, scholarship sitting at the intersection of these fields is limited – especially quantitative work. A 2006 report (Long, Stern, and Francoeur 2006) documents the hardship that 33 binational couples faced during the DOMA era. Small-scale work in France (Salcedo Robledo 2013) and the Netherlands (Chauvin et al. 2021) suggests that – even when a legal pathway to partner residency exists – same-sex, mixed-citizenship couples face greater bureaucratic suspicion of the legitimacy of their relationships than different-sex couples. As such, other scholars question the extent to which marriage equality has actually provided pathways to citizenship for same-sex, non-citizen partners (Badgett 2011; Carron 2015).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p w14:paraId="6DB53CDC" w14:textId="77777777" w:rsidR="00BE500F" w:rsidRDefault="00000000">
      <w:pPr>
        <w:pStyle w:val="Heading2"/>
      </w:pPr>
      <w:bookmarkStart w:id="4" w:name="X33e2ddaaed81b4b5284b4579ea6d4b2aa07d22d"/>
      <w:bookmarkEnd w:id="3"/>
      <w:r>
        <w:t>Country of Origin and Selection into Same-Sex Unions</w:t>
      </w:r>
    </w:p>
    <w:p w14:paraId="5CECB3B7" w14:textId="77777777" w:rsidR="00BE500F" w:rsidRDefault="00000000">
      <w:pPr>
        <w:pStyle w:val="FirstParagraph"/>
      </w:pPr>
      <w:r>
        <w:t xml:space="preserve">Although the DOMA decision applied equally to all mixed-citizenship couples, Figure 1 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 “propaganda” laws – remain virtually unchanged. Why might this be? Why would conditions </w:t>
      </w:r>
      <w:r>
        <w:lastRenderedPageBreak/>
        <w:t>at the immigrant partner’s country of origin influence the distribution of same-sex union formation across the population of mixed-citizen couples in the U.S.? We argue that by investigating the interplay between law and culture, we can understand these diverging trends.</w:t>
      </w:r>
    </w:p>
    <w:p w14:paraId="7FB74D9E" w14:textId="77777777" w:rsidR="00BE500F" w:rsidRDefault="00000000">
      <w:pPr>
        <w:pStyle w:val="BodyText"/>
      </w:pPr>
      <w:r>
        <w:t>Relationships, and marriage specifically, are unique cultural products (Rosenfeld 2007). The rituals, symbols, norms, and laws that govern them have different instantiations depending on time and place. These cultural products then influence and are influenced by the legal expectations and conditions associated with relationships (Kalmijn 2007; Treas, Lui, and Gubernskaya 2014; Wang and Schofer 2018). This is especially true for same-sex unions in the present historical moment (Hull 2003; Ocobock 2020). The assimilation of same-sex couples into existing marriage and relationship programs is an ongoing, dynamic process (Bernstein and Taylor 2013; Saez 2011).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 (Cheng, Wu, and Adamczyk 2016; Dion and Díez 2017; Fernández and Lutter 2013; Wang and Schofer 2018). This consequently allows both legal adoption and cultural change related to these issues to occur relatively quickly (Inglehart, Ponarin, and Inglehart 2017). At the end of 2019, 26 countries had recognized marriage equality nationally with an additional 13 recognizing civil unions.</w:t>
      </w:r>
    </w:p>
    <w:p w14:paraId="362993F2" w14:textId="77777777" w:rsidR="00BE500F" w:rsidRDefault="00000000">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 </w:t>
      </w:r>
      <w:r>
        <w:lastRenderedPageBreak/>
        <w:t>(Bernstein and Taylor 2013). This is particularly important as participation in same-sex unions by LGB individuals is a critical strategy to normalize and secure such legal advancements (Ocobock 2020). State recognition of same-sex couples also takes on a recursive process of increasing desirability of forming such a union as participation becomes a real option (Baiocco, Argalia, and Laghi 2014).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14:paraId="741D73F7" w14:textId="77777777" w:rsidR="00BE500F" w:rsidRDefault="00000000">
      <w:pPr>
        <w:pStyle w:val="BodyText"/>
      </w:pPr>
      <w:r>
        <w:t>Conversely, policy environments that are especially regressive may hinder the formation of mixed-citizenship, same-sex unions by immigrants in the U.S. First, regressive contexts can potentially limit the desirability of forming a same-sex union by limiting what is seen as possible (Herek 2011). At the end of 2019, roughly 68 countries still criminalized same-sex sexual acts between two consenting adults (Velasco 2023). While in some countries these laws are rarely enforced, in others, such as Cameroon, there has been an active revival of these laws to terrorize LGB populations (Bongmba 2021). Moreover, the DOMA legislation in the U.S. was not a unique act. More than 30 countries since the 1990s have similarly re-codified a “one man, one woman” definition of marriage either through federal law like DOMA or through constitutional amendments (Velasco 2023).</w:t>
      </w:r>
    </w:p>
    <w:p w14:paraId="28F6CEC2" w14:textId="77777777" w:rsidR="00BE500F" w:rsidRDefault="00000000">
      <w:pPr>
        <w:pStyle w:val="BodyText"/>
      </w:pPr>
      <w:r>
        <w:t xml:space="preserve">Second, even if individuals from these contexts desire a same-sex relationship, there are other social and familial obligations and considerations that can take priority (van Zyl 2011). As mentioned, the liberalization of LGBT+ rights and same-sex union laws strongly correspond to existing levels of individualistic, self-expression values within society (Cheng, Wu, and </w:t>
      </w:r>
      <w:r>
        <w:lastRenderedPageBreak/>
        <w:t>Adamczyk 2016; Dion and Díez 2017; Fernández and Lutter 2013; Wang and Schofer 2018). Consequently, immigrants coming from repressive policy contexts are less likely to have a self-expressive orientation where their individual desire surpasses concerns over familial obligation.</w:t>
      </w:r>
    </w:p>
    <w:p w14:paraId="1F669E0D" w14:textId="77777777" w:rsidR="00BE500F" w:rsidRDefault="00000000">
      <w:pPr>
        <w:pStyle w:val="BodyText"/>
      </w:pPr>
      <w:r>
        <w:t>Third, repressive legal environments can influence how the cultural norms, rituals, and performances of same-sex relationships manifest when they do exist. In the U.S. and many Western countries with marriage equality, mainstream LGB cultures emphasize publicly “coming out” and sameness with heterosexuals using language such as “love is love.” But LGB cultures can look quite different in places where “coming out” risks vulnerability to state-sponsored violence (Msibi 2013). These different cultures can negatively influence whether U.S. immigration bureaucrats in charge of issuing visas perceive relationships as legitimate (Carron 2015).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14:paraId="3ECA2DB1" w14:textId="77777777" w:rsidR="00BE500F" w:rsidRDefault="00000000">
      <w:pPr>
        <w:pStyle w:val="BodyText"/>
      </w:pPr>
      <w:r>
        <w:t>Consequently, we expect that affirming LGB policies at the non-citizen partner’s country of 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14:paraId="6D47B863" w14:textId="77777777" w:rsidR="00BE500F" w:rsidRDefault="00000000">
      <w:pPr>
        <w:pStyle w:val="BodyText"/>
      </w:pPr>
      <w:r>
        <w:t xml:space="preserve">Of course, other factors may be confounding the relationship between LGB policy and incidence of same-sex, mixed-citizenship unions. Economically disadvantaged countries are </w:t>
      </w:r>
      <w:r>
        <w:lastRenderedPageBreak/>
        <w:t>somewhat more likely to have regressive LGB policies, while countries with progressive policies may be more embedded in a global network that enables migration. As described below, our research design accounts for these possible confounders by controlling for the incidence of mixed-citizenship couples more broadly.</w:t>
      </w:r>
    </w:p>
    <w:p w14:paraId="7379AD0A" w14:textId="77777777" w:rsidR="00BE500F" w:rsidRDefault="00000000">
      <w:pPr>
        <w:pStyle w:val="Heading1"/>
      </w:pPr>
      <w:bookmarkStart w:id="5" w:name="data-and-methods"/>
      <w:bookmarkEnd w:id="1"/>
      <w:bookmarkEnd w:id="4"/>
      <w:r>
        <w:t>Data and Methods</w:t>
      </w:r>
    </w:p>
    <w:p w14:paraId="1DF05B3C" w14:textId="77777777" w:rsidR="00BE500F" w:rsidRDefault="00000000">
      <w:pPr>
        <w:pStyle w:val="Heading2"/>
      </w:pPr>
      <w:bookmarkStart w:id="6" w:name="sample"/>
      <w:r>
        <w:t>Sample</w:t>
      </w:r>
    </w:p>
    <w:p w14:paraId="28E8D75A" w14:textId="77777777" w:rsidR="00BE500F" w:rsidRDefault="00000000">
      <w:pPr>
        <w:pStyle w:val="FirstParagraph"/>
      </w:pPr>
      <w:r>
        <w:t>We employ data from the 2008 to 2019 American Community Survey (Ruggles et al. 2021).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 “Mixed-citizenship” couples include one citizen and one non-citizen while “same-sex” couples include two individuals who report the same sex. We exclude individuals younger than 18 or older than 64 in each survey year, and for immigrants we exclude those who immigrated before the age of 18.</w:t>
      </w:r>
    </w:p>
    <w:p w14:paraId="079A6746" w14:textId="77777777" w:rsidR="00BE500F" w:rsidRDefault="00000000">
      <w:pPr>
        <w:pStyle w:val="BodyText"/>
      </w:pPr>
      <w:r>
        <w:t>Beginning in 2008, the Census Bureau made changes to ACS gender and partnership questions in order to prevent errors on these questions (U.S. Census Bureau 2013), so we rely on data only from 2008 onward. In addition, following Gates and Steinberger (2009), we remove all respondents who had either their relationship or sex variable imputed by the Census Bureau. We test sensitivity to hypothetical sex misreporting in Section B of the Online Appendix. See Table 1 for sample sizes.</w:t>
      </w:r>
    </w:p>
    <w:p w14:paraId="49789829" w14:textId="77777777" w:rsidR="00BE500F" w:rsidRDefault="00000000">
      <w:pPr>
        <w:pStyle w:val="BodyText"/>
      </w:pPr>
      <w:r>
        <w:rPr>
          <w:b/>
          <w:bCs/>
        </w:rPr>
        <w:t>[Table 1 about here]</w:t>
      </w:r>
    </w:p>
    <w:p w14:paraId="32722B6C" w14:textId="77777777" w:rsidR="00BE500F" w:rsidRDefault="00000000">
      <w:pPr>
        <w:pStyle w:val="Heading2"/>
      </w:pPr>
      <w:bookmarkStart w:id="7" w:name="analytic-strategy"/>
      <w:bookmarkEnd w:id="6"/>
      <w:r>
        <w:lastRenderedPageBreak/>
        <w:t>Analytic Strategy</w:t>
      </w:r>
    </w:p>
    <w:p w14:paraId="60F88F7F" w14:textId="77777777" w:rsidR="00BE500F" w:rsidRDefault="00000000">
      <w:pPr>
        <w:pStyle w:val="FirstParagraph"/>
      </w:pPr>
      <w:r>
        <w:t>Our analytic strategy proceeds in two parts. First, how does LGB policy at countries of origin moderate the effect of the repeal of DOMA on the incidence of same-sex, mixed-citizenship couples in the U.S.? To isolate the effect of the 2013 DOMA repeal, we employ a triple difference, or difference-in-differences-in-differences (DDD), quasi-Poisson design (Hausman, Hall, and Griliches 1984; Olden and Møen 2022).</w:t>
      </w:r>
    </w:p>
    <w:p w14:paraId="3AA5DCFE" w14:textId="77777777" w:rsidR="00BE500F" w:rsidRDefault="00000000">
      <w:pPr>
        <w:pStyle w:val="BodyText"/>
      </w:pPr>
      <w:r>
        <w:t>This design has a number of advantages over other choices, which we compare conceptually in Figure 2. A simple difference (D) design compares numbers of mixed-citizenship, same-sex couples before and after 2013, descriptively quantifying the trend show in Figure 1.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Or the apparent effect could reflect changes in economic dynamics or networks that are confounding the relationship. In order to account for these possibilities,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14:paraId="081BDEA8" w14:textId="77777777" w:rsidR="00BE500F" w:rsidRDefault="00000000">
      <w:pPr>
        <w:pStyle w:val="BodyText"/>
      </w:pPr>
      <w:r>
        <w:t xml:space="preserve">Estimating this difference using a linear model is not ideal because absolute numbers of same-sex couples are small. We are instead interested in the </w:t>
      </w:r>
      <w:r>
        <w:rPr>
          <w:i/>
          <w:iCs/>
        </w:rPr>
        <w:t>relative</w:t>
      </w:r>
      <w:r>
        <w:t xml:space="preserve"> rise in incidence of mixed-citizenship, same-sex couples. Hence we model counts as draws from a Poisson distribution, which </w:t>
      </w:r>
      <w:r>
        <w:lastRenderedPageBreak/>
        <w:t>is unaffected by the small absolute numbers of same-sex, mixed-citizenship couples; after transformation, coefficients from a Poisson model can be interpreted as percent increases.</w:t>
      </w:r>
      <w:r>
        <w:rPr>
          <w:vertAlign w:val="superscript"/>
        </w:rPr>
        <w:t>4</w:t>
      </w:r>
      <w:r>
        <w:t xml:space="preserve"> We estimate the Poisson model using quasi-maximum likelihood estimation (QMLE). Unlike Maximum Likelihood Estimation, QMLE does not assume the mean and variance of the distribution are equal (Cameron and Trivedi 2005, 667).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14:paraId="30399977" w14:textId="77777777" w:rsidR="00BE500F" w:rsidRDefault="00000000">
      <w:pPr>
        <w:pStyle w:val="BodyText"/>
      </w:pPr>
      <w:r>
        <w:rPr>
          <w:b/>
          <w:bCs/>
        </w:rPr>
        <w:t>[Figure 2 about here]</w:t>
      </w:r>
    </w:p>
    <w:p w14:paraId="2CC13A2E" w14:textId="77777777" w:rsidR="00BE500F" w:rsidRDefault="00000000">
      <w:pPr>
        <w:pStyle w:val="BodyText"/>
      </w:pPr>
      <w:r>
        <w:t>Our estimand is the relative change in incidence of individuals in mixed-citizenship, same-sex couples following the repeal of DOMA in 2013. We estimate this as the coefficient to a three-way interaction between indicators for same-sex, mixed-citizenship, and post-2013 survey year. We write our model as</w:t>
      </w:r>
    </w:p>
    <w:p w14:paraId="0BE1C949" w14:textId="77777777" w:rsidR="00BE500F"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gst</m:t>
                    </m:r>
                  </m:sub>
                </m:sSub>
                <m:r>
                  <m:rPr>
                    <m:sty m:val="p"/>
                  </m:rPr>
                  <w:rPr>
                    <w:rFonts w:ascii="Cambria Math" w:hAnsi="Cambria Math"/>
                  </w:rPr>
                  <m:t>=</m:t>
                </m:r>
              </m:e>
              <m:e>
                <m:r>
                  <m:rPr>
                    <m:sty m:val="p"/>
                  </m:rPr>
                  <w:rPr>
                    <w:rFonts w:ascii="Cambria Math" w:hAnsi="Cambria Math"/>
                  </w:rPr>
                  <m:t>exp[</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g</m:t>
                        </m:r>
                      </m:sub>
                    </m:sSub>
                    <m:r>
                      <m:rPr>
                        <m:sty m:val="p"/>
                      </m:rPr>
                      <w:rPr>
                        <w:rFonts w:ascii="Cambria Math" w:hAnsi="Cambria Math"/>
                      </w:rPr>
                      <m:t>×</m:t>
                    </m:r>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g</m:t>
                        </m:r>
                      </m:sub>
                    </m:sSub>
                    <m:r>
                      <m:rPr>
                        <m:sty m:val="p"/>
                      </m:rPr>
                      <w:rPr>
                        <w:rFonts w:ascii="Cambria Math" w:hAnsi="Cambria Math"/>
                      </w:rPr>
                      <m:t>×</m:t>
                    </m:r>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e>
                </m:d>
                <m:r>
                  <w:rPr>
                    <w:rFonts w:ascii="Cambria Math" w:hAnsi="Cambria Math"/>
                  </w:rPr>
                  <m:t>  </m:t>
                </m:r>
                <m:d>
                  <m:dPr>
                    <m:ctrlPr>
                      <w:rPr>
                        <w:rFonts w:ascii="Cambria Math" w:hAnsi="Cambria Math"/>
                      </w:rPr>
                    </m:ctrlPr>
                  </m:dPr>
                  <m:e>
                    <m:r>
                      <w:rPr>
                        <w:rFonts w:ascii="Cambria Math" w:hAnsi="Cambria Math"/>
                      </w:rPr>
                      <m:t>1</m:t>
                    </m:r>
                  </m:e>
                </m:d>
              </m:e>
            </m:mr>
            <m:mr>
              <m:e/>
              <m:e>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m:t>
                        </m:r>
                      </m:sub>
                    </m:sSub>
                    <m:r>
                      <m:rPr>
                        <m:sty m:val="p"/>
                      </m:rPr>
                      <w:rPr>
                        <w:rFonts w:ascii="Cambria Math" w:hAnsi="Cambria Math"/>
                      </w:rPr>
                      <m:t>×</m:t>
                    </m:r>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gs</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m:rPr>
                    <m:sty m:val="p"/>
                  </m:rPr>
                  <w:rPr>
                    <w:rFonts w:ascii="Cambria Math" w:hAnsi="Cambria Math"/>
                  </w:rPr>
                  <m:t>+</m:t>
                </m:r>
                <m:r>
                  <w:rPr>
                    <w:rFonts w:ascii="Cambria Math" w:hAnsi="Cambria Math"/>
                  </w:rPr>
                  <m:t>ζ</m:t>
                </m:r>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gst</m:t>
                    </m:r>
                  </m:sub>
                </m:sSub>
                <m:r>
                  <m:rPr>
                    <m:sty m:val="p"/>
                  </m:rPr>
                  <w:rPr>
                    <w:rFonts w:ascii="Cambria Math" w:hAnsi="Cambria Math"/>
                  </w:rPr>
                  <m:t>]</m:t>
                </m:r>
              </m:e>
            </m:mr>
          </m:m>
        </m:oMath>
      </m:oMathPara>
    </w:p>
    <w:p w14:paraId="6FF3AF70" w14:textId="77777777" w:rsidR="00BE500F" w:rsidRDefault="00000000">
      <w:pPr>
        <w:pStyle w:val="FirstParagrap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gst</m:t>
            </m:r>
          </m:sub>
        </m:sSub>
      </m:oMath>
      <w:r>
        <w:t xml:space="preserve"> is the count of individuals in group </w:t>
      </w:r>
      <m:oMath>
        <m:r>
          <w:rPr>
            <w:rFonts w:ascii="Cambria Math" w:hAnsi="Cambria Math"/>
          </w:rPr>
          <m:t>g</m:t>
        </m:r>
      </m:oMath>
      <w:r>
        <w:t xml:space="preserve"> in state </w:t>
      </w:r>
      <m:oMath>
        <m:r>
          <w:rPr>
            <w:rFonts w:ascii="Cambria Math" w:hAnsi="Cambria Math"/>
          </w:rPr>
          <m:t>s</m:t>
        </m:r>
      </m:oMath>
      <w:r>
        <w:t xml:space="preserve"> in survey year </w:t>
      </w:r>
      <m:oMath>
        <m:r>
          <w:rPr>
            <w:rFonts w:ascii="Cambria Math" w:hAnsi="Cambria Math"/>
          </w:rPr>
          <m:t>t</m:t>
        </m:r>
      </m:oMath>
      <w:r>
        <w:t xml:space="preserve">; </w:t>
      </w:r>
      <m:oMath>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oMath>
      <w:r>
        <w:t xml:space="preserve"> is an indicator variable for </w:t>
      </w:r>
      <m:oMath>
        <m:r>
          <w:rPr>
            <w:rFonts w:ascii="Cambria Math" w:hAnsi="Cambria Math"/>
          </w:rPr>
          <m:t>t</m:t>
        </m:r>
        <m:r>
          <m:rPr>
            <m:sty m:val="p"/>
          </m:rPr>
          <w:rPr>
            <w:rFonts w:ascii="Cambria Math" w:hAnsi="Cambria Math"/>
          </w:rPr>
          <m:t>&gt;</m:t>
        </m:r>
        <m:r>
          <w:rPr>
            <w:rFonts w:ascii="Cambria Math" w:hAnsi="Cambria Math"/>
          </w:rPr>
          <m:t>2013</m:t>
        </m:r>
      </m:oMath>
      <w:r>
        <w:t xml:space="preserve">; </w:t>
      </w:r>
      <m:oMath>
        <m:sSub>
          <m:sSubPr>
            <m:ctrlPr>
              <w:rPr>
                <w:rFonts w:ascii="Cambria Math" w:hAnsi="Cambria Math"/>
              </w:rPr>
            </m:ctrlPr>
          </m:sSubPr>
          <m:e>
            <m:r>
              <w:rPr>
                <w:rFonts w:ascii="Cambria Math" w:hAnsi="Cambria Math"/>
              </w:rPr>
              <m:t>M</m:t>
            </m:r>
          </m:e>
          <m:sub>
            <m:r>
              <w:rPr>
                <w:rFonts w:ascii="Cambria Math" w:hAnsi="Cambria Math"/>
              </w:rPr>
              <m:t>g</m:t>
            </m:r>
          </m:sub>
        </m:sSub>
      </m:oMath>
      <w:r>
        <w:t xml:space="preserve"> is an indicator variable for group </w:t>
      </w:r>
      <m:oMath>
        <m:r>
          <w:rPr>
            <w:rFonts w:ascii="Cambria Math" w:hAnsi="Cambria Math"/>
          </w:rPr>
          <m:t>g</m:t>
        </m:r>
      </m:oMath>
      <w:r>
        <w:t xml:space="preserve"> being mixed-citizenship; </w:t>
      </w:r>
      <m:oMath>
        <m:sSub>
          <m:sSubPr>
            <m:ctrlPr>
              <w:rPr>
                <w:rFonts w:ascii="Cambria Math" w:hAnsi="Cambria Math"/>
              </w:rPr>
            </m:ctrlPr>
          </m:sSubPr>
          <m:e>
            <m:r>
              <w:rPr>
                <w:rFonts w:ascii="Cambria Math" w:hAnsi="Cambria Math"/>
              </w:rPr>
              <m:t>S</m:t>
            </m:r>
          </m:e>
          <m:sub>
            <m:r>
              <w:rPr>
                <w:rFonts w:ascii="Cambria Math" w:hAnsi="Cambria Math"/>
              </w:rPr>
              <m:t>g</m:t>
            </m:r>
          </m:sub>
        </m:sSub>
      </m:oMath>
      <w:r>
        <w:t xml:space="preserve"> is an indicator variable for group </w:t>
      </w:r>
      <m:oMath>
        <m:r>
          <w:rPr>
            <w:rFonts w:ascii="Cambria Math" w:hAnsi="Cambria Math"/>
          </w:rPr>
          <m:t>g</m:t>
        </m:r>
      </m:oMath>
      <w:r>
        <w:t xml:space="preserve"> being same-sex; </w:t>
      </w:r>
      <m:oMath>
        <m:sSub>
          <m:sSubPr>
            <m:ctrlPr>
              <w:rPr>
                <w:rFonts w:ascii="Cambria Math" w:hAnsi="Cambria Math"/>
              </w:rPr>
            </m:ctrlPr>
          </m:sSubPr>
          <m:e>
            <m:r>
              <w:rPr>
                <w:rFonts w:ascii="Cambria Math" w:hAnsi="Cambria Math"/>
              </w:rPr>
              <m:t>α</m:t>
            </m:r>
          </m:e>
          <m:sub>
            <m:r>
              <w:rPr>
                <w:rFonts w:ascii="Cambria Math" w:hAnsi="Cambria Math"/>
              </w:rPr>
              <m:t>gs</m:t>
            </m:r>
          </m:sub>
        </m:sSub>
      </m:oMath>
      <w:r>
        <w:t xml:space="preserve"> are group-state fixed effects; </w:t>
      </w:r>
      <m:oMath>
        <m:sSub>
          <m:sSubPr>
            <m:ctrlPr>
              <w:rPr>
                <w:rFonts w:ascii="Cambria Math" w:hAnsi="Cambria Math"/>
              </w:rPr>
            </m:ctrlPr>
          </m:sSubPr>
          <m:e>
            <m:r>
              <w:rPr>
                <w:rFonts w:ascii="Cambria Math" w:hAnsi="Cambria Math"/>
              </w:rPr>
              <m:t>γ</m:t>
            </m:r>
          </m:e>
          <m:sub>
            <m:r>
              <w:rPr>
                <w:rFonts w:ascii="Cambria Math" w:hAnsi="Cambria Math"/>
              </w:rPr>
              <m:t>t</m:t>
            </m:r>
          </m:sub>
        </m:sSub>
      </m:oMath>
      <w:r>
        <w:t xml:space="preserve"> are survey year fixed effects; and </w:t>
      </w:r>
      <m:oMath>
        <m:sSub>
          <m:sSubPr>
            <m:ctrlPr>
              <w:rPr>
                <w:rFonts w:ascii="Cambria Math" w:hAnsi="Cambria Math"/>
              </w:rPr>
            </m:ctrlPr>
          </m:sSubPr>
          <m:e>
            <m:r>
              <w:rPr>
                <w:rFonts w:ascii="Cambria Math" w:hAnsi="Cambria Math"/>
              </w:rPr>
              <m:t>ϵ</m:t>
            </m:r>
          </m:e>
          <m:sub>
            <m:r>
              <w:rPr>
                <w:rFonts w:ascii="Cambria Math" w:hAnsi="Cambria Math"/>
              </w:rPr>
              <m:t>gst</m:t>
            </m:r>
          </m:sub>
        </m:sSub>
      </m:oMath>
      <w:r>
        <w:t xml:space="preserve"> is an error term such that </w:t>
      </w:r>
      <m:oMath>
        <m:r>
          <m:rPr>
            <m:scr m:val="double-struck"/>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gst</m:t>
                </m:r>
              </m:sub>
            </m:sSub>
          </m:e>
        </m:d>
        <m:r>
          <m:rPr>
            <m:sty m:val="p"/>
          </m:rPr>
          <w:rPr>
            <w:rFonts w:ascii="Cambria Math" w:hAnsi="Cambria Math"/>
          </w:rPr>
          <m:t>=</m:t>
        </m:r>
        <m:r>
          <w:rPr>
            <w:rFonts w:ascii="Cambria Math" w:hAnsi="Cambria Math"/>
          </w:rPr>
          <m:t>0</m:t>
        </m:r>
      </m:oMath>
      <w:r>
        <w:t xml:space="preserve">. In our final models, we add </w:t>
      </w:r>
      <m:oMath>
        <m:sSub>
          <m:sSubPr>
            <m:ctrlPr>
              <w:rPr>
                <w:rFonts w:ascii="Cambria Math" w:hAnsi="Cambria Math"/>
              </w:rPr>
            </m:ctrlPr>
          </m:sSubPr>
          <m:e>
            <m:r>
              <m:rPr>
                <m:sty m:val="b"/>
              </m:rPr>
              <w:rPr>
                <w:rFonts w:ascii="Cambria Math" w:hAnsi="Cambria Math"/>
              </w:rPr>
              <m:t>x</m:t>
            </m:r>
          </m:e>
          <m:sub>
            <m:r>
              <w:rPr>
                <w:rFonts w:ascii="Cambria Math" w:hAnsi="Cambria Math"/>
              </w:rPr>
              <m:t>st</m:t>
            </m:r>
          </m:sub>
        </m:sSub>
      </m:oMath>
      <w:r>
        <w:t xml:space="preserve">, a vector of state-level controls in year </w:t>
      </w:r>
      <m:oMath>
        <m:r>
          <w:rPr>
            <w:rFonts w:ascii="Cambria Math" w:hAnsi="Cambria Math"/>
          </w:rPr>
          <m:t>t</m:t>
        </m:r>
      </m:oMath>
      <w:r>
        <w:t xml:space="preserve">: unemployment rate, per-capita income, and local LGB policy. The coefficient of interest is </w:t>
      </w:r>
      <m:oMath>
        <m:r>
          <w:rPr>
            <w:rFonts w:ascii="Cambria Math" w:hAnsi="Cambria Math"/>
          </w:rPr>
          <m:t>δ</m:t>
        </m:r>
      </m:oMath>
      <w:r>
        <w:t xml:space="preserve">; the incidence ratio </w:t>
      </w:r>
      <m:oMath>
        <m:r>
          <m:rPr>
            <m:sty m:val="p"/>
          </m:rPr>
          <w:rPr>
            <w:rFonts w:ascii="Cambria Math" w:hAnsi="Cambria Math"/>
          </w:rPr>
          <m:t>exp</m:t>
        </m:r>
        <m:d>
          <m:dPr>
            <m:ctrlPr>
              <w:rPr>
                <w:rFonts w:ascii="Cambria Math" w:hAnsi="Cambria Math"/>
              </w:rPr>
            </m:ctrlPr>
          </m:dPr>
          <m:e>
            <m:r>
              <w:rPr>
                <w:rFonts w:ascii="Cambria Math" w:hAnsi="Cambria Math"/>
              </w:rPr>
              <m:t>δ</m:t>
            </m:r>
          </m:e>
        </m:d>
      </m:oMath>
      <w:r>
        <w:t xml:space="preserve"> estimates the relative increase of individuals in mixed-citizenship, same-sex couples after 2013, relative to other couples. We </w:t>
      </w:r>
      <w:r>
        <w:lastRenderedPageBreak/>
        <w:t xml:space="preserve">assume parallel trends in log counts; we provide support for this assumption by conducting pre-trend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tests for pre-2013 coefficients from dynamic (event-study) models.</w:t>
      </w:r>
    </w:p>
    <w:p w14:paraId="729E452F" w14:textId="77777777" w:rsidR="00BE500F" w:rsidRDefault="00000000">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origin-country policy environment using a modified LGBT Policy Index (Velasco 2018) 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 </w:t>
      </w:r>
      <m:oMath>
        <m:r>
          <m:rPr>
            <m:sty m:val="p"/>
          </m:rPr>
          <w:rPr>
            <w:rFonts w:ascii="Cambria Math" w:hAnsi="Cambria Math"/>
          </w:rPr>
          <m:t>+</m:t>
        </m:r>
        <m:r>
          <w:rPr>
            <w:rFonts w:ascii="Cambria Math" w:hAnsi="Cambria Math"/>
          </w:rPr>
          <m:t>1</m:t>
        </m:r>
      </m:oMath>
      <w:r>
        <w:t xml:space="preserve">) over regressive policies (scored </w:t>
      </w:r>
      <m:oMath>
        <m:r>
          <m:rPr>
            <m:sty m:val="p"/>
          </m:rPr>
          <w:rPr>
            <w:rFonts w:ascii="Cambria Math" w:hAnsi="Cambria Math"/>
          </w:rPr>
          <m:t>-</m:t>
        </m:r>
        <m:r>
          <w:rPr>
            <w:rFonts w:ascii="Cambria Math" w:hAnsi="Cambria Math"/>
          </w:rPr>
          <m:t>1</m:t>
        </m:r>
      </m:oMath>
      <w:r>
        <w:t>).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5</w:t>
      </w:r>
      <w:r>
        <w:t xml:space="preserve"> Immigrants who arrived in the U.S. before 1991 are assigned the score for 1991; national LGB policy was generally very stable before the 1990s.</w:t>
      </w:r>
    </w:p>
    <w:p w14:paraId="3CD112B0" w14:textId="77777777" w:rsidR="00BE500F" w:rsidRDefault="00000000">
      <w:pPr>
        <w:pStyle w:val="BodyText"/>
      </w:pPr>
      <w:r>
        <w:t>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 “regressive” label, while those with a score greater than 3 get a “progressive” label.</w:t>
      </w:r>
      <w:r>
        <w:rPr>
          <w:vertAlign w:val="superscript"/>
        </w:rPr>
        <w:t>6</w:t>
      </w:r>
    </w:p>
    <w:p w14:paraId="3BC6B218" w14:textId="77777777" w:rsidR="00BE500F" w:rsidRDefault="00000000">
      <w:pPr>
        <w:pStyle w:val="BodyText"/>
      </w:pPr>
      <w:r>
        <w:lastRenderedPageBreak/>
        <w:t>U.S.-born respondents do not receive a label and are included in all analyses. We then estimate equation 1 twice more: once for counts including only “progressive”-origin respondents (plus U.S.-born), and once for only “repressive”-origin respondents (plus U.S.-born).</w:t>
      </w:r>
    </w:p>
    <w:p w14:paraId="50AB197C" w14:textId="77777777" w:rsidR="00BE500F" w:rsidRDefault="00000000">
      <w:pPr>
        <w:pStyle w:val="BodyText"/>
      </w:pPr>
      <w:r>
        <w:t>We are also interested in which specific LGB policies of country of origin are most relevant in shaping entry into same-sex unions. To examine the influence of individual policies, we follow a similar procedure. Instead of stratifying by policy score, we stratify by whether individuals had one of the relevant policies in place in their year of immigration in at least the majority of their country of origin (as opposed to only in one state or province, for example). This allows us to study the descriptive trends for numbers of individuals from countries with these policies.</w:t>
      </w:r>
    </w:p>
    <w:p w14:paraId="4EFD90EC" w14:textId="77777777" w:rsidR="00BE500F" w:rsidRDefault="00000000">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 (Borenstein et al. 2010) as follows: Let </w:t>
      </w:r>
      <m:oMath>
        <m:sSub>
          <m:sSubPr>
            <m:ctrlPr>
              <w:rPr>
                <w:rFonts w:ascii="Cambria Math" w:hAnsi="Cambria Math"/>
              </w:rPr>
            </m:ctrlPr>
          </m:sSubPr>
          <m:e>
            <m:r>
              <w:rPr>
                <w:rFonts w:ascii="Cambria Math" w:hAnsi="Cambria Math"/>
              </w:rPr>
              <m:t>δ</m:t>
            </m:r>
          </m:e>
          <m:sub>
            <m:r>
              <w:rPr>
                <w:rFonts w:ascii="Cambria Math" w:hAnsi="Cambria Math"/>
              </w:rPr>
              <m:t>ij</m:t>
            </m:r>
          </m:sub>
        </m:sSub>
      </m:oMath>
      <w:r>
        <w:t xml:space="preserve"> be the coefficient of interest for policy combinations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oMath>
      <w:r>
        <w:t xml:space="preserve"> containing policy </w:t>
      </w:r>
      <m:oMath>
        <m:r>
          <w:rPr>
            <w:rFonts w:ascii="Cambria Math" w:hAnsi="Cambria Math"/>
          </w:rPr>
          <m:t>j</m:t>
        </m:r>
      </m:oMath>
      <w:r>
        <w:t xml:space="preserve"> and </w:t>
      </w:r>
      <m:oMath>
        <m:sSub>
          <m:sSubPr>
            <m:ctrlPr>
              <w:rPr>
                <w:rFonts w:ascii="Cambria Math" w:hAnsi="Cambria Math"/>
              </w:rPr>
            </m:ctrlPr>
          </m:sSubPr>
          <m:e>
            <m:r>
              <m:rPr>
                <m:nor/>
              </m:rPr>
              <m:t>se</m:t>
            </m:r>
          </m:e>
          <m:sub>
            <m:r>
              <w:rPr>
                <w:rFonts w:ascii="Cambria Math" w:hAnsi="Cambria Math"/>
              </w:rPr>
              <m:t>ij</m:t>
            </m:r>
          </m:sub>
        </m:sSub>
      </m:oMath>
      <w:r>
        <w:t xml:space="preserve"> be its standard error. We combine the results of </w:t>
      </w:r>
      <m:oMath>
        <m:r>
          <w:rPr>
            <w:rFonts w:ascii="Cambria Math" w:hAnsi="Cambria Math"/>
          </w:rPr>
          <m:t>m</m:t>
        </m:r>
      </m:oMath>
      <w:r>
        <w:t xml:space="preserve"> regressions to obtain the average coefficient and standard error:</w:t>
      </w:r>
    </w:p>
    <w:p w14:paraId="70AD96A2" w14:textId="77777777" w:rsidR="00BE500F"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j</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δ</m:t>
                            </m:r>
                          </m:e>
                          <m:sub>
                            <m:r>
                              <w:rPr>
                                <w:rFonts w:ascii="Cambria Math" w:hAnsi="Cambria Math"/>
                              </w:rPr>
                              <m:t>ij</m:t>
                            </m:r>
                          </m:sub>
                        </m:sSub>
                      </m:e>
                    </m:nary>
                    <m:sSubSup>
                      <m:sSubSupPr>
                        <m:ctrlPr>
                          <w:rPr>
                            <w:rFonts w:ascii="Cambria Math" w:hAnsi="Cambria Math"/>
                          </w:rPr>
                        </m:ctrlPr>
                      </m:sSubSupPr>
                      <m:e>
                        <m:r>
                          <m:rPr>
                            <m:nor/>
                          </m:rPr>
                          <m:t>se</m:t>
                        </m:r>
                      </m:e>
                      <m:sub>
                        <m:r>
                          <w:rPr>
                            <w:rFonts w:ascii="Cambria Math" w:hAnsi="Cambria Math"/>
                          </w:rPr>
                          <m:t>ij</m:t>
                        </m:r>
                      </m:sub>
                      <m:sup>
                        <m:r>
                          <m:rPr>
                            <m:sty m:val="p"/>
                          </m:rPr>
                          <w:rPr>
                            <w:rFonts w:ascii="Cambria Math" w:hAnsi="Cambria Math"/>
                          </w:rPr>
                          <m:t>-</m:t>
                        </m:r>
                        <m:r>
                          <w:rPr>
                            <w:rFonts w:ascii="Cambria Math" w:hAnsi="Cambria Math"/>
                          </w:rPr>
                          <m:t>2</m:t>
                        </m:r>
                      </m:sup>
                    </m:sSubSup>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sSubSup>
                          <m:sSubSupPr>
                            <m:ctrlPr>
                              <w:rPr>
                                <w:rFonts w:ascii="Cambria Math" w:hAnsi="Cambria Math"/>
                              </w:rPr>
                            </m:ctrlPr>
                          </m:sSubSupPr>
                          <m:e>
                            <m:r>
                              <m:rPr>
                                <m:nor/>
                              </m:rPr>
                              <m:t>se</m:t>
                            </m:r>
                          </m:e>
                          <m:sub>
                            <m:r>
                              <w:rPr>
                                <w:rFonts w:ascii="Cambria Math" w:hAnsi="Cambria Math"/>
                              </w:rPr>
                              <m:t>ij</m:t>
                            </m:r>
                          </m:sub>
                          <m:sup>
                            <m:r>
                              <m:rPr>
                                <m:sty m:val="p"/>
                              </m:rPr>
                              <w:rPr>
                                <w:rFonts w:ascii="Cambria Math" w:hAnsi="Cambria Math"/>
                              </w:rPr>
                              <m:t>-</m:t>
                            </m:r>
                            <m:r>
                              <w:rPr>
                                <w:rFonts w:ascii="Cambria Math" w:hAnsi="Cambria Math"/>
                              </w:rPr>
                              <m:t>2</m:t>
                            </m:r>
                          </m:sup>
                        </m:sSubSup>
                      </m:e>
                    </m:nary>
                  </m:den>
                </m:f>
                <m:r>
                  <m:rPr>
                    <m:sty m:val="p"/>
                  </m:rPr>
                  <w:rPr>
                    <w:rFonts w:ascii="Cambria Math" w:hAnsi="Cambria Math"/>
                  </w:rPr>
                  <m:t>,</m:t>
                </m:r>
              </m:e>
              <m:e/>
              <m:e>
                <m:sSub>
                  <m:sSubPr>
                    <m:ctrlPr>
                      <w:rPr>
                        <w:rFonts w:ascii="Cambria Math" w:hAnsi="Cambria Math"/>
                      </w:rPr>
                    </m:ctrlPr>
                  </m:sSubPr>
                  <m:e>
                    <m:r>
                      <m:rPr>
                        <m:nor/>
                      </m:rPr>
                      <m:t>se</m:t>
                    </m:r>
                  </m:e>
                  <m:sub>
                    <m:r>
                      <w:rPr>
                        <w:rFonts w:ascii="Cambria Math" w:hAnsi="Cambria Math"/>
                      </w:rPr>
                      <m:t>j</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sSubSup>
                              <m:sSubSupPr>
                                <m:ctrlPr>
                                  <w:rPr>
                                    <w:rFonts w:ascii="Cambria Math" w:hAnsi="Cambria Math"/>
                                  </w:rPr>
                                </m:ctrlPr>
                              </m:sSubSupPr>
                              <m:e>
                                <m:r>
                                  <m:rPr>
                                    <m:nor/>
                                  </m:rPr>
                                  <m:t>se</m:t>
                                </m:r>
                              </m:e>
                              <m:sub>
                                <m:r>
                                  <w:rPr>
                                    <w:rFonts w:ascii="Cambria Math" w:hAnsi="Cambria Math"/>
                                  </w:rPr>
                                  <m:t>ij</m:t>
                                </m:r>
                              </m:sub>
                              <m:sup>
                                <m:r>
                                  <m:rPr>
                                    <m:sty m:val="p"/>
                                  </m:rPr>
                                  <w:rPr>
                                    <w:rFonts w:ascii="Cambria Math" w:hAnsi="Cambria Math"/>
                                  </w:rPr>
                                  <m:t>-</m:t>
                                </m:r>
                                <m:r>
                                  <w:rPr>
                                    <w:rFonts w:ascii="Cambria Math" w:hAnsi="Cambria Math"/>
                                  </w:rPr>
                                  <m:t>2</m:t>
                                </m:r>
                              </m:sup>
                            </m:sSubSup>
                          </m:e>
                        </m:nary>
                      </m:den>
                    </m:f>
                  </m:e>
                </m:rad>
                <m:r>
                  <m:rPr>
                    <m:sty m:val="p"/>
                  </m:rPr>
                  <w:rPr>
                    <w:rFonts w:ascii="Cambria Math" w:hAnsi="Cambria Math"/>
                  </w:rPr>
                  <m:t>.</m:t>
                </m:r>
              </m:e>
            </m:mr>
          </m:m>
        </m:oMath>
      </m:oMathPara>
    </w:p>
    <w:p w14:paraId="4E78AA14" w14:textId="77777777" w:rsidR="00BE500F" w:rsidRDefault="00000000">
      <w:pPr>
        <w:pStyle w:val="FirstParagraph"/>
      </w:pPr>
      <w:r>
        <w:t>Finally, we calculate the difference between the average coefficient for samples that include the policy and those that do not. The resulting quantity is then the average effect of a given policy on the log relative incidence of same-sex, mixed-citizenship couples.</w:t>
      </w:r>
    </w:p>
    <w:p w14:paraId="0621AA65" w14:textId="77777777" w:rsidR="00BE500F" w:rsidRDefault="00000000">
      <w:pPr>
        <w:pStyle w:val="Heading2"/>
      </w:pPr>
      <w:bookmarkStart w:id="8" w:name="control-variables"/>
      <w:bookmarkEnd w:id="7"/>
      <w:r>
        <w:t>Control Variables</w:t>
      </w:r>
    </w:p>
    <w:p w14:paraId="54929219" w14:textId="77777777" w:rsidR="00BE500F" w:rsidRDefault="00000000">
      <w:pPr>
        <w:pStyle w:val="FirstParagraph"/>
      </w:pPr>
      <w:r>
        <w:t>We rely on three U.S. state-level controls to account for alternative explanations. While the two-way fixed effects in our models account for time-invariant confounders, time-varying confounders may still be at play. If individuals in mixed-citizenship, same-sex couples seek higher wages, lower unemployment rates, or more progressive local environments than other people, then these factors may confound our models. Hence we use state per capita income by year from the Bureau of Economic Analysis (BEA 2020) and state-level annual unemployment rates from the Bureau of Labor Statistics (BLS 2020). All monetary variables are adjusted to 1999 U.S. dollars. To create the U.S. state LGB policy index, we compile data from the Movement Advancement Project,</w:t>
      </w:r>
      <w:r>
        <w:rPr>
          <w:vertAlign w:val="superscript"/>
        </w:rPr>
        <w:t>7</w:t>
      </w:r>
      <w:r>
        <w:t xml:space="preserve"> 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w:t>
      </w:r>
      <w:r>
        <w:lastRenderedPageBreak/>
        <w:t>laws; for example, the index accounts for when a federal law or precedent invalidates state laws. In the years we consider, the state index ranges from -2 to 7, with a mean of 2.3.</w:t>
      </w:r>
    </w:p>
    <w:p w14:paraId="15FBA5C5" w14:textId="77777777" w:rsidR="00BE500F" w:rsidRDefault="00000000">
      <w:pPr>
        <w:pStyle w:val="Heading1"/>
      </w:pPr>
      <w:bookmarkStart w:id="9" w:name="results"/>
      <w:bookmarkEnd w:id="5"/>
      <w:bookmarkEnd w:id="8"/>
      <w:r>
        <w:t>Results</w:t>
      </w:r>
    </w:p>
    <w:p w14:paraId="7213447D" w14:textId="77777777" w:rsidR="00BE500F" w:rsidRDefault="00000000">
      <w:pPr>
        <w:pStyle w:val="Heading2"/>
      </w:pPr>
      <w:bookmarkStart w:id="10" w:name="main-effects"/>
      <w:r>
        <w:t>Main Effects</w:t>
      </w:r>
    </w:p>
    <w:p w14:paraId="68376C04" w14:textId="77777777" w:rsidR="00BE500F" w:rsidRDefault="00000000">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 2 shows the simple-difference result. The coefficient for post-2013 represents the log-change in incidence of individuals in mixed-citizenship, same-sex couples. For the full sample, this group saw a </w:t>
      </w:r>
      <m:oMath>
        <m:r>
          <w:rPr>
            <w:rFonts w:ascii="Cambria Math" w:hAnsi="Cambria Math"/>
          </w:rPr>
          <m:t>100</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exp</m:t>
            </m:r>
            <m:d>
              <m:dPr>
                <m:ctrlPr>
                  <w:rPr>
                    <w:rFonts w:ascii="Cambria Math" w:hAnsi="Cambria Math"/>
                  </w:rPr>
                </m:ctrlPr>
              </m:dPr>
              <m:e>
                <m:r>
                  <w:rPr>
                    <w:rFonts w:ascii="Cambria Math" w:hAnsi="Cambria Math"/>
                  </w:rPr>
                  <m:t>1.1</m:t>
                </m:r>
              </m:e>
            </m:d>
            <m:r>
              <m:rPr>
                <m:sty m:val="p"/>
              </m:rPr>
              <w:rPr>
                <w:rFonts w:ascii="Cambria Math" w:hAnsi="Cambria Math"/>
              </w:rPr>
              <m:t>-</m:t>
            </m:r>
            <m:r>
              <w:rPr>
                <w:rFonts w:ascii="Cambria Math" w:hAnsi="Cambria Math"/>
              </w:rPr>
              <m:t>1</m:t>
            </m:r>
          </m:e>
        </m:d>
        <m:r>
          <m:rPr>
            <m:sty m:val="p"/>
          </m:rPr>
          <w:rPr>
            <w:rFonts w:ascii="Cambria Math" w:hAnsi="Cambria Math"/>
          </w:rPr>
          <m:t>=</m:t>
        </m:r>
      </m:oMath>
      <w:r>
        <w:t xml:space="preserve"> 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14:paraId="3137B1FE" w14:textId="77777777" w:rsidR="00BE500F" w:rsidRDefault="00000000">
      <w:pPr>
        <w:pStyle w:val="BodyText"/>
      </w:pPr>
      <w:r>
        <w:rPr>
          <w:b/>
          <w:bCs/>
        </w:rPr>
        <w:t>[Table 2 about here]</w:t>
      </w:r>
    </w:p>
    <w:p w14:paraId="40B41D43" w14:textId="77777777" w:rsidR="00BE500F" w:rsidRDefault="00000000">
      <w:pPr>
        <w:pStyle w:val="BodyText"/>
      </w:pPr>
      <w:r>
        <w:rPr>
          <w:b/>
          <w:bCs/>
        </w:rPr>
        <w:t>[Table 3 about here]</w:t>
      </w:r>
    </w:p>
    <w:p w14:paraId="58D371D3" w14:textId="77777777" w:rsidR="00BE500F" w:rsidRDefault="00000000">
      <w:pPr>
        <w:pStyle w:val="BodyText"/>
      </w:pPr>
      <w:r>
        <w:t xml:space="preserve">Table 3 shows corresponding results for the DD analysis. These models control for the rise in same-sex, </w:t>
      </w:r>
      <w:r>
        <w:rPr>
          <w:i/>
          <w:iCs/>
        </w:rPr>
        <w:t>same-citizenship</w:t>
      </w:r>
      <w:r>
        <w:t xml:space="preserve"> 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r>
        <w:rPr>
          <w:vertAlign w:val="superscript"/>
        </w:rPr>
        <w:t>8</w:t>
      </w:r>
    </w:p>
    <w:p w14:paraId="42C2875D" w14:textId="77777777" w:rsidR="00BE500F" w:rsidRDefault="00000000">
      <w:pPr>
        <w:pStyle w:val="BodyText"/>
      </w:pPr>
      <w:r>
        <w:rPr>
          <w:b/>
          <w:bCs/>
        </w:rPr>
        <w:t>[Table 4 about here]</w:t>
      </w:r>
    </w:p>
    <w:p w14:paraId="3BCFE136" w14:textId="77777777" w:rsidR="00BE500F" w:rsidRDefault="00000000">
      <w:pPr>
        <w:pStyle w:val="BodyText"/>
      </w:pPr>
      <w:r>
        <w:lastRenderedPageBreak/>
        <w:t xml:space="preserve">Finally, Table 4 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 </w:t>
      </w:r>
      <m:oMath>
        <m:r>
          <w:rPr>
            <w:rFonts w:ascii="Cambria Math" w:hAnsi="Cambria Math"/>
          </w:rPr>
          <m:t>100</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exp</m:t>
            </m:r>
            <m:d>
              <m:dPr>
                <m:ctrlPr>
                  <w:rPr>
                    <w:rFonts w:ascii="Cambria Math" w:hAnsi="Cambria Math"/>
                  </w:rPr>
                </m:ctrlPr>
              </m:dPr>
              <m:e>
                <m:r>
                  <w:rPr>
                    <w:rFonts w:ascii="Cambria Math" w:hAnsi="Cambria Math"/>
                  </w:rPr>
                  <m:t>0.32</m:t>
                </m:r>
              </m:e>
            </m:d>
            <m:r>
              <m:rPr>
                <m:sty m:val="p"/>
              </m:rPr>
              <w:rPr>
                <w:rFonts w:ascii="Cambria Math" w:hAnsi="Cambria Math"/>
              </w:rPr>
              <m:t>-</m:t>
            </m:r>
            <m:r>
              <w:rPr>
                <w:rFonts w:ascii="Cambria Math" w:hAnsi="Cambria Math"/>
              </w:rPr>
              <m:t>1</m:t>
            </m:r>
          </m:e>
        </m:d>
        <m:r>
          <m:rPr>
            <m:sty m:val="p"/>
          </m:rPr>
          <w:rPr>
            <w:rFonts w:ascii="Cambria Math" w:hAnsi="Cambria Math"/>
          </w:rPr>
          <m:t>=</m:t>
        </m:r>
      </m:oMath>
      <w:r>
        <w:t xml:space="preserve"> 38 percent after 2013, relative to those in couples that were not same-sex or mixed-citizenship. When we focus on individuals from progressive countries, the result is even stronger, at 67 percent. However, those from regressive countries saw no significant increase.</w:t>
      </w:r>
    </w:p>
    <w:p w14:paraId="30FFBA12" w14:textId="77777777" w:rsidR="00BE500F" w:rsidRDefault="00000000">
      <w:pPr>
        <w:pStyle w:val="BodyText"/>
      </w:pPr>
      <w:r>
        <w:t>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 Table 5 replicates Table 4, but with these additional controls. Substantive conclusions do not change. Notably, the coefficient for state LGB policy is small and nonsignificant; in these models, state LGB policy does not appear related to the incidence of same-sex unions.</w:t>
      </w:r>
    </w:p>
    <w:p w14:paraId="5D921C21" w14:textId="77777777" w:rsidR="00BE500F" w:rsidRDefault="00000000">
      <w:pPr>
        <w:pStyle w:val="BodyText"/>
      </w:pPr>
      <w:r>
        <w:t xml:space="preserve">Figure 3 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 5. Here, we see a clear upward trend for non-citizens from progressive countries, while the trend for those from regressive countries hovers close to 0. Also, it is worth noting the lower coefficient for the years 2018-2019 across all samples, </w:t>
      </w:r>
      <w:r>
        <w:lastRenderedPageBreak/>
        <w:t xml:space="preserve">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a pre-trend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shows they are also jointly nonsignificant.</w:t>
      </w:r>
      <w:r>
        <w:rPr>
          <w:vertAlign w:val="superscript"/>
        </w:rPr>
        <w:t>9</w:t>
      </w:r>
    </w:p>
    <w:p w14:paraId="494E04CA" w14:textId="77777777" w:rsidR="00BE500F" w:rsidRDefault="00000000">
      <w:pPr>
        <w:pStyle w:val="BodyText"/>
      </w:pPr>
      <w:r>
        <w:rPr>
          <w:b/>
          <w:bCs/>
        </w:rPr>
        <w:t>[Table 5 about here]</w:t>
      </w:r>
    </w:p>
    <w:p w14:paraId="511A9B50" w14:textId="77777777" w:rsidR="00BE500F" w:rsidRDefault="00000000">
      <w:pPr>
        <w:pStyle w:val="BodyText"/>
      </w:pPr>
      <w:r>
        <w:rPr>
          <w:b/>
          <w:bCs/>
        </w:rPr>
        <w:t>[Figure 3 about here]</w:t>
      </w:r>
    </w:p>
    <w:p w14:paraId="04C5356A" w14:textId="77777777" w:rsidR="00BE500F" w:rsidRDefault="00000000">
      <w:pPr>
        <w:pStyle w:val="BodyText"/>
      </w:pPr>
      <w:r>
        <w:t>In Section E of the Online Appendix, we compare these results to two alternate specifications that model counts of individuals in different types of same-sex couples. First, we consider same-sex couples containing one U.S.-born and one foreign-born person (“mixed-nativity”). Second we consider couples containing one or two immigrants (“immigrant-containing”)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p w14:paraId="1C9EE5D2" w14:textId="77777777" w:rsidR="00BE500F" w:rsidRDefault="00000000">
      <w:pPr>
        <w:pStyle w:val="Heading2"/>
      </w:pPr>
      <w:bookmarkStart w:id="11" w:name="which-policies-are-responsible"/>
      <w:bookmarkEnd w:id="10"/>
      <w:r>
        <w:t>Which Policies are Responsible?</w:t>
      </w:r>
    </w:p>
    <w:p w14:paraId="16E3799D" w14:textId="77777777" w:rsidR="00BE500F" w:rsidRDefault="00000000">
      <w:pPr>
        <w:pStyle w:val="FirstParagraph"/>
      </w:pPr>
      <w:r>
        <w:t xml:space="preserve">Clearly, the post-2013 rise in mixed-citizenship, same-sex unions was much stronger for immigrants from countries with overall progressive LGB policies. But are there some policies that matter more than others? Whereas Table 4 stratified the sample by values of the policy index, here we stratify the sample by specific policies. We first descriptively present how the incidence of our population of interest varies by specific policies. Figure 4 shows the numbers of individuals in </w:t>
      </w:r>
      <w:r>
        <w:lastRenderedPageBreak/>
        <w:t>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14:paraId="2FBD4B16" w14:textId="77777777" w:rsidR="00BE500F" w:rsidRDefault="00000000">
      <w:pPr>
        <w:pStyle w:val="BodyText"/>
      </w:pPr>
      <w:r>
        <w:rPr>
          <w:b/>
          <w:bCs/>
        </w:rPr>
        <w:t>[Figure 4 about here]</w:t>
      </w:r>
    </w:p>
    <w:p w14:paraId="0BF656AC" w14:textId="77777777" w:rsidR="00BE500F" w:rsidRDefault="00000000">
      <w:pPr>
        <w:pStyle w:val="BodyText"/>
      </w:pPr>
      <w:r>
        <w:rPr>
          <w:b/>
          <w:bCs/>
        </w:rPr>
        <w:t>[Figure 5 about here]</w:t>
      </w:r>
    </w:p>
    <w:p w14:paraId="0467C97F" w14:textId="77777777" w:rsidR="00BE500F" w:rsidRDefault="00000000">
      <w:pPr>
        <w:pStyle w:val="BodyText"/>
      </w:pPr>
      <w:r>
        <w:t>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 5. As shown in the left panel, estimates for progressive policies are mostly positive: The post-2013 change in relative incidence was greater for foreign-born individuals originating in countries with these policies. Notably, the average effects for family-oriented policies like marriage equality and joint parental adoption are especially high, albeit not significantly more than other progressive policies like civil unions. For almost all progressive policies, we see greater incidence of mixed-citizenship, same-sex couples. The similar overall effect sizes may be because each policy manifests from similar underlying cultural values within a country. In contrast, the right panel of Figure 5 shows nonsignificant or negative coefficients for all regressive policies.</w:t>
      </w:r>
    </w:p>
    <w:p w14:paraId="1CA9CBC7" w14:textId="77777777" w:rsidR="00BE500F" w:rsidRDefault="00000000">
      <w:pPr>
        <w:pStyle w:val="Heading1"/>
      </w:pPr>
      <w:bookmarkStart w:id="12" w:name="discussion-and-conclusion"/>
      <w:bookmarkEnd w:id="9"/>
      <w:bookmarkEnd w:id="11"/>
      <w:r>
        <w:t>Discussion and Conclusion</w:t>
      </w:r>
    </w:p>
    <w:p w14:paraId="38FB6570" w14:textId="77777777" w:rsidR="00BE500F" w:rsidRDefault="00000000">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w:t>
      </w:r>
      <w:r>
        <w:lastRenderedPageBreak/>
        <w:t>sufficient economic and cultural resources may fail to muster sufficient evidence to satisfy the scrutiny of the state (López 2021; Hoogenraad 2021). Yet one particular type of mixed-citizenship union has seen a spectacular rise in the U.S.: Numbers of same-sex, mixed-citizenship couples grew from 28 thousand to 82 thousand between 2013 and 2019, far outpacing growth of corresponding different-sex couples. This rise aligns with the 2013 repeal of DOMA, which for the first time allowed U.S. citizens to sponsor the visa of a foreign-born spouse or fiancé(e) (Redpath 2022; Edwards 2013). But this rise was not uniform across all countries of origin: As shown in Figure 1, this rapid rise occurred for couples containing non-citizen partners from countries with progressive LGB policies, while those with members from regressive countries saw very little increase after 2013.</w:t>
      </w:r>
    </w:p>
    <w:p w14:paraId="1F6F52DB" w14:textId="77777777" w:rsidR="00BE500F" w:rsidRDefault="00000000">
      <w:pPr>
        <w:pStyle w:val="BodyText"/>
      </w:pPr>
      <w:r>
        <w:t>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nearly 70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14:paraId="0CCA54E2" w14:textId="77777777" w:rsidR="00BE500F" w:rsidRDefault="00000000">
      <w:pPr>
        <w:pStyle w:val="BodyText"/>
      </w:pPr>
      <w:r>
        <w:t xml:space="preserve">We bring a cultural perspective to understand these findings. Unions are cultural objects; the composition, timing, motivation, and other norms regarding socially codified unions are place- and time-specific (Kalmijn 2007; Treas, Lui, and Gubernskaya 2014). We argue that public policy both affects cultural understandings of unions and is shaped by them. By defining what is possible </w:t>
      </w:r>
      <w:r>
        <w:lastRenderedPageBreak/>
        <w:t>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 (Adamczyk and Pitt 2009; Adamczyk and Liao 2019; Lax and Phillips 2009; Abou-Chadi and Finnigan 2019; Hiller and Recoules 2013; Hooghe and Meeusen 2013; Kazyak and Stange 2018).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Although individual progressive policy effects are for the most part not statistically distinguishable, large point estimates for marriage and adoption support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 “coming out” risks vulnerability to state violence, they may fail to muster enough evidence of queer identity or a legitimate same-sex relationship to satisfy U.S. immigration officials (Carron 2015; Msibi 2013).</w:t>
      </w:r>
    </w:p>
    <w:p w14:paraId="492713DB" w14:textId="77777777" w:rsidR="00BE500F" w:rsidRDefault="00000000">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w:t>
      </w:r>
      <w:r>
        <w:lastRenderedPageBreak/>
        <w:t>to be. For example, we cannot ascertain whether the non-citizen partner already resided in the U.S. on another visa (e.g., employment-based) or came to the U.S. directly from their country of origin on a spousal or fiancé(e) visa. Supplemental analyses in the Online Appendix show that, among married, same-sex, mixed citizenship couples, immigration tends to proceed marriage, but this provides only partial evidence for union formation pathways. Future research should collect the necessary data to investigate this empirically.</w:t>
      </w:r>
    </w:p>
    <w:p w14:paraId="7B318369" w14:textId="77777777" w:rsidR="00BE500F" w:rsidRDefault="00000000">
      <w:pPr>
        <w:pStyle w:val="BodyText"/>
      </w:pPr>
      <w:r>
        <w:t>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 (Strohm et al. 2009). The minority of same-sex, mixed-citizenship couples that do not cohabit may be consciously opting out of “traditional” union arrangements, or they may be awaiting an appropriate time in the relationship to move in together. Whether this status cleanly maps onto the cultural and policy environment at country of origin is fodder for future research.</w:t>
      </w:r>
    </w:p>
    <w:p w14:paraId="358B3E98" w14:textId="77777777" w:rsidR="00BE500F" w:rsidRDefault="00000000">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 Kong (2010) documents, it may be the most privileged individuals with a cosmopolitan cultural orientation who end up in cross-national relationships. If </w:t>
      </w:r>
      <w:r>
        <w:lastRenderedPageBreak/>
        <w:t>so, this would strengthen the current study by demonstrating that these cultural processes operate at the individual-level as well.</w:t>
      </w:r>
    </w:p>
    <w:p w14:paraId="39ED12FA" w14:textId="77777777" w:rsidR="00BE500F" w:rsidRDefault="00000000">
      <w:pPr>
        <w:pStyle w:val="BodyText"/>
      </w:pPr>
      <w:r>
        <w:t>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for migrants in a single destination country, similar forces likely affect choice of destination country and how and whether non-migrants select partners – including whether these are same-sex or non-citizen.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14:paraId="56FDDEC8" w14:textId="77777777" w:rsidR="00BE500F" w:rsidRDefault="00000000">
      <w:pPr>
        <w:pStyle w:val="BodyText"/>
      </w:pPr>
      <w:r>
        <w:t>Our findings contribute to sociology of the family by building on recent work examining the relationship between culture and union formation (Wang and Schofer 2018; Sassler and Lichter 2020; Perelli-Harris and Bernardi 2015). Scholars have tied culture to a number of recently proliferating forms of unions, including cohabitation (Sassler and Lichter 2020), marriage across racial and ethnic lines (Kalmijn and Van Tubergen 2010), and the redefinition of gender roles within unions (Goldscheider, Bernhardt, and Lappegård 2015).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w:t>
      </w:r>
      <w:r>
        <w:lastRenderedPageBreak/>
        <w:t>sex unions in the population of mixed-citizenship couples, we find evidence that the culture of the origin country and choice of union in the destination country are closely linked.</w:t>
      </w:r>
    </w:p>
    <w:p w14:paraId="64586FF4" w14:textId="77777777" w:rsidR="00BE500F" w:rsidRDefault="00000000">
      <w:pPr>
        <w:pStyle w:val="BodyText"/>
      </w:pPr>
      <w:r>
        <w:t>These findings also amend a dominant narrative in migration studies that LGB migrants to the U.S. tend to be fleeing repression (Murray 2014; Sam and Finley 2015; Akin 2017; Dhoest 2019; Giametta 2020; Saleh 2020). Instead, this paper supports the notion that migration of advantaged queer individuals – as explored in some recent ethnographic work (Di Feliciantonio and Gadelha 2016; Choi 2022) –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p w14:paraId="2FCBC08E" w14:textId="77777777" w:rsidR="00BE500F" w:rsidRDefault="00000000">
      <w:pPr>
        <w:pStyle w:val="Heading1"/>
      </w:pPr>
      <w:bookmarkStart w:id="13" w:name="data-availability"/>
      <w:bookmarkEnd w:id="12"/>
      <w:r>
        <w:t>Data Availability</w:t>
      </w:r>
    </w:p>
    <w:p w14:paraId="36A6C40E" w14:textId="77777777" w:rsidR="00BE500F" w:rsidRDefault="00000000">
      <w:pPr>
        <w:pStyle w:val="FirstParagraph"/>
      </w:pPr>
      <w:r>
        <w:t xml:space="preserve">The American Community Survey data underlying this article are available from IPUMS, at </w:t>
      </w:r>
      <w:hyperlink r:id="rId7">
        <w:r>
          <w:rPr>
            <w:rStyle w:val="Hyperlink"/>
          </w:rPr>
          <w:t>https://usa.ipums.org/usa/</w:t>
        </w:r>
      </w:hyperlink>
      <w:r>
        <w:t>. Other data and replication code are available from the first author’s website.</w:t>
      </w:r>
    </w:p>
    <w:p w14:paraId="36BC16F7" w14:textId="77777777" w:rsidR="00BE500F" w:rsidRDefault="00000000">
      <w:r>
        <w:br w:type="page"/>
      </w:r>
    </w:p>
    <w:p w14:paraId="68C9DF50" w14:textId="77777777" w:rsidR="00BE500F" w:rsidRDefault="00000000">
      <w:pPr>
        <w:pStyle w:val="Heading1"/>
      </w:pPr>
      <w:bookmarkStart w:id="14" w:name="notes"/>
      <w:bookmarkEnd w:id="13"/>
      <w:r>
        <w:lastRenderedPageBreak/>
        <w:t>Notes</w:t>
      </w:r>
    </w:p>
    <w:p w14:paraId="2388FB3F" w14:textId="77777777" w:rsidR="00BE500F" w:rsidRDefault="00000000">
      <w:pPr>
        <w:numPr>
          <w:ilvl w:val="0"/>
          <w:numId w:val="14"/>
        </w:numPr>
      </w:pPr>
      <w:r>
        <w:t>The U.S. Congress legislatively re-affirmed marriage equality in 2022.</w:t>
      </w:r>
    </w:p>
    <w:p w14:paraId="591B6B0A" w14:textId="77777777" w:rsidR="00BE500F" w:rsidRDefault="00000000">
      <w:pPr>
        <w:numPr>
          <w:ilvl w:val="0"/>
          <w:numId w:val="14"/>
        </w:numPr>
      </w:pPr>
      <w:r>
        <w:t>For example, in 2019, the U.S. issued 186,584 visas for immediate relatives of U.S. citizens and 190,938 for other family members, out of a total of 462,422 immigrant visas issued (U.S. Department of State 2022).</w:t>
      </w:r>
    </w:p>
    <w:p w14:paraId="0BE63F98" w14:textId="77777777" w:rsidR="00BE500F" w:rsidRDefault="00000000">
      <w:pPr>
        <w:numPr>
          <w:ilvl w:val="0"/>
          <w:numId w:val="14"/>
        </w:numPr>
      </w:pPr>
      <w:r>
        <w:t>Although the ACS has data on year of immigration and year of marriage, it does not have year of partnership for unmarried couples, which are the predominant relationship type for individuals in same-sex couples in our sample: 54,180 are married while 98,254 are unmarried. Even so, in Section A of the Online Appendix we investigate the ordering of marriage and immigration for the subset of couples in our sample who are married. Most married same-sex, mixed-citizenship couples married after immigration, and our DDD results hold for those who married at the time of or after immigration but not those who married before.</w:t>
      </w:r>
    </w:p>
    <w:p w14:paraId="1B225F58" w14:textId="77777777" w:rsidR="00BE500F" w:rsidRDefault="00000000">
      <w:pPr>
        <w:numPr>
          <w:ilvl w:val="0"/>
          <w:numId w:val="14"/>
        </w:numPr>
      </w:pPr>
      <w:r>
        <w:t>Although modeling logged counts allows a similar interpretation of coefficients, the presence of cells with zero counts precludes this option.</w:t>
      </w:r>
    </w:p>
    <w:p w14:paraId="10B0847E" w14:textId="77777777" w:rsidR="00BE500F" w:rsidRDefault="00000000">
      <w:pPr>
        <w:numPr>
          <w:ilvl w:val="0"/>
          <w:numId w:val="14"/>
        </w:numPr>
      </w:pPr>
      <w:r>
        <w:t xml:space="preserve">In Section C of the Online Appendix, we conduct additional DDD analyses where individuals who migrated in year </w:t>
      </w:r>
      <m:oMath>
        <m:r>
          <w:rPr>
            <w:rFonts w:ascii="Cambria Math" w:hAnsi="Cambria Math"/>
          </w:rPr>
          <m:t>t</m:t>
        </m:r>
      </m:oMath>
      <w:r>
        <w:t xml:space="preserve"> are assigned the country-of-origin LGB policy score of year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r>
          <w:rPr>
            <w:rFonts w:ascii="Cambria Math" w:hAnsi="Cambria Math"/>
          </w:rPr>
          <m:t>t</m:t>
        </m:r>
        <m:r>
          <m:rPr>
            <m:sty m:val="p"/>
          </m:rPr>
          <w:rPr>
            <w:rFonts w:ascii="Cambria Math" w:hAnsi="Cambria Math"/>
          </w:rPr>
          <m:t>-</m:t>
        </m:r>
        <m:r>
          <w:rPr>
            <w:rFonts w:ascii="Cambria Math" w:hAnsi="Cambria Math"/>
          </w:rPr>
          <m:t>2</m:t>
        </m:r>
      </m:oMath>
      <w:r>
        <w:t xml:space="preserve">, or </w:t>
      </w:r>
      <m:oMath>
        <m:r>
          <w:rPr>
            <w:rFonts w:ascii="Cambria Math" w:hAnsi="Cambria Math"/>
          </w:rPr>
          <m:t>t</m:t>
        </m:r>
        <m:r>
          <m:rPr>
            <m:sty m:val="p"/>
          </m:rPr>
          <w:rPr>
            <w:rFonts w:ascii="Cambria Math" w:hAnsi="Cambria Math"/>
          </w:rPr>
          <m:t>-</m:t>
        </m:r>
        <m:r>
          <w:rPr>
            <w:rFonts w:ascii="Cambria Math" w:hAnsi="Cambria Math"/>
          </w:rPr>
          <m:t>5</m:t>
        </m:r>
      </m:oMath>
      <w:r>
        <w:t>. Results are nearly identical across specifications.</w:t>
      </w:r>
    </w:p>
    <w:p w14:paraId="5ED7A13A" w14:textId="77777777" w:rsidR="00BE500F" w:rsidRDefault="00000000">
      <w:pPr>
        <w:numPr>
          <w:ilvl w:val="0"/>
          <w:numId w:val="14"/>
        </w:numPr>
      </w:pPr>
      <w:r>
        <w:t>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14:paraId="1151048A" w14:textId="77777777" w:rsidR="00BE500F" w:rsidRDefault="00000000">
      <w:pPr>
        <w:numPr>
          <w:ilvl w:val="0"/>
          <w:numId w:val="14"/>
        </w:numPr>
      </w:pPr>
      <w:hyperlink r:id="rId8">
        <w:r>
          <w:rPr>
            <w:rStyle w:val="Hyperlink"/>
          </w:rPr>
          <w:t>https://www.lgbtmap.org/</w:t>
        </w:r>
      </w:hyperlink>
    </w:p>
    <w:p w14:paraId="6C27ED22" w14:textId="77777777" w:rsidR="00BE500F" w:rsidRDefault="00000000">
      <w:pPr>
        <w:numPr>
          <w:ilvl w:val="0"/>
          <w:numId w:val="14"/>
        </w:numPr>
      </w:pPr>
      <w:r>
        <w:t>We include evidence for the parallel trends assumption for the DD models in Section D of the Online Appendix; a pre-trend test provides support for parallel trends.</w:t>
      </w:r>
    </w:p>
    <w:p w14:paraId="52C12ABC" w14:textId="77777777" w:rsidR="00BE500F" w:rsidRDefault="00000000">
      <w:pPr>
        <w:numPr>
          <w:ilvl w:val="0"/>
          <w:numId w:val="14"/>
        </w:numPr>
      </w:pPr>
      <w:r>
        <w:t xml:space="preserve">We test that coefficients for 2010 and 2012 are both equal to 0, </w:t>
      </w:r>
      <m:oMath>
        <m:sSub>
          <m:sSubPr>
            <m:ctrlPr>
              <w:rPr>
                <w:rFonts w:ascii="Cambria Math" w:hAnsi="Cambria Math"/>
              </w:rPr>
            </m:ctrlPr>
          </m:sSubPr>
          <m:e>
            <m:r>
              <w:rPr>
                <w:rFonts w:ascii="Cambria Math" w:hAnsi="Cambria Math"/>
              </w:rPr>
              <m:t>δ</m:t>
            </m:r>
          </m:e>
          <m:sub>
            <m:r>
              <w:rPr>
                <w:rFonts w:ascii="Cambria Math" w:hAnsi="Cambria Math"/>
              </w:rPr>
              <m:t>2010</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2012</m:t>
            </m:r>
          </m:sub>
        </m:sSub>
        <m:r>
          <m:rPr>
            <m:sty m:val="p"/>
          </m:rPr>
          <w:rPr>
            <w:rFonts w:ascii="Cambria Math" w:hAnsi="Cambria Math"/>
          </w:rPr>
          <m:t>=</m:t>
        </m:r>
        <m:r>
          <w:rPr>
            <w:rFonts w:ascii="Cambria Math" w:hAnsi="Cambria Math"/>
          </w:rPr>
          <m:t>0</m:t>
        </m:r>
      </m:oMath>
      <w:r>
        <w:t xml:space="preserve">. This pre-trend test follows 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distribution. For the full sample,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value is 0.76 with a p-value of 0.68. For the progressive subsample,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value is 0.14 with a p-value of 0.93. In both cases, we fail to reject the hypothesis that both coefficients are equal to 0, providing support for the parallel trends assumption.</w:t>
      </w:r>
    </w:p>
    <w:p w14:paraId="57915206" w14:textId="77777777" w:rsidR="00BE500F" w:rsidRDefault="00000000">
      <w:r>
        <w:br w:type="page"/>
      </w:r>
    </w:p>
    <w:p w14:paraId="7D04A750" w14:textId="77777777" w:rsidR="00BE500F" w:rsidRDefault="00000000">
      <w:pPr>
        <w:pStyle w:val="Heading1"/>
      </w:pPr>
      <w:bookmarkStart w:id="15" w:name="references"/>
      <w:bookmarkEnd w:id="14"/>
      <w:r>
        <w:lastRenderedPageBreak/>
        <w:t>References</w:t>
      </w:r>
    </w:p>
    <w:p w14:paraId="3693A0EC" w14:textId="77777777" w:rsidR="00BE500F" w:rsidRDefault="00000000">
      <w:pPr>
        <w:pStyle w:val="Bibliography"/>
      </w:pPr>
      <w:bookmarkStart w:id="16" w:name="ref-abou-chadi_2019_rights"/>
      <w:bookmarkStart w:id="17" w:name="refs"/>
      <w:r>
        <w:t xml:space="preserve">Abou-Chadi, Tarik, and Ryan Finnigan. 2019. “Rights for Same-Sex Couples and Public Attitudes Toward Gays and Lesbians in Europe.” </w:t>
      </w:r>
      <w:r>
        <w:rPr>
          <w:i/>
          <w:iCs/>
        </w:rPr>
        <w:t>Comparative Political Studies</w:t>
      </w:r>
      <w:r>
        <w:t xml:space="preserve"> 52 (6): 868–95. </w:t>
      </w:r>
      <w:hyperlink r:id="rId9">
        <w:r>
          <w:rPr>
            <w:rStyle w:val="Hyperlink"/>
          </w:rPr>
          <w:t>https://doi.org/10.1177/0010414018797947</w:t>
        </w:r>
      </w:hyperlink>
      <w:r>
        <w:t>.</w:t>
      </w:r>
    </w:p>
    <w:p w14:paraId="5891571F" w14:textId="77777777" w:rsidR="00BE500F" w:rsidRDefault="00000000">
      <w:pPr>
        <w:pStyle w:val="Bibliography"/>
      </w:pPr>
      <w:bookmarkStart w:id="18" w:name="ref-adamczyk_2019_examining"/>
      <w:bookmarkEnd w:id="16"/>
      <w:r>
        <w:t xml:space="preserve">Adamczyk, Amy, and Yen-Chiao Liao. 2019. “Examining Public Opinion About LGBTQ-Related Issues in the United States and Across Multiple Nations.” </w:t>
      </w:r>
      <w:r>
        <w:rPr>
          <w:i/>
          <w:iCs/>
        </w:rPr>
        <w:t>Annual Review of Sociology</w:t>
      </w:r>
      <w:r>
        <w:t xml:space="preserve"> 45 (1): 401–23. </w:t>
      </w:r>
      <w:hyperlink r:id="rId10">
        <w:r>
          <w:rPr>
            <w:rStyle w:val="Hyperlink"/>
          </w:rPr>
          <w:t>https://doi.org/10.1146/annurev-soc-073018-022332</w:t>
        </w:r>
      </w:hyperlink>
      <w:r>
        <w:t>.</w:t>
      </w:r>
    </w:p>
    <w:p w14:paraId="5AC834D9" w14:textId="77777777" w:rsidR="00BE500F" w:rsidRDefault="00000000">
      <w:pPr>
        <w:pStyle w:val="Bibliography"/>
      </w:pPr>
      <w:bookmarkStart w:id="19" w:name="ref-adamczyk_2009_shaping"/>
      <w:bookmarkEnd w:id="18"/>
      <w:r>
        <w:t xml:space="preserve">Adamczyk, Amy, and Cassady Pitt. 2009. “Shaping Attitudes about Homosexuality: The Role of Religion and Cultural Context.” </w:t>
      </w:r>
      <w:r>
        <w:rPr>
          <w:i/>
          <w:iCs/>
        </w:rPr>
        <w:t>Social Science Research</w:t>
      </w:r>
      <w:r>
        <w:t xml:space="preserve"> 38 (2): 338–51. </w:t>
      </w:r>
      <w:hyperlink r:id="rId11">
        <w:r>
          <w:rPr>
            <w:rStyle w:val="Hyperlink"/>
          </w:rPr>
          <w:t>https://doi.org/10.1016/j.ssresearch.2009.01.002</w:t>
        </w:r>
      </w:hyperlink>
      <w:r>
        <w:t>.</w:t>
      </w:r>
    </w:p>
    <w:p w14:paraId="4DA05AF3" w14:textId="77777777" w:rsidR="00BE500F" w:rsidRDefault="00000000">
      <w:pPr>
        <w:pStyle w:val="Bibliography"/>
      </w:pPr>
      <w:bookmarkStart w:id="20" w:name="ref-ahmadi_2003_migration"/>
      <w:bookmarkEnd w:id="19"/>
      <w:r>
        <w:t xml:space="preserve">Ahmadi, Nader. 2003. “Migration Challenges Views on Sexuality.” </w:t>
      </w:r>
      <w:r>
        <w:rPr>
          <w:i/>
          <w:iCs/>
        </w:rPr>
        <w:t>Ethnic and Racial Studies</w:t>
      </w:r>
      <w:r>
        <w:t xml:space="preserve"> 26 (4): 684–706. </w:t>
      </w:r>
      <w:hyperlink r:id="rId12">
        <w:r>
          <w:rPr>
            <w:rStyle w:val="Hyperlink"/>
          </w:rPr>
          <w:t>https://doi.org/10.1080/0141987032000087361</w:t>
        </w:r>
      </w:hyperlink>
      <w:r>
        <w:t>.</w:t>
      </w:r>
    </w:p>
    <w:p w14:paraId="1BCDE842" w14:textId="77777777" w:rsidR="00BE500F" w:rsidRDefault="00000000">
      <w:pPr>
        <w:pStyle w:val="Bibliography"/>
      </w:pPr>
      <w:bookmarkStart w:id="21" w:name="ref-akin_2017_queer"/>
      <w:bookmarkEnd w:id="20"/>
      <w:r>
        <w:t xml:space="preserve">Akin, Deniz. 2017. “Queer Asylum Seekers: Translating Sexuality in Norway.” </w:t>
      </w:r>
      <w:r>
        <w:rPr>
          <w:i/>
          <w:iCs/>
        </w:rPr>
        <w:t>Journal of Ethnic and Migration Studies</w:t>
      </w:r>
      <w:r>
        <w:t xml:space="preserve"> 43 (3): 458–74. </w:t>
      </w:r>
      <w:hyperlink r:id="rId13">
        <w:r>
          <w:rPr>
            <w:rStyle w:val="Hyperlink"/>
          </w:rPr>
          <w:t>https://doi.org/10.1080/1369183X.2016.1243050</w:t>
        </w:r>
      </w:hyperlink>
      <w:r>
        <w:t>.</w:t>
      </w:r>
    </w:p>
    <w:p w14:paraId="4553E67F" w14:textId="77777777" w:rsidR="00BE500F" w:rsidRDefault="00000000">
      <w:pPr>
        <w:pStyle w:val="Bibliography"/>
      </w:pPr>
      <w:bookmarkStart w:id="22" w:name="ref-badgett_2011_separated"/>
      <w:bookmarkEnd w:id="21"/>
      <w:r>
        <w:t xml:space="preserve">Badgett, M. V. Lee. 2011. “Separated and Not Equal: Binational Same-Sex Couples.” </w:t>
      </w:r>
      <w:r>
        <w:rPr>
          <w:i/>
          <w:iCs/>
        </w:rPr>
        <w:t>Signs: Journal of Women in Culture and Society</w:t>
      </w:r>
      <w:r>
        <w:t xml:space="preserve"> 36 (4): 793–98. </w:t>
      </w:r>
      <w:hyperlink r:id="rId14">
        <w:r>
          <w:rPr>
            <w:rStyle w:val="Hyperlink"/>
          </w:rPr>
          <w:t>https://doi.org/10.1086/658500</w:t>
        </w:r>
      </w:hyperlink>
      <w:r>
        <w:t>.</w:t>
      </w:r>
    </w:p>
    <w:p w14:paraId="3EBE6AA8" w14:textId="77777777" w:rsidR="00BE500F" w:rsidRDefault="00000000">
      <w:pPr>
        <w:pStyle w:val="Bibliography"/>
      </w:pPr>
      <w:bookmarkStart w:id="23" w:name="ref-baiocco_2014_desire"/>
      <w:bookmarkEnd w:id="22"/>
      <w:r>
        <w:t xml:space="preserve">Baiocco, Roberto, Michele Argalia, and Fiorenzo Laghi. 2014. “The Desire to Marry and Attitudes Toward Same-Sex Family Legalization in a Sample of Italian Lesbians and Gay Men.” </w:t>
      </w:r>
      <w:r>
        <w:rPr>
          <w:i/>
          <w:iCs/>
        </w:rPr>
        <w:t>Journal of Family Issues</w:t>
      </w:r>
      <w:r>
        <w:t xml:space="preserve"> 35 (2): 181–200. </w:t>
      </w:r>
      <w:hyperlink r:id="rId15">
        <w:r>
          <w:rPr>
            <w:rStyle w:val="Hyperlink"/>
          </w:rPr>
          <w:t>https://doi.org/10.1177/0192513X12464872</w:t>
        </w:r>
      </w:hyperlink>
      <w:r>
        <w:t>.</w:t>
      </w:r>
    </w:p>
    <w:p w14:paraId="2A0E84AD" w14:textId="77777777" w:rsidR="00BE500F" w:rsidRDefault="00000000">
      <w:pPr>
        <w:pStyle w:val="Bibliography"/>
      </w:pPr>
      <w:bookmarkStart w:id="24" w:name="ref-baumle_2009"/>
      <w:bookmarkEnd w:id="23"/>
      <w:r>
        <w:t xml:space="preserve">Baumle, Amanda K., D’Lane Compton, and Dudley L. Poston. 2009. </w:t>
      </w:r>
      <w:r>
        <w:rPr>
          <w:i/>
          <w:iCs/>
        </w:rPr>
        <w:t>Same-Sex Partners: The Social Demography of Sexual Orientation</w:t>
      </w:r>
      <w:r>
        <w:t>. SUNY Press.</w:t>
      </w:r>
    </w:p>
    <w:p w14:paraId="0A04ABEE" w14:textId="77777777" w:rsidR="00BE500F" w:rsidRDefault="00000000">
      <w:pPr>
        <w:pStyle w:val="Bibliography"/>
      </w:pPr>
      <w:bookmarkStart w:id="25" w:name="ref-bea_2020"/>
      <w:bookmarkEnd w:id="24"/>
      <w:r>
        <w:lastRenderedPageBreak/>
        <w:t>BEA. 2020. “Regional Data: GDP and Personal Income.” Bureau of Economic Analysis, U.S. Department of Commerce.</w:t>
      </w:r>
    </w:p>
    <w:p w14:paraId="70447D15" w14:textId="77777777" w:rsidR="00BE500F" w:rsidRDefault="00000000">
      <w:pPr>
        <w:pStyle w:val="Bibliography"/>
      </w:pPr>
      <w:bookmarkStart w:id="26" w:name="ref-benson_2009"/>
      <w:bookmarkEnd w:id="25"/>
      <w:r>
        <w:t xml:space="preserve">Benson, Michaela, and Karen O’Reilly. 2009. “Migration and the Search for a Better Way of Life: A Critical Exploration of Lifestyle Migration.” </w:t>
      </w:r>
      <w:r>
        <w:rPr>
          <w:i/>
          <w:iCs/>
        </w:rPr>
        <w:t>The Sociological Review</w:t>
      </w:r>
      <w:r>
        <w:t xml:space="preserve"> 57 (4): 608–25. </w:t>
      </w:r>
      <w:hyperlink r:id="rId16">
        <w:r>
          <w:rPr>
            <w:rStyle w:val="Hyperlink"/>
          </w:rPr>
          <w:t>https://doi.org/10.1111/j.1467-954X.2009.01864.x</w:t>
        </w:r>
      </w:hyperlink>
      <w:r>
        <w:t>.</w:t>
      </w:r>
    </w:p>
    <w:p w14:paraId="0E7F949B" w14:textId="77777777" w:rsidR="00BE500F" w:rsidRDefault="00000000">
      <w:pPr>
        <w:pStyle w:val="Bibliography"/>
      </w:pPr>
      <w:bookmarkStart w:id="27" w:name="ref-bernstein_2013_marrying"/>
      <w:bookmarkEnd w:id="26"/>
      <w:r>
        <w:t xml:space="preserve">Bernstein, Mary, and Verta Taylor. 2013. </w:t>
      </w:r>
      <w:r>
        <w:rPr>
          <w:i/>
          <w:iCs/>
        </w:rPr>
        <w:t>The Marrying Kind?: Debating Same-Sex Marriage Within the Lesbian and Gay Movement</w:t>
      </w:r>
      <w:r>
        <w:t>. U of Minnesota Press.</w:t>
      </w:r>
    </w:p>
    <w:p w14:paraId="4F74A918" w14:textId="77777777" w:rsidR="00BE500F" w:rsidRDefault="00000000">
      <w:pPr>
        <w:pStyle w:val="Bibliography"/>
      </w:pPr>
      <w:bookmarkStart w:id="28" w:name="ref-bls_2020"/>
      <w:bookmarkEnd w:id="27"/>
      <w:r>
        <w:t>BLS. 2020. “Monthly State Unemployment Rates.” U.S. Bureau of Labor Statistics.</w:t>
      </w:r>
    </w:p>
    <w:p w14:paraId="4987CCB1" w14:textId="77777777" w:rsidR="00BE500F" w:rsidRDefault="00000000">
      <w:pPr>
        <w:pStyle w:val="Bibliography"/>
      </w:pPr>
      <w:bookmarkStart w:id="29" w:name="ref-bongmba_2021_samesex"/>
      <w:bookmarkEnd w:id="28"/>
      <w:r>
        <w:t xml:space="preserve">Bongmba, Elias Kifon. 2021. “Same-Sex Relations and Legal Traditions in Cameroon and South Africa.” </w:t>
      </w:r>
      <w:r>
        <w:rPr>
          <w:i/>
          <w:iCs/>
        </w:rPr>
        <w:t>Journal of Law and Religion</w:t>
      </w:r>
      <w:r>
        <w:t xml:space="preserve"> 36 (1): 130–47. </w:t>
      </w:r>
      <w:hyperlink r:id="rId17">
        <w:r>
          <w:rPr>
            <w:rStyle w:val="Hyperlink"/>
          </w:rPr>
          <w:t>https://doi.org/10.1017/jlr.2021.6</w:t>
        </w:r>
      </w:hyperlink>
      <w:r>
        <w:t>.</w:t>
      </w:r>
    </w:p>
    <w:p w14:paraId="79C48D5F" w14:textId="77777777" w:rsidR="00BE500F" w:rsidRDefault="00000000">
      <w:pPr>
        <w:pStyle w:val="Bibliography"/>
      </w:pPr>
      <w:bookmarkStart w:id="30" w:name="ref-bonjour_2021_intimate"/>
      <w:bookmarkEnd w:id="29"/>
      <w:r>
        <w:t xml:space="preserve">Bonjour, Saskia, and Betty de Hart. 2021. “Intimate Citizenship: Introduction to the Special Issue on Citizenship, Membership and Belonging in Mixed-Status Families.” </w:t>
      </w:r>
      <w:r>
        <w:rPr>
          <w:i/>
          <w:iCs/>
        </w:rPr>
        <w:t>Identities</w:t>
      </w:r>
      <w:r>
        <w:t xml:space="preserve"> 28 (1): 1–17. </w:t>
      </w:r>
      <w:hyperlink r:id="rId18">
        <w:r>
          <w:rPr>
            <w:rStyle w:val="Hyperlink"/>
          </w:rPr>
          <w:t>https://doi.org/10.1080/1070289X.2020.1737404</w:t>
        </w:r>
      </w:hyperlink>
      <w:r>
        <w:t>.</w:t>
      </w:r>
    </w:p>
    <w:p w14:paraId="04706502" w14:textId="77777777" w:rsidR="00BE500F" w:rsidRDefault="00000000">
      <w:pPr>
        <w:pStyle w:val="Bibliography"/>
      </w:pPr>
      <w:bookmarkStart w:id="31" w:name="ref-borenstein_2010_basic"/>
      <w:bookmarkEnd w:id="30"/>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19">
        <w:r>
          <w:rPr>
            <w:rStyle w:val="Hyperlink"/>
          </w:rPr>
          <w:t>https://doi.org/10.1002/jrsm.12</w:t>
        </w:r>
      </w:hyperlink>
      <w:r>
        <w:t>.</w:t>
      </w:r>
    </w:p>
    <w:p w14:paraId="66DFBBFD" w14:textId="77777777" w:rsidR="00BE500F" w:rsidRDefault="00000000">
      <w:pPr>
        <w:pStyle w:val="Bibliography"/>
      </w:pPr>
      <w:bookmarkStart w:id="32" w:name="ref-burstein_1991_policy"/>
      <w:bookmarkEnd w:id="31"/>
      <w:r>
        <w:t xml:space="preserve">Burstein, Paul. 1991. “Policy Domains: Organization, Culture, and Policy Outcomes.” </w:t>
      </w:r>
      <w:r>
        <w:rPr>
          <w:i/>
          <w:iCs/>
        </w:rPr>
        <w:t>Annual Review of Sociology</w:t>
      </w:r>
      <w:r>
        <w:t xml:space="preserve"> 17 (1): 327–50. </w:t>
      </w:r>
      <w:hyperlink r:id="rId20">
        <w:r>
          <w:rPr>
            <w:rStyle w:val="Hyperlink"/>
          </w:rPr>
          <w:t>https://doi.org/10.1146/annurev.so.17.080191.001551</w:t>
        </w:r>
      </w:hyperlink>
      <w:r>
        <w:t>.</w:t>
      </w:r>
    </w:p>
    <w:p w14:paraId="303BD6F1" w14:textId="77777777" w:rsidR="00BE500F" w:rsidRDefault="00000000">
      <w:pPr>
        <w:pStyle w:val="Bibliography"/>
      </w:pPr>
      <w:bookmarkStart w:id="33" w:name="ref-cahill_2005_welfare"/>
      <w:bookmarkEnd w:id="32"/>
      <w:r>
        <w:t xml:space="preserve">Cahill, Sean. 2005. “Welfare Moms and the Two Grooms: The Concurrent Promotion and Restriction of Marriage in US Public Policy.” </w:t>
      </w:r>
      <w:r>
        <w:rPr>
          <w:i/>
          <w:iCs/>
        </w:rPr>
        <w:t>Sexualities</w:t>
      </w:r>
      <w:r>
        <w:t xml:space="preserve"> 8 (2): 169–87. </w:t>
      </w:r>
      <w:hyperlink r:id="rId21">
        <w:r>
          <w:rPr>
            <w:rStyle w:val="Hyperlink"/>
          </w:rPr>
          <w:t>https://doi.org/10.1177/1363460705050853</w:t>
        </w:r>
      </w:hyperlink>
      <w:r>
        <w:t>.</w:t>
      </w:r>
    </w:p>
    <w:p w14:paraId="02B1A2F6" w14:textId="77777777" w:rsidR="00BE500F" w:rsidRDefault="00000000">
      <w:pPr>
        <w:pStyle w:val="Bibliography"/>
      </w:pPr>
      <w:bookmarkStart w:id="34" w:name="ref-cameron_2005_microeconometrics"/>
      <w:bookmarkEnd w:id="33"/>
      <w:r>
        <w:lastRenderedPageBreak/>
        <w:t xml:space="preserve">Cameron, A. Colin, and Pravin K. Trivedi. 2005. </w:t>
      </w:r>
      <w:r>
        <w:rPr>
          <w:i/>
          <w:iCs/>
        </w:rPr>
        <w:t>Microeconometrics: Methods and Applications</w:t>
      </w:r>
      <w:r>
        <w:t>. Cambridge ; New York: Cambridge University Press.</w:t>
      </w:r>
    </w:p>
    <w:p w14:paraId="73C56ED0" w14:textId="77777777" w:rsidR="00BE500F" w:rsidRDefault="00000000">
      <w:pPr>
        <w:pStyle w:val="Bibliography"/>
      </w:pPr>
      <w:bookmarkStart w:id="35" w:name="ref-carpenter_2020"/>
      <w:bookmarkEnd w:id="34"/>
      <w:r>
        <w:t xml:space="preserve">Carpenter, Christopher S. 2020. “The Direct Effects of Legal Same-Sex Marriage in the United States: Evidence From Massachusetts.” </w:t>
      </w:r>
      <w:r>
        <w:rPr>
          <w:i/>
          <w:iCs/>
        </w:rPr>
        <w:t>Demography</w:t>
      </w:r>
      <w:r>
        <w:t xml:space="preserve"> 57 (5): 1787–1808.</w:t>
      </w:r>
    </w:p>
    <w:p w14:paraId="78390B49" w14:textId="77777777" w:rsidR="00BE500F" w:rsidRDefault="00000000">
      <w:pPr>
        <w:pStyle w:val="Bibliography"/>
      </w:pPr>
      <w:bookmarkStart w:id="36" w:name="ref-carrington_1999_no"/>
      <w:bookmarkEnd w:id="35"/>
      <w:r>
        <w:t xml:space="preserve">Carrington, Christopher. 1999. </w:t>
      </w:r>
      <w:r>
        <w:rPr>
          <w:i/>
          <w:iCs/>
        </w:rPr>
        <w:t>No Place Like Home: Relationships and Family Life Among Lesbians and Gay Men</w:t>
      </w:r>
      <w:r>
        <w:t>. University of Chicago Press.</w:t>
      </w:r>
    </w:p>
    <w:p w14:paraId="3F72EBAD" w14:textId="77777777" w:rsidR="00BE500F" w:rsidRDefault="00000000">
      <w:pPr>
        <w:pStyle w:val="Bibliography"/>
      </w:pPr>
      <w:bookmarkStart w:id="37" w:name="ref-carron_2015_marriagebased"/>
      <w:bookmarkEnd w:id="36"/>
      <w:r>
        <w:t xml:space="preserve">Carron, Anna. 2015. “Marriage-Based Immigration for Same-Sex Couples After DOMA: Lingering Problems of Proof and Prejudice.” </w:t>
      </w:r>
      <w:r>
        <w:rPr>
          <w:i/>
          <w:iCs/>
        </w:rPr>
        <w:t>Northwestern University Law Review</w:t>
      </w:r>
      <w:r>
        <w:t xml:space="preserve"> 109 (4): 1021–52.</w:t>
      </w:r>
    </w:p>
    <w:p w14:paraId="36C824F0" w14:textId="77777777" w:rsidR="00BE500F" w:rsidRDefault="00000000">
      <w:pPr>
        <w:pStyle w:val="Bibliography"/>
      </w:pPr>
      <w:bookmarkStart w:id="38" w:name="ref-chauvin_2021_class"/>
      <w:bookmarkEnd w:id="37"/>
      <w:r>
        <w:t xml:space="preserve">Chauvin, Sébastien, Manuela Salcedo Robledo, Timo Koren, and Joël Illidge. 2021. “Class, Mobility and Inequality in the Lives of Same-Sex Couples with Mixed Legal Statuses.” </w:t>
      </w:r>
      <w:r>
        <w:rPr>
          <w:i/>
          <w:iCs/>
        </w:rPr>
        <w:t>Journal of Ethnic and Migration Studies</w:t>
      </w:r>
      <w:r>
        <w:t xml:space="preserve"> 47 (2): 430–46. </w:t>
      </w:r>
      <w:hyperlink r:id="rId22">
        <w:r>
          <w:rPr>
            <w:rStyle w:val="Hyperlink"/>
          </w:rPr>
          <w:t>https://doi.org/10.1080/1369183X.2019.1625137</w:t>
        </w:r>
      </w:hyperlink>
      <w:r>
        <w:t>.</w:t>
      </w:r>
    </w:p>
    <w:p w14:paraId="373DE3E7" w14:textId="77777777" w:rsidR="00BE500F" w:rsidRDefault="00000000">
      <w:pPr>
        <w:pStyle w:val="Bibliography"/>
      </w:pPr>
      <w:bookmarkStart w:id="39" w:name="ref-cheng_2016_changing"/>
      <w:bookmarkEnd w:id="38"/>
      <w:r>
        <w:t xml:space="preserve">Cheng, Yen-hsin Alice, Fen-Chieh Felice Wu, and Amy Adamczyk. 2016. “Changing Attitudes Toward Homosexuality in Taiwan, 1995.” </w:t>
      </w:r>
      <w:r>
        <w:rPr>
          <w:i/>
          <w:iCs/>
        </w:rPr>
        <w:t>Chinese Sociological Review</w:t>
      </w:r>
      <w:r>
        <w:t xml:space="preserve"> 48 (4): 317–45. </w:t>
      </w:r>
      <w:hyperlink r:id="rId23">
        <w:r>
          <w:rPr>
            <w:rStyle w:val="Hyperlink"/>
          </w:rPr>
          <w:t>https://doi.org/10.1080/21620555.2016.1199257</w:t>
        </w:r>
      </w:hyperlink>
      <w:r>
        <w:t>.</w:t>
      </w:r>
    </w:p>
    <w:p w14:paraId="5C5CF127" w14:textId="77777777" w:rsidR="00BE500F" w:rsidRDefault="00000000">
      <w:pPr>
        <w:pStyle w:val="Bibliography"/>
      </w:pPr>
      <w:bookmarkStart w:id="40" w:name="ref-choi_2022_global"/>
      <w:bookmarkEnd w:id="39"/>
      <w:r>
        <w:t xml:space="preserve">Choi, Susanne YP. 2022. “Global Multiple Migration: Class-Based Mobility Capital of Elite Chinese Gay Men.” </w:t>
      </w:r>
      <w:r>
        <w:rPr>
          <w:i/>
          <w:iCs/>
        </w:rPr>
        <w:t>Sociology</w:t>
      </w:r>
      <w:r>
        <w:t xml:space="preserve">, March, 00380385211073237. </w:t>
      </w:r>
      <w:hyperlink r:id="rId24">
        <w:r>
          <w:rPr>
            <w:rStyle w:val="Hyperlink"/>
          </w:rPr>
          <w:t>https://doi.org/10.1177/00380385211073237</w:t>
        </w:r>
      </w:hyperlink>
      <w:r>
        <w:t>.</w:t>
      </w:r>
    </w:p>
    <w:p w14:paraId="749C5602" w14:textId="77777777" w:rsidR="00BE500F" w:rsidRDefault="00000000">
      <w:pPr>
        <w:pStyle w:val="Bibliography"/>
      </w:pPr>
      <w:bookmarkStart w:id="41" w:name="ref-desai_2010_gender"/>
      <w:bookmarkEnd w:id="40"/>
      <w:r>
        <w:t xml:space="preserve">Desai, Sonalde, and Lester Andrist. 2010. “Gender Scripts and Age at Marriage in India.” </w:t>
      </w:r>
      <w:r>
        <w:rPr>
          <w:i/>
          <w:iCs/>
        </w:rPr>
        <w:t>Demography</w:t>
      </w:r>
      <w:r>
        <w:t xml:space="preserve"> 47 (3): 667–87. </w:t>
      </w:r>
      <w:hyperlink r:id="rId25">
        <w:r>
          <w:rPr>
            <w:rStyle w:val="Hyperlink"/>
          </w:rPr>
          <w:t>https://doi.org/10.1353/dem.0.0118</w:t>
        </w:r>
      </w:hyperlink>
      <w:r>
        <w:t>.</w:t>
      </w:r>
    </w:p>
    <w:p w14:paraId="2C9C79B2" w14:textId="77777777" w:rsidR="00BE500F" w:rsidRDefault="00000000">
      <w:pPr>
        <w:pStyle w:val="Bibliography"/>
      </w:pPr>
      <w:bookmarkStart w:id="42" w:name="ref-dhoest_2019_learning"/>
      <w:bookmarkEnd w:id="41"/>
      <w:r>
        <w:lastRenderedPageBreak/>
        <w:t xml:space="preserve">Dhoest, Alexander. 2019. “Learning to Be Gay: LGBTQ Forced Migrant Identities and Narratives in Belgium.” </w:t>
      </w:r>
      <w:r>
        <w:rPr>
          <w:i/>
          <w:iCs/>
        </w:rPr>
        <w:t>Journal of Ethnic and Migration Studies</w:t>
      </w:r>
      <w:r>
        <w:t xml:space="preserve"> 45 (7): 1075–89. </w:t>
      </w:r>
      <w:hyperlink r:id="rId26">
        <w:r>
          <w:rPr>
            <w:rStyle w:val="Hyperlink"/>
          </w:rPr>
          <w:t>https://doi.org/10.1080/1369183X.2017.1420466</w:t>
        </w:r>
      </w:hyperlink>
      <w:r>
        <w:t>.</w:t>
      </w:r>
    </w:p>
    <w:p w14:paraId="09F57BF5" w14:textId="77777777" w:rsidR="00BE500F" w:rsidRDefault="00000000">
      <w:pPr>
        <w:pStyle w:val="Bibliography"/>
      </w:pPr>
      <w:bookmarkStart w:id="43" w:name="ref-difeliciantonio_2016_situating"/>
      <w:bookmarkEnd w:id="42"/>
      <w:r>
        <w:t xml:space="preserve">Di Feliciantonio, Cesare, and Kaciano B. Gadelha. 2016. “Situating Queer Migration Within (National) Welfare Regimes.” </w:t>
      </w:r>
      <w:r>
        <w:rPr>
          <w:i/>
          <w:iCs/>
        </w:rPr>
        <w:t>Geoforum</w:t>
      </w:r>
      <w:r>
        <w:t xml:space="preserve"> 68 (January): 1–9. </w:t>
      </w:r>
      <w:hyperlink r:id="rId27">
        <w:r>
          <w:rPr>
            <w:rStyle w:val="Hyperlink"/>
          </w:rPr>
          <w:t>https://doi.org/10.1016/j.geoforum.2015.11.007</w:t>
        </w:r>
      </w:hyperlink>
      <w:r>
        <w:t>.</w:t>
      </w:r>
    </w:p>
    <w:p w14:paraId="29A114C3" w14:textId="77777777" w:rsidR="00BE500F" w:rsidRDefault="00000000">
      <w:pPr>
        <w:pStyle w:val="Bibliography"/>
      </w:pPr>
      <w:bookmarkStart w:id="44" w:name="ref-dion_2017_democratic"/>
      <w:bookmarkEnd w:id="43"/>
      <w:r>
        <w:t xml:space="preserve">Dion, Michelle L., and Jordi Díez. 2017. “Democratic Values, Religiosity, and Support for Same-Sex Marriage in Latin America.” </w:t>
      </w:r>
      <w:r>
        <w:rPr>
          <w:i/>
          <w:iCs/>
        </w:rPr>
        <w:t>Latin American Politics and Society</w:t>
      </w:r>
      <w:r>
        <w:t xml:space="preserve"> 59 (4): 75–98. </w:t>
      </w:r>
      <w:hyperlink r:id="rId28">
        <w:r>
          <w:rPr>
            <w:rStyle w:val="Hyperlink"/>
          </w:rPr>
          <w:t>https://doi.org/10.1111/laps.12034</w:t>
        </w:r>
      </w:hyperlink>
      <w:r>
        <w:t>.</w:t>
      </w:r>
    </w:p>
    <w:p w14:paraId="23A63D81" w14:textId="77777777" w:rsidR="00BE500F" w:rsidRDefault="00000000">
      <w:pPr>
        <w:pStyle w:val="Bibliography"/>
      </w:pPr>
      <w:bookmarkStart w:id="45" w:name="ref-dixon_2020"/>
      <w:bookmarkEnd w:id="44"/>
      <w:r>
        <w:t xml:space="preserve">Dixon, Laura. 2020. “Gender, Sexuality and Lifestyle Migration: Exploring the Impact of Cosmopolitan Place-Marketing Discourses on the Post-Migratory Experiences of British Women in Spain.” </w:t>
      </w:r>
      <w:r>
        <w:rPr>
          <w:i/>
          <w:iCs/>
        </w:rPr>
        <w:t>Current Sociology</w:t>
      </w:r>
      <w:r>
        <w:t xml:space="preserve"> 68 (3): 281–98. </w:t>
      </w:r>
      <w:hyperlink r:id="rId29">
        <w:r>
          <w:rPr>
            <w:rStyle w:val="Hyperlink"/>
          </w:rPr>
          <w:t>https://doi.org/10.1177/0011392119850231</w:t>
        </w:r>
      </w:hyperlink>
      <w:r>
        <w:t>.</w:t>
      </w:r>
    </w:p>
    <w:p w14:paraId="3B924E56" w14:textId="77777777" w:rsidR="00BE500F" w:rsidRDefault="00000000">
      <w:pPr>
        <w:pStyle w:val="Bibliography"/>
      </w:pPr>
      <w:bookmarkStart w:id="46" w:name="ref-edwards_2013"/>
      <w:bookmarkEnd w:id="45"/>
      <w:r>
        <w:t xml:space="preserve">Edwards, Benjamin P. 2013. “Welcoming a Post-DOMA World: Same-Sex Spousal Petitions and Other Post-Windsor Immigration Implications.” </w:t>
      </w:r>
      <w:r>
        <w:rPr>
          <w:i/>
          <w:iCs/>
        </w:rPr>
        <w:t>Family Law Quarterly</w:t>
      </w:r>
      <w:r>
        <w:t xml:space="preserve"> 47 (2): 173–89.</w:t>
      </w:r>
    </w:p>
    <w:p w14:paraId="76D4163A" w14:textId="77777777" w:rsidR="00BE500F" w:rsidRDefault="00000000">
      <w:pPr>
        <w:pStyle w:val="Bibliography"/>
      </w:pPr>
      <w:bookmarkStart w:id="47" w:name="ref-emens_2009_intimate"/>
      <w:bookmarkEnd w:id="46"/>
      <w:r>
        <w:t xml:space="preserve">Emens, Elizabeth F. 2009. “Intimate Discrimination: The State’s Role in the Accidents of Sex and Love.” </w:t>
      </w:r>
      <w:r>
        <w:rPr>
          <w:i/>
          <w:iCs/>
        </w:rPr>
        <w:t>Harvard Law Review</w:t>
      </w:r>
      <w:r>
        <w:t xml:space="preserve"> 122: 1308–402.</w:t>
      </w:r>
    </w:p>
    <w:p w14:paraId="416598DF" w14:textId="77777777" w:rsidR="00BE500F" w:rsidRDefault="00000000">
      <w:pPr>
        <w:pStyle w:val="Bibliography"/>
      </w:pPr>
      <w:bookmarkStart w:id="48" w:name="ref-fernandez_2013_supranational"/>
      <w:bookmarkEnd w:id="47"/>
      <w:r>
        <w:t xml:space="preserve">Fernández, Juan J, and Mark Lutter. 2013. “Supranational Cultural Norms, Domestic Value Orientations and the Diffusion of Same-Sex Union Rights in Europe, 1988.” </w:t>
      </w:r>
      <w:r>
        <w:rPr>
          <w:i/>
          <w:iCs/>
        </w:rPr>
        <w:t>International Sociology</w:t>
      </w:r>
      <w:r>
        <w:t xml:space="preserve"> 28 (1): 102–20. </w:t>
      </w:r>
      <w:hyperlink r:id="rId30">
        <w:r>
          <w:rPr>
            <w:rStyle w:val="Hyperlink"/>
          </w:rPr>
          <w:t>https://doi.org/10.1177/0268580912466881</w:t>
        </w:r>
      </w:hyperlink>
      <w:r>
        <w:t>.</w:t>
      </w:r>
    </w:p>
    <w:p w14:paraId="71A668C4" w14:textId="77777777" w:rsidR="00BE500F" w:rsidRDefault="00000000">
      <w:pPr>
        <w:pStyle w:val="Bibliography"/>
      </w:pPr>
      <w:bookmarkStart w:id="49" w:name="ref-gates_2009"/>
      <w:bookmarkEnd w:id="48"/>
      <w:r>
        <w:lastRenderedPageBreak/>
        <w:t xml:space="preserve">Gates, Gary J., and Michael D. Steinberger. 2009. “Same-Sex Unmarried Partner Couples in the American Community Survey: The Role of Misreporting, Miscoding and Misallocation.” In </w:t>
      </w:r>
      <w:r>
        <w:rPr>
          <w:i/>
          <w:iCs/>
        </w:rPr>
        <w:t>Annual Meetings of the Population Association of America, Detroit, MI</w:t>
      </w:r>
      <w:r>
        <w:t>.</w:t>
      </w:r>
    </w:p>
    <w:p w14:paraId="180E2B87" w14:textId="77777777" w:rsidR="00BE500F" w:rsidRDefault="00000000">
      <w:pPr>
        <w:pStyle w:val="Bibliography"/>
      </w:pPr>
      <w:bookmarkStart w:id="50" w:name="ref-giametta_2020_new"/>
      <w:bookmarkEnd w:id="49"/>
      <w:r>
        <w:t xml:space="preserve">Giametta, Calogero. 2020. “New Asylum Protection Categories and Elusive Filtering Devices: The Case of ‘Queer Asylum’ in France and the UK.” </w:t>
      </w:r>
      <w:r>
        <w:rPr>
          <w:i/>
          <w:iCs/>
        </w:rPr>
        <w:t>Journal of Ethnic and Migration Studies</w:t>
      </w:r>
      <w:r>
        <w:t xml:space="preserve"> 46 (1): 142–57. </w:t>
      </w:r>
      <w:hyperlink r:id="rId31">
        <w:r>
          <w:rPr>
            <w:rStyle w:val="Hyperlink"/>
          </w:rPr>
          <w:t>https://doi.org/10.1080/1369183X.2018.1500172</w:t>
        </w:r>
      </w:hyperlink>
      <w:r>
        <w:t>.</w:t>
      </w:r>
    </w:p>
    <w:p w14:paraId="72A8AB7D" w14:textId="77777777" w:rsidR="00BE500F" w:rsidRDefault="00000000">
      <w:pPr>
        <w:pStyle w:val="Bibliography"/>
      </w:pPr>
      <w:bookmarkStart w:id="51" w:name="ref-giddings_2014"/>
      <w:bookmarkEnd w:id="50"/>
      <w:r>
        <w:t xml:space="preserve">Giddings, Lisa, John M. Nunley, Alyssa Schneebaum, and Joachim Zietz. 2014. “Birth Cohort and the Specialization Gap Between Same-Sex and Different-Sex Couples.” </w:t>
      </w:r>
      <w:r>
        <w:rPr>
          <w:i/>
          <w:iCs/>
        </w:rPr>
        <w:t>Demography</w:t>
      </w:r>
      <w:r>
        <w:t xml:space="preserve"> 51 (2): 509–34. </w:t>
      </w:r>
      <w:hyperlink r:id="rId32">
        <w:r>
          <w:rPr>
            <w:rStyle w:val="Hyperlink"/>
          </w:rPr>
          <w:t>https://doi.org/10.1007/s13524-013-0267-4</w:t>
        </w:r>
      </w:hyperlink>
      <w:r>
        <w:t>.</w:t>
      </w:r>
    </w:p>
    <w:p w14:paraId="4BC7C542" w14:textId="77777777" w:rsidR="00BE500F" w:rsidRDefault="00000000">
      <w:pPr>
        <w:pStyle w:val="Bibliography"/>
      </w:pPr>
      <w:bookmarkStart w:id="52" w:name="ref-goldberg_2013_doing"/>
      <w:bookmarkEnd w:id="51"/>
      <w:r>
        <w:t xml:space="preserve">Goldberg, Abbie E. 2013. “‘Doing’ and ‘Undoing’ Gender: The Meaning and Division of Housework in Same-Sex Couples.” </w:t>
      </w:r>
      <w:r>
        <w:rPr>
          <w:i/>
          <w:iCs/>
        </w:rPr>
        <w:t>Journal of Family Theory &amp; Review</w:t>
      </w:r>
      <w:r>
        <w:t xml:space="preserve"> 5 (2): 85–104. </w:t>
      </w:r>
      <w:hyperlink r:id="rId33">
        <w:r>
          <w:rPr>
            <w:rStyle w:val="Hyperlink"/>
          </w:rPr>
          <w:t>https://doi.org/10.1111/jftr.12009</w:t>
        </w:r>
      </w:hyperlink>
      <w:r>
        <w:t>.</w:t>
      </w:r>
    </w:p>
    <w:p w14:paraId="49E74FB7" w14:textId="77777777" w:rsidR="00BE500F" w:rsidRDefault="00000000">
      <w:pPr>
        <w:pStyle w:val="Bibliography"/>
      </w:pPr>
      <w:bookmarkStart w:id="53" w:name="ref-goldberg_2012_division"/>
      <w:bookmarkEnd w:id="52"/>
      <w:r>
        <w:t xml:space="preserve">Goldberg, Abbie E., JuliAnna Z. Smith, and Maureen Perry-Jenkins. 2012. “The Division of Labor in Lesbian, Gay, and Heterosexual New Adoptive Parents.” </w:t>
      </w:r>
      <w:r>
        <w:rPr>
          <w:i/>
          <w:iCs/>
        </w:rPr>
        <w:t>Journal of Marriage and Family</w:t>
      </w:r>
      <w:r>
        <w:t xml:space="preserve"> 74 (4): 812–28. </w:t>
      </w:r>
      <w:hyperlink r:id="rId34">
        <w:r>
          <w:rPr>
            <w:rStyle w:val="Hyperlink"/>
          </w:rPr>
          <w:t>https://doi.org/10.1111/j.1741-3737.2012.00992.x</w:t>
        </w:r>
      </w:hyperlink>
      <w:r>
        <w:t>.</w:t>
      </w:r>
    </w:p>
    <w:p w14:paraId="49E9F80C" w14:textId="77777777" w:rsidR="00BE500F" w:rsidRDefault="00000000">
      <w:pPr>
        <w:pStyle w:val="Bibliography"/>
      </w:pPr>
      <w:bookmarkStart w:id="54" w:name="ref-goldscheider_2015_gender"/>
      <w:bookmarkEnd w:id="53"/>
      <w:r>
        <w:t xml:space="preserve">Goldscheider, Frances, Eva Bernhardt, and Trude Lappegård. 2015. “The Gender Revolution: A Framework for Understanding Changing Family and Demographic Behavior.” </w:t>
      </w:r>
      <w:r>
        <w:rPr>
          <w:i/>
          <w:iCs/>
        </w:rPr>
        <w:t>Population and Development Review</w:t>
      </w:r>
      <w:r>
        <w:t xml:space="preserve"> 41 (2): 207–39. </w:t>
      </w:r>
      <w:hyperlink r:id="rId35">
        <w:r>
          <w:rPr>
            <w:rStyle w:val="Hyperlink"/>
          </w:rPr>
          <w:t>https://doi.org/10.1111/j.1728-4457.2015.00045.x</w:t>
        </w:r>
      </w:hyperlink>
      <w:r>
        <w:t>.</w:t>
      </w:r>
    </w:p>
    <w:p w14:paraId="2FDDB2A9" w14:textId="77777777" w:rsidR="00BE500F" w:rsidRDefault="00000000">
      <w:pPr>
        <w:pStyle w:val="Bibliography"/>
      </w:pPr>
      <w:bookmarkStart w:id="55" w:name="ref-gordon_1964_assimilation"/>
      <w:bookmarkEnd w:id="54"/>
      <w:r>
        <w:t xml:space="preserve">Gordon, Milton M. 1964. </w:t>
      </w:r>
      <w:r>
        <w:rPr>
          <w:i/>
          <w:iCs/>
        </w:rPr>
        <w:t>Assimilation in American Life</w:t>
      </w:r>
      <w:r>
        <w:t>. Oxford: Oxford University Press.</w:t>
      </w:r>
    </w:p>
    <w:p w14:paraId="671BD01D" w14:textId="77777777" w:rsidR="00BE500F" w:rsidRDefault="00000000">
      <w:pPr>
        <w:pStyle w:val="Bibliography"/>
      </w:pPr>
      <w:bookmarkStart w:id="56" w:name="ref-hausman_1984_econometric"/>
      <w:bookmarkEnd w:id="55"/>
      <w:r>
        <w:t xml:space="preserve">Hausman, Jerry, Bronwyn H. Hall, and Zvi Griliches. 1984. “Econometric Models for Count Data with an Application to the Patents-R &amp; D Relationship.” </w:t>
      </w:r>
      <w:r>
        <w:rPr>
          <w:i/>
          <w:iCs/>
        </w:rPr>
        <w:t>Econometrica : Journal of the Econometric Society</w:t>
      </w:r>
      <w:r>
        <w:t xml:space="preserve"> 52 (4): 909–38. </w:t>
      </w:r>
      <w:hyperlink r:id="rId36">
        <w:r>
          <w:rPr>
            <w:rStyle w:val="Hyperlink"/>
          </w:rPr>
          <w:t>https://doi.org/10.2307/1911191</w:t>
        </w:r>
      </w:hyperlink>
      <w:r>
        <w:t>.</w:t>
      </w:r>
    </w:p>
    <w:p w14:paraId="310BD6C2" w14:textId="77777777" w:rsidR="00BE500F" w:rsidRDefault="00000000">
      <w:pPr>
        <w:pStyle w:val="Bibliography"/>
      </w:pPr>
      <w:bookmarkStart w:id="57" w:name="ref-herek_2011_antiequality"/>
      <w:bookmarkEnd w:id="56"/>
      <w:r>
        <w:lastRenderedPageBreak/>
        <w:t xml:space="preserve">Herek, Gregory M. 2011. “Anti-Equality Marriage Amendments and Sexual Stigma: Anti-Equality Amendments and Sexual Stigma.” </w:t>
      </w:r>
      <w:r>
        <w:rPr>
          <w:i/>
          <w:iCs/>
        </w:rPr>
        <w:t>Journal of Social Issues</w:t>
      </w:r>
      <w:r>
        <w:t xml:space="preserve"> 67 (2): 413–26. </w:t>
      </w:r>
      <w:hyperlink r:id="rId37">
        <w:r>
          <w:rPr>
            <w:rStyle w:val="Hyperlink"/>
          </w:rPr>
          <w:t>https://doi.org/10.1111/j.1540-4560.2011.01705.x</w:t>
        </w:r>
      </w:hyperlink>
      <w:r>
        <w:t>.</w:t>
      </w:r>
    </w:p>
    <w:p w14:paraId="2E3A8B5F" w14:textId="77777777" w:rsidR="00BE500F" w:rsidRDefault="00000000">
      <w:pPr>
        <w:pStyle w:val="Bibliography"/>
      </w:pPr>
      <w:bookmarkStart w:id="58" w:name="ref-hiekel_2014_understanding"/>
      <w:bookmarkEnd w:id="57"/>
      <w:r>
        <w:t xml:space="preserve">Hiekel, Nicole, Aart C. Liefbroer, and Anne-Rigt Poortman. 2014. “Understanding Diversity in the Meaning of Cohabitation Across Europe.” </w:t>
      </w:r>
      <w:r>
        <w:rPr>
          <w:i/>
          <w:iCs/>
        </w:rPr>
        <w:t>European Journal of Population</w:t>
      </w:r>
      <w:r>
        <w:t xml:space="preserve"> 30 (4): 391–410. </w:t>
      </w:r>
      <w:hyperlink r:id="rId38">
        <w:r>
          <w:rPr>
            <w:rStyle w:val="Hyperlink"/>
          </w:rPr>
          <w:t>https://doi.org/10.1007/s10680-014-9321-1</w:t>
        </w:r>
      </w:hyperlink>
      <w:r>
        <w:t>.</w:t>
      </w:r>
    </w:p>
    <w:p w14:paraId="17018C83" w14:textId="77777777" w:rsidR="00BE500F" w:rsidRDefault="00000000">
      <w:pPr>
        <w:pStyle w:val="Bibliography"/>
      </w:pPr>
      <w:bookmarkStart w:id="59" w:name="ref-hiller_2013_changes"/>
      <w:bookmarkEnd w:id="58"/>
      <w:r>
        <w:t xml:space="preserve">Hiller, Victor, and Magali Recoules. 2013. “Changes in Divorce Patterns: Culture and the Law.” </w:t>
      </w:r>
      <w:r>
        <w:rPr>
          <w:i/>
          <w:iCs/>
        </w:rPr>
        <w:t>International Review of Law and Economics</w:t>
      </w:r>
      <w:r>
        <w:t xml:space="preserve"> 34 (June): 77–87. </w:t>
      </w:r>
      <w:hyperlink r:id="rId39">
        <w:r>
          <w:rPr>
            <w:rStyle w:val="Hyperlink"/>
          </w:rPr>
          <w:t>https://doi.org/10.1016/j.irle.2013.01.002</w:t>
        </w:r>
      </w:hyperlink>
      <w:r>
        <w:t>.</w:t>
      </w:r>
    </w:p>
    <w:p w14:paraId="31783EA1" w14:textId="77777777" w:rsidR="00BE500F" w:rsidRDefault="00000000">
      <w:pPr>
        <w:pStyle w:val="Bibliography"/>
      </w:pPr>
      <w:bookmarkStart w:id="60" w:name="ref-hoffmann_2021_making"/>
      <w:bookmarkEnd w:id="59"/>
      <w:r>
        <w:t xml:space="preserve">Hoffmann, Nathan I., and Kristopher Velasco. 2021. “Making Migration Sexy: Immigrants in Same-Sex Couples in the United States.” SocArXiv. </w:t>
      </w:r>
      <w:hyperlink r:id="rId40">
        <w:r>
          <w:rPr>
            <w:rStyle w:val="Hyperlink"/>
          </w:rPr>
          <w:t>https://doi.org/10.31235/osf.io/hxjkt</w:t>
        </w:r>
      </w:hyperlink>
      <w:r>
        <w:t>.</w:t>
      </w:r>
    </w:p>
    <w:p w14:paraId="6D077370" w14:textId="77777777" w:rsidR="00BE500F" w:rsidRDefault="00000000">
      <w:pPr>
        <w:pStyle w:val="Bibliography"/>
      </w:pPr>
      <w:bookmarkStart w:id="61" w:name="ref-holmberg_2009_sexual"/>
      <w:bookmarkEnd w:id="60"/>
      <w:r>
        <w:t xml:space="preserve">Holmberg, Diane, and Karen L. Blair. 2009. “Sexual Desire, Communication, Satisfaction, and Preferences of Men and Women in Same-Sex Versus Mixed-Sex Relationships.” </w:t>
      </w:r>
      <w:r>
        <w:rPr>
          <w:i/>
          <w:iCs/>
        </w:rPr>
        <w:t>The Journal of Sex Research</w:t>
      </w:r>
      <w:r>
        <w:t xml:space="preserve"> 46 (1): 57–66. </w:t>
      </w:r>
      <w:hyperlink r:id="rId41">
        <w:r>
          <w:rPr>
            <w:rStyle w:val="Hyperlink"/>
          </w:rPr>
          <w:t>https://doi.org/10.1080/00224490802645294</w:t>
        </w:r>
      </w:hyperlink>
      <w:r>
        <w:t>.</w:t>
      </w:r>
    </w:p>
    <w:p w14:paraId="51E47E6E" w14:textId="77777777" w:rsidR="00BE500F" w:rsidRDefault="00000000">
      <w:pPr>
        <w:pStyle w:val="Bibliography"/>
      </w:pPr>
      <w:bookmarkStart w:id="62" w:name="ref-hoogenraad_2021_marriage"/>
      <w:bookmarkEnd w:id="61"/>
      <w:r>
        <w:t xml:space="preserve">Hoogenraad, Henrike. 2021. “Marriage Migration from Below: The Assessing of ‘Genuineness’ Among Binational Couples in Australia.” </w:t>
      </w:r>
      <w:r>
        <w:rPr>
          <w:i/>
          <w:iCs/>
        </w:rPr>
        <w:t>The Australian Journal of Anthropology</w:t>
      </w:r>
      <w:r>
        <w:t xml:space="preserve"> 32 (3): 243–56. </w:t>
      </w:r>
      <w:hyperlink r:id="rId42">
        <w:r>
          <w:rPr>
            <w:rStyle w:val="Hyperlink"/>
          </w:rPr>
          <w:t>https://doi.org/10.1111/taja.12415</w:t>
        </w:r>
      </w:hyperlink>
      <w:r>
        <w:t>.</w:t>
      </w:r>
    </w:p>
    <w:p w14:paraId="45D32DC8" w14:textId="77777777" w:rsidR="00BE500F" w:rsidRDefault="00000000">
      <w:pPr>
        <w:pStyle w:val="Bibliography"/>
      </w:pPr>
      <w:bookmarkStart w:id="63" w:name="ref-hooghe_2013_samesex"/>
      <w:bookmarkEnd w:id="62"/>
      <w:r>
        <w:t xml:space="preserve">Hooghe, Marc, and Cecil Meeusen. 2013. “Is Same-Sex Marriage Legislation Related to Attitudes Toward Homosexuality?: Trends in Tolerance of Homosexuality in European Countries Between 2002 and 2010.” </w:t>
      </w:r>
      <w:r>
        <w:rPr>
          <w:i/>
          <w:iCs/>
        </w:rPr>
        <w:t>Sexuality Research and Social Policy</w:t>
      </w:r>
      <w:r>
        <w:t xml:space="preserve"> 10 (4): 258–68. </w:t>
      </w:r>
      <w:hyperlink r:id="rId43">
        <w:r>
          <w:rPr>
            <w:rStyle w:val="Hyperlink"/>
          </w:rPr>
          <w:t>https://doi.org/10.1007/s13178-013-0125-6</w:t>
        </w:r>
      </w:hyperlink>
      <w:r>
        <w:t>.</w:t>
      </w:r>
    </w:p>
    <w:p w14:paraId="51903A1B" w14:textId="77777777" w:rsidR="00BE500F" w:rsidRDefault="00000000">
      <w:pPr>
        <w:pStyle w:val="Bibliography"/>
      </w:pPr>
      <w:bookmarkStart w:id="64" w:name="ref-hull_2003_cultural"/>
      <w:bookmarkEnd w:id="63"/>
      <w:r>
        <w:lastRenderedPageBreak/>
        <w:t xml:space="preserve">Hull, Kathleen E. 2003. “The Cultural Power of Law and the Cultural Enactment of Legality: The Case of Same-Sex Marriage.” </w:t>
      </w:r>
      <w:r>
        <w:rPr>
          <w:i/>
          <w:iCs/>
        </w:rPr>
        <w:t>Law &amp; Social Inquiry</w:t>
      </w:r>
      <w:r>
        <w:t xml:space="preserve"> 28 (3): 629–57. </w:t>
      </w:r>
      <w:hyperlink r:id="rId44">
        <w:r>
          <w:rPr>
            <w:rStyle w:val="Hyperlink"/>
          </w:rPr>
          <w:t>https://doi.org/10.1111/j.1747-4469.2003.tb00210.x</w:t>
        </w:r>
      </w:hyperlink>
      <w:r>
        <w:t>.</w:t>
      </w:r>
    </w:p>
    <w:p w14:paraId="2511FF98" w14:textId="77777777" w:rsidR="00BE500F" w:rsidRDefault="00000000">
      <w:pPr>
        <w:pStyle w:val="Bibliography"/>
      </w:pPr>
      <w:bookmarkStart w:id="65" w:name="ref-inglehart_2017_cultural"/>
      <w:bookmarkEnd w:id="64"/>
      <w:r>
        <w:t xml:space="preserve">Inglehart, Ronald F., Eduard Ponarin, and Ronald C. Inglehart. 2017. “Cultural Change, Slow and Fast: The Distinctive Trajectory of Norms Governing Gender Equality and Sexual Orientation.” </w:t>
      </w:r>
      <w:r>
        <w:rPr>
          <w:i/>
          <w:iCs/>
        </w:rPr>
        <w:t>Social Forces</w:t>
      </w:r>
      <w:r>
        <w:t xml:space="preserve">, January, sf;sox008v1. </w:t>
      </w:r>
      <w:hyperlink r:id="rId45">
        <w:r>
          <w:rPr>
            <w:rStyle w:val="Hyperlink"/>
          </w:rPr>
          <w:t>https://doi.org/10.1093/sf/sox008</w:t>
        </w:r>
      </w:hyperlink>
      <w:r>
        <w:t>.</w:t>
      </w:r>
    </w:p>
    <w:p w14:paraId="3E871F45" w14:textId="77777777" w:rsidR="00BE500F" w:rsidRDefault="00000000">
      <w:pPr>
        <w:pStyle w:val="Bibliography"/>
      </w:pPr>
      <w:bookmarkStart w:id="66" w:name="ref-jepsen_2002"/>
      <w:bookmarkEnd w:id="65"/>
      <w:r>
        <w:t xml:space="preserve">Jepsen, Lisa K., and Christopher A. Jepsen. 2002. “An Empirical Analysis of the Matching Patterns of Same-Sex and Opposite-Sex Couples.” </w:t>
      </w:r>
      <w:r>
        <w:rPr>
          <w:i/>
          <w:iCs/>
        </w:rPr>
        <w:t>Demography</w:t>
      </w:r>
      <w:r>
        <w:t xml:space="preserve"> 39 (3): 435–53. </w:t>
      </w:r>
      <w:hyperlink r:id="rId46">
        <w:r>
          <w:rPr>
            <w:rStyle w:val="Hyperlink"/>
          </w:rPr>
          <w:t>https://doi.org/10.1353/dem.2002.0027</w:t>
        </w:r>
      </w:hyperlink>
      <w:r>
        <w:t>.</w:t>
      </w:r>
    </w:p>
    <w:p w14:paraId="60C7649E" w14:textId="77777777" w:rsidR="00BE500F" w:rsidRDefault="00000000">
      <w:pPr>
        <w:pStyle w:val="Bibliography"/>
      </w:pPr>
      <w:bookmarkStart w:id="67" w:name="ref-joyner_2017_gender"/>
      <w:bookmarkEnd w:id="66"/>
      <w:r>
        <w:t xml:space="preserve">Joyner, Kara, Wendy Manning, and Ryan Bogle. 2017. “Gender and the Stability of Same-Sex and Different-Sex Relationships Among Young Adults.” </w:t>
      </w:r>
      <w:r>
        <w:rPr>
          <w:i/>
          <w:iCs/>
        </w:rPr>
        <w:t>Demography</w:t>
      </w:r>
      <w:r>
        <w:t xml:space="preserve"> 54 (6): 2351–74. </w:t>
      </w:r>
      <w:hyperlink r:id="rId47">
        <w:r>
          <w:rPr>
            <w:rStyle w:val="Hyperlink"/>
          </w:rPr>
          <w:t>https://doi.org/10.1007/s13524-017-0633-8</w:t>
        </w:r>
      </w:hyperlink>
      <w:r>
        <w:t>.</w:t>
      </w:r>
    </w:p>
    <w:p w14:paraId="5C6BF756" w14:textId="77777777" w:rsidR="00BE500F" w:rsidRDefault="00000000">
      <w:pPr>
        <w:pStyle w:val="Bibliography"/>
      </w:pPr>
      <w:bookmarkStart w:id="68" w:name="ref-kalmijn_2007_explaining"/>
      <w:bookmarkEnd w:id="67"/>
      <w:r>
        <w:t xml:space="preserve">Kalmijn, Matthijs. 2007. “Explaining Cross-National Differences in Marriage, Cohabitation, and Divorce in Europe, 1990.” </w:t>
      </w:r>
      <w:r>
        <w:rPr>
          <w:i/>
          <w:iCs/>
        </w:rPr>
        <w:t>Population Studies</w:t>
      </w:r>
      <w:r>
        <w:t xml:space="preserve"> 61 (3): 243–63. </w:t>
      </w:r>
      <w:hyperlink r:id="rId48">
        <w:r>
          <w:rPr>
            <w:rStyle w:val="Hyperlink"/>
          </w:rPr>
          <w:t>https://doi.org/10.1080/00324720701571806</w:t>
        </w:r>
      </w:hyperlink>
      <w:r>
        <w:t>.</w:t>
      </w:r>
    </w:p>
    <w:p w14:paraId="34FC7456" w14:textId="77777777" w:rsidR="00BE500F" w:rsidRDefault="00000000">
      <w:pPr>
        <w:pStyle w:val="Bibliography"/>
      </w:pPr>
      <w:bookmarkStart w:id="69" w:name="ref-kalmijn_2010_comparative"/>
      <w:bookmarkEnd w:id="68"/>
      <w:r>
        <w:t xml:space="preserve">Kalmijn, Matthijs, and Frank Van Tubergen. 2010. “A Comparative Perspective on Intermarriage: Explaining Differences Among National-Origin Groups in the United States.” </w:t>
      </w:r>
      <w:r>
        <w:rPr>
          <w:i/>
          <w:iCs/>
        </w:rPr>
        <w:t>Demography</w:t>
      </w:r>
      <w:r>
        <w:t xml:space="preserve"> 47 (2): 459–79. </w:t>
      </w:r>
      <w:hyperlink r:id="rId49">
        <w:r>
          <w:rPr>
            <w:rStyle w:val="Hyperlink"/>
          </w:rPr>
          <w:t>https://doi.org/10.1353/dem.0.0103</w:t>
        </w:r>
      </w:hyperlink>
      <w:r>
        <w:t>.</w:t>
      </w:r>
    </w:p>
    <w:p w14:paraId="5407D5C4" w14:textId="77777777" w:rsidR="00BE500F" w:rsidRDefault="00000000">
      <w:pPr>
        <w:pStyle w:val="Bibliography"/>
      </w:pPr>
      <w:bookmarkStart w:id="70" w:name="ref-kazyak_2018_backlash"/>
      <w:bookmarkEnd w:id="69"/>
      <w:r>
        <w:t xml:space="preserve">Kazyak, Emily, and Mathew Stange. 2018. “Backlash or a Positive Response?: Public Opinion of LGB Issues After </w:t>
      </w:r>
      <w:r>
        <w:rPr>
          <w:i/>
          <w:iCs/>
        </w:rPr>
        <w:t>Obergefell</w:t>
      </w:r>
      <w:r>
        <w:t xml:space="preserve"> </w:t>
      </w:r>
      <w:r>
        <w:rPr>
          <w:i/>
          <w:iCs/>
        </w:rPr>
        <w:t>v.</w:t>
      </w:r>
      <w:r>
        <w:t xml:space="preserve"> </w:t>
      </w:r>
      <w:r>
        <w:rPr>
          <w:i/>
          <w:iCs/>
        </w:rPr>
        <w:t>Hodges</w:t>
      </w:r>
      <w:r>
        <w:t xml:space="preserve">.” </w:t>
      </w:r>
      <w:r>
        <w:rPr>
          <w:i/>
          <w:iCs/>
        </w:rPr>
        <w:t>Journal of Homosexuality</w:t>
      </w:r>
      <w:r>
        <w:t xml:space="preserve"> 65 (14): 2028–52. </w:t>
      </w:r>
      <w:hyperlink r:id="rId50">
        <w:r>
          <w:rPr>
            <w:rStyle w:val="Hyperlink"/>
          </w:rPr>
          <w:t>https://doi.org/10.1080/00918369.2017.1423216</w:t>
        </w:r>
      </w:hyperlink>
      <w:r>
        <w:t>.</w:t>
      </w:r>
    </w:p>
    <w:p w14:paraId="4BA0A7D4" w14:textId="77777777" w:rsidR="00BE500F" w:rsidRDefault="00000000">
      <w:pPr>
        <w:pStyle w:val="Bibliography"/>
      </w:pPr>
      <w:bookmarkStart w:id="71" w:name="ref-kolk_2020_two"/>
      <w:bookmarkEnd w:id="70"/>
      <w:r>
        <w:t xml:space="preserve">Kolk, Martin, and Gunnar Andersson. 2020. “Two Decades of Same-Sex Marriage in Sweden: A Demographic Account of Developments in Marriage, Childbearing, and Divorce.” </w:t>
      </w:r>
      <w:r>
        <w:rPr>
          <w:i/>
          <w:iCs/>
        </w:rPr>
        <w:t>Demography</w:t>
      </w:r>
      <w:r>
        <w:t xml:space="preserve"> 57 (1): 147–69. </w:t>
      </w:r>
      <w:hyperlink r:id="rId51">
        <w:r>
          <w:rPr>
            <w:rStyle w:val="Hyperlink"/>
          </w:rPr>
          <w:t>https://doi.org/10.1007/s13524-019-00847-6</w:t>
        </w:r>
      </w:hyperlink>
      <w:r>
        <w:t>.</w:t>
      </w:r>
    </w:p>
    <w:p w14:paraId="6D5351DF" w14:textId="77777777" w:rsidR="00BE500F" w:rsidRDefault="00000000">
      <w:pPr>
        <w:pStyle w:val="Bibliography"/>
      </w:pPr>
      <w:bookmarkStart w:id="72" w:name="ref-kong_2010_chinese"/>
      <w:bookmarkEnd w:id="71"/>
      <w:r>
        <w:t xml:space="preserve">Kong, Travis S. K. 2010. </w:t>
      </w:r>
      <w:r>
        <w:rPr>
          <w:i/>
          <w:iCs/>
        </w:rPr>
        <w:t>Chinese Male Homosexualities</w:t>
      </w:r>
      <w:r>
        <w:t xml:space="preserve">. Zeroth. Routledge. </w:t>
      </w:r>
      <w:hyperlink r:id="rId52">
        <w:r>
          <w:rPr>
            <w:rStyle w:val="Hyperlink"/>
          </w:rPr>
          <w:t>https://doi.org/10.4324/9780203849200</w:t>
        </w:r>
      </w:hyperlink>
      <w:r>
        <w:t>.</w:t>
      </w:r>
    </w:p>
    <w:p w14:paraId="3078BA65" w14:textId="77777777" w:rsidR="00BE500F" w:rsidRDefault="00000000">
      <w:pPr>
        <w:pStyle w:val="Bibliography"/>
      </w:pPr>
      <w:bookmarkStart w:id="73" w:name="ref-lappegard_2018_why"/>
      <w:bookmarkEnd w:id="72"/>
      <w:r>
        <w:t xml:space="preserve">Lappegård, Trude, Sebastian Klüsener, and Daniele Vignoli. 2018. “Why Are Marriage and Family Formation Increasingly Disconnected Across Europe? A Multilevel Perspective on Existing Theories.” </w:t>
      </w:r>
      <w:r>
        <w:rPr>
          <w:i/>
          <w:iCs/>
        </w:rPr>
        <w:t>Population, Space and Place</w:t>
      </w:r>
      <w:r>
        <w:t xml:space="preserve"> 24 (2): e2088. </w:t>
      </w:r>
      <w:hyperlink r:id="rId53">
        <w:r>
          <w:rPr>
            <w:rStyle w:val="Hyperlink"/>
          </w:rPr>
          <w:t>https://doi.org/10.1002/psp.2088</w:t>
        </w:r>
      </w:hyperlink>
      <w:r>
        <w:t>.</w:t>
      </w:r>
    </w:p>
    <w:p w14:paraId="22937B33" w14:textId="77777777" w:rsidR="00BE500F" w:rsidRDefault="00000000">
      <w:pPr>
        <w:pStyle w:val="Bibliography"/>
      </w:pPr>
      <w:bookmarkStart w:id="74" w:name="ref-lax_2009_gay"/>
      <w:bookmarkEnd w:id="73"/>
      <w:r>
        <w:t xml:space="preserve">Lax, Jeffrey R., and Justin H. Phillips. 2009. “Gay Rights in the States: Public Opinion and Policy Responsiveness.” </w:t>
      </w:r>
      <w:r>
        <w:rPr>
          <w:i/>
          <w:iCs/>
        </w:rPr>
        <w:t>American Political Science Review</w:t>
      </w:r>
      <w:r>
        <w:t xml:space="preserve"> 103 (3): 367–86. </w:t>
      </w:r>
      <w:hyperlink r:id="rId54">
        <w:r>
          <w:rPr>
            <w:rStyle w:val="Hyperlink"/>
          </w:rPr>
          <w:t>https://doi.org/10.1017/S0003055409990050</w:t>
        </w:r>
      </w:hyperlink>
      <w:r>
        <w:t>.</w:t>
      </w:r>
    </w:p>
    <w:p w14:paraId="0EEA2A73" w14:textId="77777777" w:rsidR="00BE500F" w:rsidRDefault="00000000">
      <w:pPr>
        <w:pStyle w:val="Bibliography"/>
      </w:pPr>
      <w:bookmarkStart w:id="75" w:name="ref-lee_1990_patterns"/>
      <w:bookmarkEnd w:id="74"/>
      <w:r>
        <w:t xml:space="preserve">Lee, Sharon M., and Keiko Yamanaka. 1990. “Patterns of Asian American Intermarriage and Marital Assimilation.” </w:t>
      </w:r>
      <w:r>
        <w:rPr>
          <w:i/>
          <w:iCs/>
        </w:rPr>
        <w:t>Journal of Comparative Family Studies</w:t>
      </w:r>
      <w:r>
        <w:t xml:space="preserve"> 21 (2): 287–305. </w:t>
      </w:r>
      <w:hyperlink r:id="rId55">
        <w:r>
          <w:rPr>
            <w:rStyle w:val="Hyperlink"/>
          </w:rPr>
          <w:t>https://doi.org/10.3138/jcfs.21.2.287</w:t>
        </w:r>
      </w:hyperlink>
      <w:r>
        <w:t>.</w:t>
      </w:r>
    </w:p>
    <w:p w14:paraId="486B25DD" w14:textId="77777777" w:rsidR="00BE500F" w:rsidRDefault="00000000">
      <w:pPr>
        <w:pStyle w:val="Bibliography"/>
      </w:pPr>
      <w:bookmarkStart w:id="76" w:name="ref-levitt_2020_how"/>
      <w:bookmarkEnd w:id="75"/>
      <w:r>
        <w:t xml:space="preserve">Levitt, Heidi M., Sophie W. Schuyler, Rachel Chickerella, Allison Elber, Lindsey White, Rebecca L. Troeger, Justin M. Karter, Justin M. Preston, and Kathleen M. Collins. 2020. “How Discrimination in Adoptive, Foster, and Medical Systems Harms LGBTQ+ Families: Research on the Experiences of Prospective Parents.” </w:t>
      </w:r>
      <w:r>
        <w:rPr>
          <w:i/>
          <w:iCs/>
        </w:rPr>
        <w:t>Journal of Gay &amp; Lesbian Social Services</w:t>
      </w:r>
      <w:r>
        <w:t xml:space="preserve"> 32 (3): 261–82. </w:t>
      </w:r>
      <w:hyperlink r:id="rId56">
        <w:r>
          <w:rPr>
            <w:rStyle w:val="Hyperlink"/>
          </w:rPr>
          <w:t>https://doi.org/10.1080/10538720.2020.1728461</w:t>
        </w:r>
      </w:hyperlink>
      <w:r>
        <w:t>.</w:t>
      </w:r>
    </w:p>
    <w:p w14:paraId="51986FF1" w14:textId="77777777" w:rsidR="00BE500F" w:rsidRDefault="00000000">
      <w:pPr>
        <w:pStyle w:val="Bibliography"/>
      </w:pPr>
      <w:bookmarkStart w:id="77" w:name="ref-lichter_2015_whom"/>
      <w:bookmarkEnd w:id="76"/>
      <w:r>
        <w:t xml:space="preserve">Lichter, Daniel T., Zhenchao Qian, and Dmitry Tumin. 2015. “Whom Do Immigrants Marry? Emerging Patterns of Intermarriage and Integration in the United States.” </w:t>
      </w:r>
      <w:r>
        <w:rPr>
          <w:i/>
          <w:iCs/>
        </w:rPr>
        <w:t>The ANNALS of the American Academy of Political and Social Science</w:t>
      </w:r>
      <w:r>
        <w:t xml:space="preserve"> 662 (1): 57–78. </w:t>
      </w:r>
      <w:hyperlink r:id="rId57">
        <w:r>
          <w:rPr>
            <w:rStyle w:val="Hyperlink"/>
          </w:rPr>
          <w:t>https://doi.org/10.1177/0002716215594614</w:t>
        </w:r>
      </w:hyperlink>
      <w:r>
        <w:t>.</w:t>
      </w:r>
    </w:p>
    <w:p w14:paraId="600B5687" w14:textId="77777777" w:rsidR="00BE500F" w:rsidRDefault="00000000">
      <w:pPr>
        <w:pStyle w:val="Bibliography"/>
      </w:pPr>
      <w:bookmarkStart w:id="78" w:name="ref-long_2006_family"/>
      <w:bookmarkEnd w:id="77"/>
      <w:r>
        <w:t>Long, Scott, Jessica Stern, and Adam Francoeur. 2006. “Family, Unvalued: Discrimination, Denial, and the Fate of Binational Same-Sex Couples Under U.S. Law.” Human Rights Watch/Immigration Equality.</w:t>
      </w:r>
    </w:p>
    <w:p w14:paraId="2E035B0D" w14:textId="77777777" w:rsidR="00BE500F" w:rsidRDefault="00000000">
      <w:pPr>
        <w:pStyle w:val="Bibliography"/>
      </w:pPr>
      <w:bookmarkStart w:id="79" w:name="ref-lopez_2015_impossible"/>
      <w:bookmarkEnd w:id="78"/>
      <w:r>
        <w:t xml:space="preserve">López, Jane Lilly. 2015. “‘Impossible Families’: Mixed-Citizenship Status Couples and the Law.” </w:t>
      </w:r>
      <w:r>
        <w:rPr>
          <w:i/>
          <w:iCs/>
        </w:rPr>
        <w:t>Law &amp; Policy</w:t>
      </w:r>
      <w:r>
        <w:t xml:space="preserve"> 37 (1-2): 93–118. </w:t>
      </w:r>
      <w:hyperlink r:id="rId58">
        <w:r>
          <w:rPr>
            <w:rStyle w:val="Hyperlink"/>
          </w:rPr>
          <w:t>https://doi.org/10.1111/lapo.12032</w:t>
        </w:r>
      </w:hyperlink>
      <w:r>
        <w:t>.</w:t>
      </w:r>
    </w:p>
    <w:p w14:paraId="51C8CBAD" w14:textId="77777777" w:rsidR="00BE500F" w:rsidRDefault="00000000">
      <w:pPr>
        <w:pStyle w:val="Bibliography"/>
      </w:pPr>
      <w:bookmarkStart w:id="80" w:name="ref-lopez_2021_unauthorized"/>
      <w:bookmarkEnd w:id="79"/>
      <w:r>
        <w:t xml:space="preserve">———. 2021. </w:t>
      </w:r>
      <w:r>
        <w:rPr>
          <w:i/>
          <w:iCs/>
        </w:rPr>
        <w:t>Unauthorized Love: Mixed-Citizenship Couples Negotiating Intimacy, Immigration, and the State</w:t>
      </w:r>
      <w:r>
        <w:t>. Stanford University Press.</w:t>
      </w:r>
    </w:p>
    <w:p w14:paraId="1F3A9067" w14:textId="77777777" w:rsidR="00BE500F" w:rsidRDefault="00000000">
      <w:pPr>
        <w:pStyle w:val="Bibliography"/>
      </w:pPr>
      <w:bookmarkStart w:id="81" w:name="ref-luibheid_2008"/>
      <w:bookmarkEnd w:id="80"/>
      <w:r>
        <w:t xml:space="preserve">Luibhéid, Eithne. 2008. “Queer/Migration: An Unruly Body of Scholarship.” </w:t>
      </w:r>
      <w:r>
        <w:rPr>
          <w:i/>
          <w:iCs/>
        </w:rPr>
        <w:t>GLQ: A Journal of Lesbian and Gay Studies</w:t>
      </w:r>
      <w:r>
        <w:t xml:space="preserve"> 14 (2-3): 169–90. </w:t>
      </w:r>
      <w:hyperlink r:id="rId59">
        <w:r>
          <w:rPr>
            <w:rStyle w:val="Hyperlink"/>
          </w:rPr>
          <w:t>https://doi.org/10.1215/10642684-2007-029</w:t>
        </w:r>
      </w:hyperlink>
      <w:r>
        <w:t>.</w:t>
      </w:r>
    </w:p>
    <w:p w14:paraId="24C2901E" w14:textId="77777777" w:rsidR="00BE500F" w:rsidRDefault="00000000">
      <w:pPr>
        <w:pStyle w:val="Bibliography"/>
      </w:pPr>
      <w:bookmarkStart w:id="82" w:name="ref-mackey_2004_relational"/>
      <w:bookmarkEnd w:id="81"/>
      <w:r>
        <w:t xml:space="preserve">Mackey, Richard A., Matthew A. Diemer, and Bernard A. O’Brien. 2004. “Relational Factors in Understanding Satisfaction in the Lasting Relationships of Same-Sex and Heterosexual Couples.” </w:t>
      </w:r>
      <w:r>
        <w:rPr>
          <w:i/>
          <w:iCs/>
        </w:rPr>
        <w:t>Journal of Homosexuality</w:t>
      </w:r>
      <w:r>
        <w:t xml:space="preserve"> 47 (1): 111–36. </w:t>
      </w:r>
      <w:hyperlink r:id="rId60">
        <w:r>
          <w:rPr>
            <w:rStyle w:val="Hyperlink"/>
          </w:rPr>
          <w:t>https://doi.org/10.1300/J082v47n01_07</w:t>
        </w:r>
      </w:hyperlink>
      <w:r>
        <w:t>.</w:t>
      </w:r>
    </w:p>
    <w:p w14:paraId="571F9A6D" w14:textId="77777777" w:rsidR="00BE500F" w:rsidRDefault="00000000">
      <w:pPr>
        <w:pStyle w:val="Bibliography"/>
      </w:pPr>
      <w:bookmarkStart w:id="83" w:name="ref-manning_2016"/>
      <w:bookmarkEnd w:id="82"/>
      <w:r>
        <w:t xml:space="preserve">Manning, Wendy D., Susan L. Brown, and J. Bart Stykes. 2016. “Same-Sex and Different-Sex Cohabiting Couple Relationship Stability.” </w:t>
      </w:r>
      <w:r>
        <w:rPr>
          <w:i/>
          <w:iCs/>
        </w:rPr>
        <w:t>Demography</w:t>
      </w:r>
      <w:r>
        <w:t xml:space="preserve"> 53 (4): 937–53. </w:t>
      </w:r>
      <w:hyperlink r:id="rId61">
        <w:r>
          <w:rPr>
            <w:rStyle w:val="Hyperlink"/>
          </w:rPr>
          <w:t>https://doi.org/10.1007/s13524-016-0490-x</w:t>
        </w:r>
      </w:hyperlink>
      <w:r>
        <w:t>.</w:t>
      </w:r>
    </w:p>
    <w:p w14:paraId="72742508" w14:textId="77777777" w:rsidR="00BE500F" w:rsidRDefault="00000000">
      <w:pPr>
        <w:pStyle w:val="Bibliography"/>
      </w:pPr>
      <w:bookmarkStart w:id="84" w:name="ref-manning_2022_cohabitation"/>
      <w:bookmarkEnd w:id="83"/>
      <w:r>
        <w:t xml:space="preserve">Manning, Wendy D., Krista K. Westrick-Payne, and Gary J. Gates. 2022. “Cohabitation and Marriage Among Same-Sex Couples in the 2019 ACS and CPS: A Research Note.” </w:t>
      </w:r>
      <w:r>
        <w:rPr>
          <w:i/>
          <w:iCs/>
        </w:rPr>
        <w:t>Demography</w:t>
      </w:r>
      <w:r>
        <w:t xml:space="preserve"> 59 (5): 1595–605. </w:t>
      </w:r>
      <w:hyperlink r:id="rId62">
        <w:r>
          <w:rPr>
            <w:rStyle w:val="Hyperlink"/>
          </w:rPr>
          <w:t>https://doi.org/10.1215/00703370-10181474</w:t>
        </w:r>
      </w:hyperlink>
      <w:r>
        <w:t>.</w:t>
      </w:r>
    </w:p>
    <w:p w14:paraId="6CBD9126" w14:textId="77777777" w:rsidR="00BE500F" w:rsidRDefault="00000000">
      <w:pPr>
        <w:pStyle w:val="Bibliography"/>
      </w:pPr>
      <w:bookmarkStart w:id="85" w:name="ref-marcen_2019"/>
      <w:bookmarkEnd w:id="84"/>
      <w:r>
        <w:t>Marcén, Miriam, and Marina Morales. 2019. “The Effect of Same-Sex Marriage Legalization on Interstate Migration in the United States.” {{MPRA}}.</w:t>
      </w:r>
    </w:p>
    <w:p w14:paraId="3F7658B7" w14:textId="77777777" w:rsidR="00BE500F" w:rsidRDefault="00000000">
      <w:pPr>
        <w:pStyle w:val="Bibliography"/>
      </w:pPr>
      <w:bookmarkStart w:id="86" w:name="ref-martell_2020"/>
      <w:bookmarkEnd w:id="85"/>
      <w:r>
        <w:t xml:space="preserve">Martell, Michael E., and Peyton Nash. 2020. “For Love and Money? Earnings and Marriage Among Same-Sex Couples.” </w:t>
      </w:r>
      <w:r>
        <w:rPr>
          <w:i/>
          <w:iCs/>
        </w:rPr>
        <w:t>Journal of Labor Research</w:t>
      </w:r>
      <w:r>
        <w:t xml:space="preserve"> 41 (3): 260–94. </w:t>
      </w:r>
      <w:hyperlink r:id="rId63">
        <w:r>
          <w:rPr>
            <w:rStyle w:val="Hyperlink"/>
          </w:rPr>
          <w:t>https://doi.org/10.1007/s12122-020-09305-4</w:t>
        </w:r>
      </w:hyperlink>
      <w:r>
        <w:t>.</w:t>
      </w:r>
    </w:p>
    <w:p w14:paraId="3A362C56" w14:textId="77777777" w:rsidR="00BE500F" w:rsidRDefault="00000000">
      <w:pPr>
        <w:pStyle w:val="Bibliography"/>
      </w:pPr>
      <w:bookmarkStart w:id="87" w:name="ref-medrano_2020_europe"/>
      <w:bookmarkEnd w:id="86"/>
      <w:r>
        <w:t xml:space="preserve">Medrano, Juan Díez. 2020. </w:t>
      </w:r>
      <w:r>
        <w:rPr>
          <w:i/>
          <w:iCs/>
        </w:rPr>
        <w:t>Europe in Love: Binational Couples and Cosmopolitan Society</w:t>
      </w:r>
      <w:r>
        <w:t>. Routledge.</w:t>
      </w:r>
    </w:p>
    <w:p w14:paraId="4B4FC080" w14:textId="77777777" w:rsidR="00BE500F" w:rsidRDefault="00000000">
      <w:pPr>
        <w:pStyle w:val="Bibliography"/>
      </w:pPr>
      <w:bookmarkStart w:id="88" w:name="ref-minkenberg_2002_religion"/>
      <w:bookmarkEnd w:id="87"/>
      <w:r>
        <w:t xml:space="preserve">Minkenberg, Michael. 2002. “Religion and Public Policy: Institutional, Cultural, and Political Impact on the Shaping of Abortion Policies in Western Democracies.” </w:t>
      </w:r>
      <w:r>
        <w:rPr>
          <w:i/>
          <w:iCs/>
        </w:rPr>
        <w:t>Comparative Political Studies</w:t>
      </w:r>
      <w:r>
        <w:t xml:space="preserve"> 35 (2): 221–47. </w:t>
      </w:r>
      <w:hyperlink r:id="rId64">
        <w:r>
          <w:rPr>
            <w:rStyle w:val="Hyperlink"/>
          </w:rPr>
          <w:t>https://doi.org/10.1177/0010414002035002004</w:t>
        </w:r>
      </w:hyperlink>
      <w:r>
        <w:t>.</w:t>
      </w:r>
    </w:p>
    <w:p w14:paraId="4D98BF7F" w14:textId="77777777" w:rsidR="00BE500F" w:rsidRDefault="00000000">
      <w:pPr>
        <w:pStyle w:val="Bibliography"/>
      </w:pPr>
      <w:bookmarkStart w:id="89" w:name="ref-moore_2011_invisible"/>
      <w:bookmarkEnd w:id="88"/>
      <w:r>
        <w:t xml:space="preserve">Moore, Mignon. 2011. </w:t>
      </w:r>
      <w:r>
        <w:rPr>
          <w:i/>
          <w:iCs/>
        </w:rPr>
        <w:t>Invisible Families: Gay Identities, Relationships, and Motherhood Among Black Women</w:t>
      </w:r>
      <w:r>
        <w:t>. University of California Press.</w:t>
      </w:r>
    </w:p>
    <w:p w14:paraId="77F75289" w14:textId="77777777" w:rsidR="00BE500F" w:rsidRDefault="00000000">
      <w:pPr>
        <w:pStyle w:val="Bibliography"/>
      </w:pPr>
      <w:bookmarkStart w:id="90" w:name="ref-msibi_2013_denied"/>
      <w:bookmarkEnd w:id="89"/>
      <w:r>
        <w:t xml:space="preserve">Msibi, Thabo. 2013. “Denied Love: Same-sex Desire, Agency and Social Oppression Among African Men Who Engage in Same-Sex Relations.” </w:t>
      </w:r>
      <w:r>
        <w:rPr>
          <w:i/>
          <w:iCs/>
        </w:rPr>
        <w:t>Agenda</w:t>
      </w:r>
      <w:r>
        <w:t xml:space="preserve"> 27 (2): 105–16. </w:t>
      </w:r>
      <w:hyperlink r:id="rId65">
        <w:r>
          <w:rPr>
            <w:rStyle w:val="Hyperlink"/>
          </w:rPr>
          <w:t>https://doi.org/10.1080/10130950.2013.811014</w:t>
        </w:r>
      </w:hyperlink>
      <w:r>
        <w:t>.</w:t>
      </w:r>
    </w:p>
    <w:p w14:paraId="66264515" w14:textId="77777777" w:rsidR="00BE500F" w:rsidRDefault="00000000">
      <w:pPr>
        <w:pStyle w:val="Bibliography"/>
      </w:pPr>
      <w:bookmarkStart w:id="91" w:name="ref-murray_2014_real"/>
      <w:bookmarkEnd w:id="90"/>
      <w:r>
        <w:t xml:space="preserve">Murray, David A. B. 2014. “Real Queer: "Authentic" LGBT Refugee Claimants and Homonationalism in the Canadian Refugee System.” </w:t>
      </w:r>
      <w:r>
        <w:rPr>
          <w:i/>
          <w:iCs/>
        </w:rPr>
        <w:t>Anthropologica</w:t>
      </w:r>
      <w:r>
        <w:t xml:space="preserve"> 56 (1): 21–32. </w:t>
      </w:r>
      <w:hyperlink r:id="rId66">
        <w:r>
          <w:rPr>
            <w:rStyle w:val="Hyperlink"/>
          </w:rPr>
          <w:t>https://www.jstor.org/stable/24469638</w:t>
        </w:r>
      </w:hyperlink>
      <w:r>
        <w:t>.</w:t>
      </w:r>
    </w:p>
    <w:p w14:paraId="65352572" w14:textId="77777777" w:rsidR="00BE500F" w:rsidRDefault="00000000">
      <w:pPr>
        <w:pStyle w:val="Bibliography"/>
      </w:pPr>
      <w:bookmarkStart w:id="92" w:name="ref-ocobock_2020_leveraging"/>
      <w:bookmarkEnd w:id="91"/>
      <w:r>
        <w:t xml:space="preserve">Ocobock, Abigail. 2020. “Leveraging Legitimacy: Institutional Work and Change in the Case of Same-Sex Marriage.” </w:t>
      </w:r>
      <w:r>
        <w:rPr>
          <w:i/>
          <w:iCs/>
        </w:rPr>
        <w:t>American Journal of Sociology</w:t>
      </w:r>
      <w:r>
        <w:t xml:space="preserve"> 126 (3): 513–44.</w:t>
      </w:r>
    </w:p>
    <w:p w14:paraId="42EA790E" w14:textId="77777777" w:rsidR="00BE500F" w:rsidRDefault="00000000">
      <w:pPr>
        <w:pStyle w:val="Bibliography"/>
      </w:pPr>
      <w:bookmarkStart w:id="93" w:name="ref-olden_2022_triple"/>
      <w:bookmarkEnd w:id="92"/>
      <w:r>
        <w:t xml:space="preserve">Olden, Andreas, and Jarle Møen. 2022. “The Triple Difference Estimator.” </w:t>
      </w:r>
      <w:r>
        <w:rPr>
          <w:i/>
          <w:iCs/>
        </w:rPr>
        <w:t>The Econometrics Journal</w:t>
      </w:r>
      <w:r>
        <w:t xml:space="preserve"> 25 (3): 531–53. </w:t>
      </w:r>
      <w:hyperlink r:id="rId67">
        <w:r>
          <w:rPr>
            <w:rStyle w:val="Hyperlink"/>
          </w:rPr>
          <w:t>https://doi.org/10.1093/ectj/utac010</w:t>
        </w:r>
      </w:hyperlink>
      <w:r>
        <w:t>.</w:t>
      </w:r>
    </w:p>
    <w:p w14:paraId="3832E47B" w14:textId="77777777" w:rsidR="00BE500F" w:rsidRDefault="00000000">
      <w:pPr>
        <w:pStyle w:val="Bibliography"/>
      </w:pPr>
      <w:bookmarkStart w:id="94" w:name="ref-perelli-harris_2015_exploring"/>
      <w:bookmarkEnd w:id="93"/>
      <w:r>
        <w:t xml:space="preserve">Perelli-Harris, Brienna, and Laura Bernardi. 2015. “Exploring Social Norms Around Cohabitation: The Life Course, Individualization, and Culture: Introduction to Special Collection: "Focus on Partnerships: Discourses on Cohabitation and Marriage Throughout Europe and Australia".” </w:t>
      </w:r>
      <w:r>
        <w:rPr>
          <w:i/>
          <w:iCs/>
        </w:rPr>
        <w:t>Demographic Research</w:t>
      </w:r>
      <w:r>
        <w:t xml:space="preserve"> 33 (October): 701–32. </w:t>
      </w:r>
      <w:hyperlink r:id="rId68">
        <w:r>
          <w:rPr>
            <w:rStyle w:val="Hyperlink"/>
          </w:rPr>
          <w:t>https://doi.org/10.4054/DemRes.2015.33.25</w:t>
        </w:r>
      </w:hyperlink>
      <w:r>
        <w:t>.</w:t>
      </w:r>
    </w:p>
    <w:p w14:paraId="137406B9" w14:textId="77777777" w:rsidR="00BE500F" w:rsidRDefault="00000000">
      <w:pPr>
        <w:pStyle w:val="Bibliography"/>
      </w:pPr>
      <w:bookmarkStart w:id="95" w:name="ref-redpath_2022_spousal"/>
      <w:bookmarkEnd w:id="94"/>
      <w:r>
        <w:t xml:space="preserve">Redpath, Connor. 2022. “Spousal Visa Policy and Mixed-Citizenship Couples: Evidence from the End of the Defense Of Marriage Act.” SocArXiv. </w:t>
      </w:r>
      <w:hyperlink r:id="rId69">
        <w:r>
          <w:rPr>
            <w:rStyle w:val="Hyperlink"/>
          </w:rPr>
          <w:t>https://doi.org/10.31235/osf.io/mzuwe</w:t>
        </w:r>
      </w:hyperlink>
      <w:r>
        <w:t>.</w:t>
      </w:r>
    </w:p>
    <w:p w14:paraId="653297FC" w14:textId="77777777" w:rsidR="00BE500F" w:rsidRDefault="00000000">
      <w:pPr>
        <w:pStyle w:val="Bibliography"/>
      </w:pPr>
      <w:bookmarkStart w:id="96" w:name="ref-rosenfeld_2007_age"/>
      <w:bookmarkEnd w:id="95"/>
      <w:r>
        <w:t xml:space="preserve">Rosenfeld, Michael J. 2007. </w:t>
      </w:r>
      <w:r>
        <w:rPr>
          <w:i/>
          <w:iCs/>
        </w:rPr>
        <w:t>The Age of Independence: Interracial Unions, Same-Sex Unions, and the Changing American Family</w:t>
      </w:r>
      <w:r>
        <w:t>. Harvard University Press.</w:t>
      </w:r>
    </w:p>
    <w:p w14:paraId="60FD81E6" w14:textId="77777777" w:rsidR="00BE500F" w:rsidRDefault="00000000">
      <w:pPr>
        <w:pStyle w:val="Bibliography"/>
      </w:pPr>
      <w:bookmarkStart w:id="97" w:name="ref-rosenfeld_2005_independence"/>
      <w:bookmarkEnd w:id="96"/>
      <w:r>
        <w:t xml:space="preserve">Rosenfeld, Michael J., and Byung-Soo Kim. 2005. “The Independence of Young Adults and the Rise of Interracial and Same-Sex Unions.” </w:t>
      </w:r>
      <w:r>
        <w:rPr>
          <w:i/>
          <w:iCs/>
        </w:rPr>
        <w:t>American Sociological Review</w:t>
      </w:r>
      <w:r>
        <w:t xml:space="preserve"> 70 (4): 541–62. </w:t>
      </w:r>
      <w:hyperlink r:id="rId70">
        <w:r>
          <w:rPr>
            <w:rStyle w:val="Hyperlink"/>
          </w:rPr>
          <w:t>https://doi.org/10.1177/000312240507000401</w:t>
        </w:r>
      </w:hyperlink>
      <w:r>
        <w:t>.</w:t>
      </w:r>
    </w:p>
    <w:p w14:paraId="786D4F36" w14:textId="77777777" w:rsidR="00BE500F" w:rsidRDefault="00000000">
      <w:pPr>
        <w:pStyle w:val="Bibliography"/>
      </w:pPr>
      <w:bookmarkStart w:id="98" w:name="ref-ruggles_2021"/>
      <w:bookmarkEnd w:id="97"/>
      <w:r>
        <w:t>Ruggles, Steven, Sarah Flood, Sophia Foster, Ronald Goeken, Jose Pacas, Megan Schouweiler, and Matthew Sobek. 2021. “IPUMS USA: Version 11.0 American Community Survey 2008-2019.” Minneapolis, MN: IPUMS.</w:t>
      </w:r>
    </w:p>
    <w:p w14:paraId="1484B1B9" w14:textId="77777777" w:rsidR="00BE500F" w:rsidRDefault="00000000">
      <w:pPr>
        <w:pStyle w:val="Bibliography"/>
      </w:pPr>
      <w:bookmarkStart w:id="99" w:name="ref-saez_2011_samesex"/>
      <w:bookmarkEnd w:id="98"/>
      <w:r>
        <w:t xml:space="preserve">Saez, Macarena. 2011. “Same-Sex Marriage, Same-Sex Cohabitation, and Same-Sex Families Around the World: Why ’Same’ Is So Different.” </w:t>
      </w:r>
      <w:r>
        <w:rPr>
          <w:i/>
          <w:iCs/>
        </w:rPr>
        <w:t>European Review of Private Law</w:t>
      </w:r>
      <w:r>
        <w:t xml:space="preserve"> 19 (5).</w:t>
      </w:r>
    </w:p>
    <w:p w14:paraId="41A2B749" w14:textId="77777777" w:rsidR="00BE500F" w:rsidRDefault="00000000">
      <w:pPr>
        <w:pStyle w:val="Bibliography"/>
      </w:pPr>
      <w:bookmarkStart w:id="100" w:name="ref-salcedorobledo_2013_couples"/>
      <w:bookmarkEnd w:id="99"/>
      <w:r>
        <w:t xml:space="preserve">Salcedo Robledo, Manuela. 2013. “Couples binationaux de même sexe : politique de soupçon, normalisation et rapports de pouvoir.” </w:t>
      </w:r>
      <w:r>
        <w:rPr>
          <w:i/>
          <w:iCs/>
        </w:rPr>
        <w:t>Migrations Société</w:t>
      </w:r>
      <w:r>
        <w:t xml:space="preserve"> 150 (6): 95–108. </w:t>
      </w:r>
      <w:hyperlink r:id="rId71">
        <w:r>
          <w:rPr>
            <w:rStyle w:val="Hyperlink"/>
          </w:rPr>
          <w:t>https://doi.org/10.3917/migra.150.0095</w:t>
        </w:r>
      </w:hyperlink>
      <w:r>
        <w:t>.</w:t>
      </w:r>
    </w:p>
    <w:p w14:paraId="1A5E4463" w14:textId="77777777" w:rsidR="00BE500F" w:rsidRDefault="00000000">
      <w:pPr>
        <w:pStyle w:val="Bibliography"/>
      </w:pPr>
      <w:bookmarkStart w:id="101" w:name="ref-saleh_2020_queer"/>
      <w:bookmarkEnd w:id="100"/>
      <w:r>
        <w:t xml:space="preserve">Saleh, Fadi. 2020. “Queer/Humanitarian Visibility: The Emergence of the Figure of The Suffering Syrian Gay Refugee.” </w:t>
      </w:r>
      <w:r>
        <w:rPr>
          <w:i/>
          <w:iCs/>
        </w:rPr>
        <w:t>Middle East Critique</w:t>
      </w:r>
      <w:r>
        <w:t xml:space="preserve"> 29 (1): 47–67. </w:t>
      </w:r>
      <w:hyperlink r:id="rId72">
        <w:r>
          <w:rPr>
            <w:rStyle w:val="Hyperlink"/>
          </w:rPr>
          <w:t>https://doi.org/10.1080/19436149.2020.1704501</w:t>
        </w:r>
      </w:hyperlink>
      <w:r>
        <w:t>.</w:t>
      </w:r>
    </w:p>
    <w:p w14:paraId="2D724DC7" w14:textId="77777777" w:rsidR="00BE500F" w:rsidRDefault="00000000">
      <w:pPr>
        <w:pStyle w:val="Bibliography"/>
      </w:pPr>
      <w:bookmarkStart w:id="102" w:name="ref-sam_2015_teacher"/>
      <w:bookmarkEnd w:id="101"/>
      <w:r>
        <w:t xml:space="preserve">Sam, Kosal, and Susan Finley. 2015. “A Teacher’s Journey: A First-Person Account of How a Gay, Cambodian Refugee Navigated Myriad Barriers to Become Educated in the United States.” </w:t>
      </w:r>
      <w:r>
        <w:rPr>
          <w:i/>
          <w:iCs/>
        </w:rPr>
        <w:t>International Journal of Qualitative Studies in Education</w:t>
      </w:r>
      <w:r>
        <w:t xml:space="preserve"> 28 (6): 714–29. </w:t>
      </w:r>
      <w:hyperlink r:id="rId73">
        <w:r>
          <w:rPr>
            <w:rStyle w:val="Hyperlink"/>
          </w:rPr>
          <w:t>https://doi.org/10.1080/09518398.2015.1017858</w:t>
        </w:r>
      </w:hyperlink>
      <w:r>
        <w:t>.</w:t>
      </w:r>
    </w:p>
    <w:p w14:paraId="151E8D88" w14:textId="77777777" w:rsidR="00BE500F" w:rsidRDefault="00000000">
      <w:pPr>
        <w:pStyle w:val="Bibliography"/>
      </w:pPr>
      <w:bookmarkStart w:id="103" w:name="ref-sassler_2020_cohabitation"/>
      <w:bookmarkEnd w:id="102"/>
      <w:r>
        <w:t xml:space="preserve">Sassler, Sharon, and Daniel T. Lichter. 2020. “Cohabitation and Marriage: Complexity and Diversity in Union-Formation Patterns.” </w:t>
      </w:r>
      <w:r>
        <w:rPr>
          <w:i/>
          <w:iCs/>
        </w:rPr>
        <w:t>Journal of Marriage and Family</w:t>
      </w:r>
      <w:r>
        <w:t xml:space="preserve"> 82 (1): 35–61. </w:t>
      </w:r>
      <w:hyperlink r:id="rId74">
        <w:r>
          <w:rPr>
            <w:rStyle w:val="Hyperlink"/>
          </w:rPr>
          <w:t>https://doi.org/10.1111/jomf.12617</w:t>
        </w:r>
      </w:hyperlink>
      <w:r>
        <w:t>.</w:t>
      </w:r>
    </w:p>
    <w:p w14:paraId="502863C3" w14:textId="77777777" w:rsidR="00BE500F" w:rsidRDefault="00000000">
      <w:pPr>
        <w:pStyle w:val="Bibliography"/>
      </w:pPr>
      <w:bookmarkStart w:id="104" w:name="ref-schwartz_2009"/>
      <w:bookmarkEnd w:id="103"/>
      <w:r>
        <w:t xml:space="preserve">Schwartz, Christine, and Nikki Graf. 2009. “Assortative Matching Among Same-Sex and Different-Sex Couples in the United States, 1990-2000.” </w:t>
      </w:r>
      <w:r>
        <w:rPr>
          <w:i/>
          <w:iCs/>
        </w:rPr>
        <w:t>Demographic Research</w:t>
      </w:r>
      <w:r>
        <w:t xml:space="preserve"> 21 (28): 843–78. </w:t>
      </w:r>
      <w:hyperlink r:id="rId75">
        <w:r>
          <w:rPr>
            <w:rStyle w:val="Hyperlink"/>
          </w:rPr>
          <w:t>https://doi.org/10.4054/DemRes.2009.21.28</w:t>
        </w:r>
      </w:hyperlink>
      <w:r>
        <w:t>.</w:t>
      </w:r>
    </w:p>
    <w:p w14:paraId="38880303" w14:textId="77777777" w:rsidR="00BE500F" w:rsidRDefault="00000000">
      <w:pPr>
        <w:pStyle w:val="Bibliography"/>
      </w:pPr>
      <w:bookmarkStart w:id="105" w:name="ref-strohm_2009_living"/>
      <w:bookmarkEnd w:id="104"/>
      <w:r>
        <w:t xml:space="preserve">Strohm, Charles, Judith Seltzer, Susan Cochran, and Vickie Mays. 2009. “"Living Apart Together" Relationships in the United States.” </w:t>
      </w:r>
      <w:r>
        <w:rPr>
          <w:i/>
          <w:iCs/>
        </w:rPr>
        <w:t>Demographic Research</w:t>
      </w:r>
      <w:r>
        <w:t xml:space="preserve"> 21 (7): 177–214. </w:t>
      </w:r>
      <w:hyperlink r:id="rId76">
        <w:r>
          <w:rPr>
            <w:rStyle w:val="Hyperlink"/>
          </w:rPr>
          <w:t>https://doi.org/10.4054/DemRes.2009.21.7</w:t>
        </w:r>
      </w:hyperlink>
      <w:r>
        <w:t>.</w:t>
      </w:r>
    </w:p>
    <w:p w14:paraId="54E85564" w14:textId="77777777" w:rsidR="00BE500F" w:rsidRDefault="00000000">
      <w:pPr>
        <w:pStyle w:val="Bibliography"/>
      </w:pPr>
      <w:bookmarkStart w:id="106" w:name="ref-sullivan_2004_family"/>
      <w:bookmarkEnd w:id="105"/>
      <w:r>
        <w:t xml:space="preserve">Sullivan, Maureen. 2004. </w:t>
      </w:r>
      <w:r>
        <w:rPr>
          <w:i/>
          <w:iCs/>
        </w:rPr>
        <w:t>The Family of Woman: Lesbian Mothers, Their Children, and the Undoing of Gender</w:t>
      </w:r>
      <w:r>
        <w:t>.</w:t>
      </w:r>
    </w:p>
    <w:p w14:paraId="7020CC38" w14:textId="77777777" w:rsidR="00BE500F" w:rsidRDefault="00000000">
      <w:pPr>
        <w:pStyle w:val="Bibliography"/>
      </w:pPr>
      <w:bookmarkStart w:id="107" w:name="ref-thompson_2017_migration"/>
      <w:bookmarkEnd w:id="106"/>
      <w:r>
        <w:t xml:space="preserve">Thompson, Maddy. 2017. “Migration Decision-Making: A Geographical Imaginations Approach.” </w:t>
      </w:r>
      <w:r>
        <w:rPr>
          <w:i/>
          <w:iCs/>
        </w:rPr>
        <w:t>Area</w:t>
      </w:r>
      <w:r>
        <w:t xml:space="preserve"> 49 (1): 77–84. </w:t>
      </w:r>
      <w:hyperlink r:id="rId77">
        <w:r>
          <w:rPr>
            <w:rStyle w:val="Hyperlink"/>
          </w:rPr>
          <w:t>https://doi.org/10.1111/area.12292</w:t>
        </w:r>
      </w:hyperlink>
      <w:r>
        <w:t>.</w:t>
      </w:r>
    </w:p>
    <w:p w14:paraId="354779F4" w14:textId="77777777" w:rsidR="00BE500F" w:rsidRDefault="00000000">
      <w:pPr>
        <w:pStyle w:val="Bibliography"/>
      </w:pPr>
      <w:bookmarkStart w:id="108" w:name="ref-treas_2014_attitudes"/>
      <w:bookmarkEnd w:id="107"/>
      <w:r>
        <w:t xml:space="preserve">Treas, Judith, Jonathan Lui, and Zoya Gubernskaya. 2014. “Attitudes on Marriage and New Relationships: Cross-national Evidence on the Deinstitutionalization of Marriage.” </w:t>
      </w:r>
      <w:r>
        <w:rPr>
          <w:i/>
          <w:iCs/>
        </w:rPr>
        <w:t>Demographic Research</w:t>
      </w:r>
      <w:r>
        <w:t xml:space="preserve"> 30: 1495–1526. </w:t>
      </w:r>
      <w:hyperlink r:id="rId78">
        <w:r>
          <w:rPr>
            <w:rStyle w:val="Hyperlink"/>
          </w:rPr>
          <w:t>https://doi.org/10.4054/DemRes.2014.30.54</w:t>
        </w:r>
      </w:hyperlink>
      <w:r>
        <w:t>.</w:t>
      </w:r>
    </w:p>
    <w:p w14:paraId="121E57FD" w14:textId="77777777" w:rsidR="00BE500F" w:rsidRDefault="00000000">
      <w:pPr>
        <w:pStyle w:val="Bibliography"/>
      </w:pPr>
      <w:bookmarkStart w:id="109" w:name="ref-umberson_2015_challenges"/>
      <w:bookmarkEnd w:id="108"/>
      <w:r>
        <w:t xml:space="preserve">Umberson, Debra, Mieke Beth Thomeer, Rhiannon A. Kroeger, Amy C. Lodge, and Minle Xu. 2015. “Challenges and Opportunities for Research on Same-Sex Relationships.” </w:t>
      </w:r>
      <w:r>
        <w:rPr>
          <w:i/>
          <w:iCs/>
        </w:rPr>
        <w:t>Journal of Marriage and Family</w:t>
      </w:r>
      <w:r>
        <w:t xml:space="preserve"> 77 (1): 96–111. </w:t>
      </w:r>
      <w:hyperlink r:id="rId79">
        <w:r>
          <w:rPr>
            <w:rStyle w:val="Hyperlink"/>
          </w:rPr>
          <w:t>https://doi.org/10.1111/jomf.12155</w:t>
        </w:r>
      </w:hyperlink>
      <w:r>
        <w:t>.</w:t>
      </w:r>
    </w:p>
    <w:p w14:paraId="3122504A" w14:textId="77777777" w:rsidR="00BE500F" w:rsidRDefault="00000000">
      <w:pPr>
        <w:pStyle w:val="Bibliography"/>
      </w:pPr>
      <w:bookmarkStart w:id="110" w:name="ref-u.s.censusbureau_2013"/>
      <w:bookmarkEnd w:id="109"/>
      <w:r>
        <w:t>U.S. Census Bureau. 2013. “Frequently Asked Questions About Same-Sex Couple Households.” U.S. Census Bureau Fertility and Family Statistics Branch.</w:t>
      </w:r>
    </w:p>
    <w:p w14:paraId="0C6EF663" w14:textId="77777777" w:rsidR="00BE500F" w:rsidRDefault="00000000">
      <w:pPr>
        <w:pStyle w:val="Bibliography"/>
      </w:pPr>
      <w:bookmarkStart w:id="111" w:name="ref-u.s.departmentofstate_2022_immigrant"/>
      <w:bookmarkEnd w:id="110"/>
      <w:r>
        <w:t>U.S. Department of State. 2022. “Immigrant and Nonimmigrant Visas Issued at Foreign Service Posts: Fiscal Years 2017-2021.” https://travel.state.gov/content/dam/visas/Statistics/AnnualReports/FY2021AnnualReport/FY21_TableI.pdf.</w:t>
      </w:r>
    </w:p>
    <w:p w14:paraId="17EEDCBB" w14:textId="77777777" w:rsidR="00BE500F" w:rsidRDefault="00000000">
      <w:pPr>
        <w:pStyle w:val="Bibliography"/>
      </w:pPr>
      <w:bookmarkStart w:id="112" w:name="ref-vandervleuten_2021_samesex"/>
      <w:bookmarkEnd w:id="111"/>
      <w:r>
        <w:t xml:space="preserve">van der Vleuten, Maaike, Eva Jaspers, and Tanja van der Lippe. 2021. “Same-Sex Couples’ Division of Labor from a Cross-National Perspective.” </w:t>
      </w:r>
      <w:r>
        <w:rPr>
          <w:i/>
          <w:iCs/>
        </w:rPr>
        <w:t>Journal of GLBT Family Studies</w:t>
      </w:r>
      <w:r>
        <w:t xml:space="preserve"> 17 (2): 150–67. </w:t>
      </w:r>
      <w:hyperlink r:id="rId80">
        <w:r>
          <w:rPr>
            <w:rStyle w:val="Hyperlink"/>
          </w:rPr>
          <w:t>https://doi.org/10.1080/1550428X.2020.1862012</w:t>
        </w:r>
      </w:hyperlink>
      <w:r>
        <w:t>.</w:t>
      </w:r>
    </w:p>
    <w:p w14:paraId="41969E37" w14:textId="77777777" w:rsidR="00BE500F" w:rsidRDefault="00000000">
      <w:pPr>
        <w:pStyle w:val="Bibliography"/>
      </w:pPr>
      <w:bookmarkStart w:id="113" w:name="ref-vanzyl_2011_are"/>
      <w:bookmarkEnd w:id="112"/>
      <w:r>
        <w:t xml:space="preserve">van Zyl, Mikki. 2011. “Are Same-Sex Marriages UnAfrican? Same-Sex Relationships and Belonging in Post-Apartheid South Africa: Same-Sex Marriages in South Africa.” </w:t>
      </w:r>
      <w:r>
        <w:rPr>
          <w:i/>
          <w:iCs/>
        </w:rPr>
        <w:t>Journal of Social Issues</w:t>
      </w:r>
      <w:r>
        <w:t xml:space="preserve"> 67 (2): 335–57. </w:t>
      </w:r>
      <w:hyperlink r:id="rId81">
        <w:r>
          <w:rPr>
            <w:rStyle w:val="Hyperlink"/>
          </w:rPr>
          <w:t>https://doi.org/10.1111/j.1540-4560.2011.01701.x</w:t>
        </w:r>
      </w:hyperlink>
      <w:r>
        <w:t>.</w:t>
      </w:r>
    </w:p>
    <w:p w14:paraId="4A408B3B" w14:textId="77777777" w:rsidR="00BE500F" w:rsidRDefault="00000000">
      <w:pPr>
        <w:pStyle w:val="Bibliography"/>
      </w:pPr>
      <w:bookmarkStart w:id="114" w:name="ref-velasco_2018_human"/>
      <w:bookmarkEnd w:id="113"/>
      <w:r>
        <w:t xml:space="preserve">Velasco, Kristopher. 2018. “Human Rights INGOs, LGBT INGOs, and LGBT Policy Diffusion, 1991.” </w:t>
      </w:r>
      <w:r>
        <w:rPr>
          <w:i/>
          <w:iCs/>
        </w:rPr>
        <w:t>Social Forces</w:t>
      </w:r>
      <w:r>
        <w:t xml:space="preserve"> 97 (1): 377–404. </w:t>
      </w:r>
      <w:hyperlink r:id="rId82">
        <w:r>
          <w:rPr>
            <w:rStyle w:val="Hyperlink"/>
          </w:rPr>
          <w:t>https://doi.org/10.1093/sf/soy030</w:t>
        </w:r>
      </w:hyperlink>
      <w:r>
        <w:t>.</w:t>
      </w:r>
    </w:p>
    <w:p w14:paraId="292A3BD0" w14:textId="77777777" w:rsidR="00BE500F" w:rsidRDefault="00000000">
      <w:pPr>
        <w:pStyle w:val="Bibliography"/>
      </w:pPr>
      <w:bookmarkStart w:id="115" w:name="ref-velasco_2023_transnational"/>
      <w:bookmarkEnd w:id="114"/>
      <w:r>
        <w:t xml:space="preserve">———. 2023. “Transnational Backlash and the Deinstitutionalization of Liberal Norms: LGBT+ Rights in a Contested World.” </w:t>
      </w:r>
      <w:r>
        <w:rPr>
          <w:i/>
          <w:iCs/>
        </w:rPr>
        <w:t>American Journal of Sociology</w:t>
      </w:r>
      <w:r>
        <w:t xml:space="preserve"> 128 (4).</w:t>
      </w:r>
    </w:p>
    <w:p w14:paraId="54456B2F" w14:textId="77777777" w:rsidR="00BE500F" w:rsidRDefault="00000000">
      <w:pPr>
        <w:pStyle w:val="Bibliography"/>
      </w:pPr>
      <w:bookmarkStart w:id="116" w:name="ref-wang_2018_coming"/>
      <w:bookmarkEnd w:id="115"/>
      <w:r>
        <w:t xml:space="preserve">Wang, Cheng-Tong Lir, and Evan Schofer. 2018. “Coming Out of the Penumbras: World Culture and Cross-National Variation in Divorce Rates.” </w:t>
      </w:r>
      <w:r>
        <w:rPr>
          <w:i/>
          <w:iCs/>
        </w:rPr>
        <w:t>Social Forces</w:t>
      </w:r>
      <w:r>
        <w:t xml:space="preserve"> 97 (2): 675–704. </w:t>
      </w:r>
      <w:hyperlink r:id="rId83">
        <w:r>
          <w:rPr>
            <w:rStyle w:val="Hyperlink"/>
          </w:rPr>
          <w:t>https://doi.org/10.1093/sf/soy070</w:t>
        </w:r>
      </w:hyperlink>
      <w:r>
        <w:t>.</w:t>
      </w:r>
    </w:p>
    <w:p w14:paraId="062DD500" w14:textId="77777777" w:rsidR="00BE500F" w:rsidRDefault="00000000">
      <w:pPr>
        <w:pStyle w:val="Bibliography"/>
      </w:pPr>
      <w:bookmarkStart w:id="117" w:name="ref-yu_2015_changes"/>
      <w:bookmarkEnd w:id="116"/>
      <w:r>
        <w:t xml:space="preserve">Yu, Jia, and Yu Xie. 2015. “Changes in the Determinants of Marriage Entry in Post-Reform Urban China.” </w:t>
      </w:r>
      <w:r>
        <w:rPr>
          <w:i/>
          <w:iCs/>
        </w:rPr>
        <w:t>Demography</w:t>
      </w:r>
      <w:r>
        <w:t xml:space="preserve"> 52 (6): 1869–92. </w:t>
      </w:r>
      <w:hyperlink r:id="rId84">
        <w:r>
          <w:rPr>
            <w:rStyle w:val="Hyperlink"/>
          </w:rPr>
          <w:t>https://doi.org/10.1007/s13524-015-0432-z</w:t>
        </w:r>
      </w:hyperlink>
      <w:r>
        <w:t>.</w:t>
      </w:r>
    </w:p>
    <w:bookmarkEnd w:id="17"/>
    <w:bookmarkEnd w:id="117"/>
    <w:p w14:paraId="27511C32" w14:textId="77777777" w:rsidR="00BE500F" w:rsidRDefault="00000000">
      <w:r>
        <w:br w:type="page"/>
      </w:r>
    </w:p>
    <w:p w14:paraId="6DB370AB" w14:textId="77777777" w:rsidR="00BE500F" w:rsidRDefault="00000000">
      <w:pPr>
        <w:pStyle w:val="Heading1"/>
      </w:pPr>
      <w:bookmarkStart w:id="118" w:name="tables"/>
      <w:bookmarkEnd w:id="15"/>
      <w:r>
        <w:t>Tables</w:t>
      </w:r>
    </w:p>
    <w:p w14:paraId="17F64D67" w14:textId="77777777" w:rsidR="00BE500F" w:rsidRDefault="00000000">
      <w:pPr>
        <w:pStyle w:val="TableCaption"/>
      </w:pPr>
      <w:r>
        <w:t xml:space="preserve">Table 1: </w:t>
      </w:r>
      <w:bookmarkStart w:id="119" w:name="tab:data-tab"/>
      <w:r>
        <w:t>Unweighted and weighted sample sizes of cohabiting individuals by type of couple, from American Community Survey (ACS) data 2008-2019</w:t>
      </w:r>
      <w:bookmarkEnd w:id="119"/>
    </w:p>
    <w:tbl>
      <w:tblPr>
        <w:tblW w:w="0" w:type="auto"/>
        <w:jc w:val="center"/>
        <w:tblLayout w:type="fixed"/>
        <w:tblLook w:val="0420" w:firstRow="1" w:lastRow="0" w:firstColumn="0" w:lastColumn="0" w:noHBand="0" w:noVBand="1"/>
      </w:tblPr>
      <w:tblGrid>
        <w:gridCol w:w="1565"/>
        <w:gridCol w:w="1993"/>
        <w:gridCol w:w="2280"/>
        <w:gridCol w:w="2555"/>
      </w:tblGrid>
      <w:tr w:rsidR="00BE500F" w14:paraId="1337147F" w14:textId="77777777">
        <w:trPr>
          <w:cantSplit/>
          <w:tblHeader/>
          <w:jc w:val="center"/>
        </w:trPr>
        <w:tc>
          <w:tcPr>
            <w:tcW w:w="156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0436DE" w14:textId="77777777" w:rsidR="00BE500F" w:rsidRDefault="00000000">
            <w:pPr>
              <w:spacing w:before="100" w:after="100"/>
              <w:ind w:left="100" w:right="100"/>
            </w:pPr>
            <w:r>
              <w:rPr>
                <w:rFonts w:ascii="Times New Roman" w:eastAsia="Helvetica" w:hAnsi="Helvetica" w:cs="Helvetica"/>
                <w:color w:val="000000"/>
                <w:sz w:val="22"/>
                <w:szCs w:val="22"/>
              </w:rPr>
              <w:t>Composition</w:t>
            </w:r>
          </w:p>
        </w:tc>
        <w:tc>
          <w:tcPr>
            <w:tcW w:w="1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B9C34E" w14:textId="77777777" w:rsidR="00BE500F" w:rsidRDefault="00000000">
            <w:pPr>
              <w:spacing w:before="100" w:after="100"/>
              <w:ind w:left="100" w:right="100"/>
            </w:pPr>
            <w:r>
              <w:rPr>
                <w:rFonts w:ascii="Times New Roman" w:eastAsia="Helvetica" w:hAnsi="Helvetica" w:cs="Helvetica"/>
                <w:color w:val="000000"/>
                <w:sz w:val="22"/>
                <w:szCs w:val="22"/>
              </w:rPr>
              <w:t>Citizenship</w:t>
            </w:r>
          </w:p>
        </w:tc>
        <w:tc>
          <w:tcPr>
            <w:tcW w:w="22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866D50" w14:textId="77777777" w:rsidR="00BE500F" w:rsidRDefault="00000000">
            <w:pPr>
              <w:spacing w:before="100" w:after="100"/>
              <w:ind w:left="100" w:right="100"/>
            </w:pPr>
            <w:r>
              <w:rPr>
                <w:rFonts w:ascii="Times New Roman" w:eastAsia="Helvetica" w:hAnsi="Helvetica" w:cs="Helvetica"/>
                <w:color w:val="000000"/>
                <w:sz w:val="22"/>
                <w:szCs w:val="22"/>
              </w:rPr>
              <w:t>Unweighted count</w:t>
            </w:r>
          </w:p>
        </w:tc>
        <w:tc>
          <w:tcPr>
            <w:tcW w:w="25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1C7812" w14:textId="77777777" w:rsidR="00BE500F" w:rsidRDefault="00000000">
            <w:pPr>
              <w:spacing w:before="100" w:after="100"/>
              <w:ind w:left="100" w:right="100"/>
            </w:pPr>
            <w:r>
              <w:rPr>
                <w:rFonts w:ascii="Times New Roman" w:eastAsia="Helvetica" w:hAnsi="Helvetica" w:cs="Helvetica"/>
                <w:color w:val="000000"/>
                <w:sz w:val="22"/>
                <w:szCs w:val="22"/>
              </w:rPr>
              <w:t>Weighted count</w:t>
            </w:r>
          </w:p>
        </w:tc>
      </w:tr>
      <w:tr w:rsidR="00BE500F" w14:paraId="0C5E76A5" w14:textId="77777777">
        <w:trPr>
          <w:cantSplit/>
          <w:jc w:val="center"/>
        </w:trPr>
        <w:tc>
          <w:tcPr>
            <w:tcW w:w="1565" w:type="dxa"/>
            <w:shd w:val="clear" w:color="auto" w:fill="FFFFFF"/>
            <w:tcMar>
              <w:top w:w="0" w:type="dxa"/>
              <w:left w:w="0" w:type="dxa"/>
              <w:bottom w:w="0" w:type="dxa"/>
              <w:right w:w="0" w:type="dxa"/>
            </w:tcMar>
            <w:vAlign w:val="center"/>
          </w:tcPr>
          <w:p w14:paraId="431A0A54" w14:textId="77777777" w:rsidR="00BE500F" w:rsidRDefault="00000000">
            <w:pPr>
              <w:spacing w:before="100" w:after="100"/>
              <w:ind w:left="100" w:right="100"/>
            </w:pPr>
            <w:r>
              <w:rPr>
                <w:rFonts w:ascii="Times New Roman" w:eastAsia="Helvetica" w:hAnsi="Helvetica" w:cs="Helvetica"/>
                <w:color w:val="000000"/>
                <w:sz w:val="22"/>
                <w:szCs w:val="22"/>
              </w:rPr>
              <w:t>Different sex</w:t>
            </w:r>
          </w:p>
        </w:tc>
        <w:tc>
          <w:tcPr>
            <w:tcW w:w="1993" w:type="dxa"/>
            <w:shd w:val="clear" w:color="auto" w:fill="FFFFFF"/>
            <w:tcMar>
              <w:top w:w="0" w:type="dxa"/>
              <w:left w:w="0" w:type="dxa"/>
              <w:bottom w:w="0" w:type="dxa"/>
              <w:right w:w="0" w:type="dxa"/>
            </w:tcMar>
            <w:vAlign w:val="center"/>
          </w:tcPr>
          <w:p w14:paraId="590B0936" w14:textId="77777777" w:rsidR="00BE500F" w:rsidRDefault="00000000">
            <w:pPr>
              <w:spacing w:before="100" w:after="100"/>
              <w:ind w:left="100" w:right="100"/>
            </w:pPr>
            <w:r>
              <w:rPr>
                <w:rFonts w:ascii="Times New Roman" w:eastAsia="Helvetica" w:hAnsi="Helvetica" w:cs="Helvetica"/>
                <w:color w:val="000000"/>
                <w:sz w:val="22"/>
                <w:szCs w:val="22"/>
              </w:rPr>
              <w:t>Mixed citizenship</w:t>
            </w:r>
          </w:p>
        </w:tc>
        <w:tc>
          <w:tcPr>
            <w:tcW w:w="2280" w:type="dxa"/>
            <w:shd w:val="clear" w:color="auto" w:fill="FFFFFF"/>
            <w:tcMar>
              <w:top w:w="0" w:type="dxa"/>
              <w:left w:w="0" w:type="dxa"/>
              <w:bottom w:w="0" w:type="dxa"/>
              <w:right w:w="0" w:type="dxa"/>
            </w:tcMar>
            <w:vAlign w:val="center"/>
          </w:tcPr>
          <w:p w14:paraId="176D4E83" w14:textId="77777777" w:rsidR="00BE500F" w:rsidRDefault="00000000">
            <w:pPr>
              <w:spacing w:before="100" w:after="100"/>
              <w:ind w:left="100" w:right="100"/>
            </w:pPr>
            <w:r>
              <w:rPr>
                <w:rFonts w:ascii="Times New Roman" w:eastAsia="Helvetica" w:hAnsi="Helvetica" w:cs="Helvetica"/>
                <w:color w:val="000000"/>
                <w:sz w:val="22"/>
                <w:szCs w:val="22"/>
              </w:rPr>
              <w:t>449,634 (3.87%)</w:t>
            </w:r>
          </w:p>
        </w:tc>
        <w:tc>
          <w:tcPr>
            <w:tcW w:w="2555" w:type="dxa"/>
            <w:shd w:val="clear" w:color="auto" w:fill="FFFFFF"/>
            <w:tcMar>
              <w:top w:w="0" w:type="dxa"/>
              <w:left w:w="0" w:type="dxa"/>
              <w:bottom w:w="0" w:type="dxa"/>
              <w:right w:w="0" w:type="dxa"/>
            </w:tcMar>
            <w:vAlign w:val="center"/>
          </w:tcPr>
          <w:p w14:paraId="5769AEA9" w14:textId="77777777" w:rsidR="00BE500F" w:rsidRDefault="00000000">
            <w:pPr>
              <w:spacing w:before="100" w:after="100"/>
              <w:ind w:left="100" w:right="100"/>
            </w:pPr>
            <w:r>
              <w:rPr>
                <w:rFonts w:ascii="Times New Roman" w:eastAsia="Helvetica" w:hAnsi="Helvetica" w:cs="Helvetica"/>
                <w:color w:val="000000"/>
                <w:sz w:val="22"/>
                <w:szCs w:val="22"/>
              </w:rPr>
              <w:t>48,291,282 (4.4%)</w:t>
            </w:r>
          </w:p>
        </w:tc>
      </w:tr>
      <w:tr w:rsidR="00BE500F" w14:paraId="0FDBAB53" w14:textId="77777777">
        <w:trPr>
          <w:cantSplit/>
          <w:jc w:val="center"/>
        </w:trPr>
        <w:tc>
          <w:tcPr>
            <w:tcW w:w="1565" w:type="dxa"/>
            <w:shd w:val="clear" w:color="auto" w:fill="FFFFFF"/>
            <w:tcMar>
              <w:top w:w="0" w:type="dxa"/>
              <w:left w:w="0" w:type="dxa"/>
              <w:bottom w:w="0" w:type="dxa"/>
              <w:right w:w="0" w:type="dxa"/>
            </w:tcMar>
            <w:vAlign w:val="center"/>
          </w:tcPr>
          <w:p w14:paraId="1EFA44FA" w14:textId="77777777" w:rsidR="00BE500F" w:rsidRDefault="00000000">
            <w:pPr>
              <w:spacing w:before="100" w:after="100"/>
              <w:ind w:left="100" w:right="100"/>
            </w:pPr>
            <w:r>
              <w:rPr>
                <w:rFonts w:ascii="Times New Roman" w:eastAsia="Helvetica" w:hAnsi="Helvetica" w:cs="Helvetica"/>
                <w:color w:val="000000"/>
                <w:sz w:val="22"/>
                <w:szCs w:val="22"/>
              </w:rPr>
              <w:t>Different sex</w:t>
            </w:r>
          </w:p>
        </w:tc>
        <w:tc>
          <w:tcPr>
            <w:tcW w:w="1993" w:type="dxa"/>
            <w:shd w:val="clear" w:color="auto" w:fill="FFFFFF"/>
            <w:tcMar>
              <w:top w:w="0" w:type="dxa"/>
              <w:left w:w="0" w:type="dxa"/>
              <w:bottom w:w="0" w:type="dxa"/>
              <w:right w:w="0" w:type="dxa"/>
            </w:tcMar>
            <w:vAlign w:val="center"/>
          </w:tcPr>
          <w:p w14:paraId="0234E4AB" w14:textId="77777777" w:rsidR="00BE500F" w:rsidRDefault="00000000">
            <w:pPr>
              <w:spacing w:before="100" w:after="100"/>
              <w:ind w:left="100" w:right="100"/>
            </w:pPr>
            <w:r>
              <w:rPr>
                <w:rFonts w:ascii="Times New Roman" w:eastAsia="Helvetica" w:hAnsi="Helvetica" w:cs="Helvetica"/>
                <w:color w:val="000000"/>
                <w:sz w:val="22"/>
                <w:szCs w:val="22"/>
              </w:rPr>
              <w:t>Same citizenship</w:t>
            </w:r>
          </w:p>
        </w:tc>
        <w:tc>
          <w:tcPr>
            <w:tcW w:w="2280" w:type="dxa"/>
            <w:shd w:val="clear" w:color="auto" w:fill="FFFFFF"/>
            <w:tcMar>
              <w:top w:w="0" w:type="dxa"/>
              <w:left w:w="0" w:type="dxa"/>
              <w:bottom w:w="0" w:type="dxa"/>
              <w:right w:w="0" w:type="dxa"/>
            </w:tcMar>
            <w:vAlign w:val="center"/>
          </w:tcPr>
          <w:p w14:paraId="4235304A" w14:textId="77777777" w:rsidR="00BE500F" w:rsidRDefault="00000000">
            <w:pPr>
              <w:spacing w:before="100" w:after="100"/>
              <w:ind w:left="100" w:right="100"/>
            </w:pPr>
            <w:r>
              <w:rPr>
                <w:rFonts w:ascii="Times New Roman" w:eastAsia="Helvetica" w:hAnsi="Helvetica" w:cs="Helvetica"/>
                <w:color w:val="000000"/>
                <w:sz w:val="22"/>
                <w:szCs w:val="22"/>
              </w:rPr>
              <w:t>11,006,816 (94.81%)</w:t>
            </w:r>
          </w:p>
        </w:tc>
        <w:tc>
          <w:tcPr>
            <w:tcW w:w="2555" w:type="dxa"/>
            <w:shd w:val="clear" w:color="auto" w:fill="FFFFFF"/>
            <w:tcMar>
              <w:top w:w="0" w:type="dxa"/>
              <w:left w:w="0" w:type="dxa"/>
              <w:bottom w:w="0" w:type="dxa"/>
              <w:right w:w="0" w:type="dxa"/>
            </w:tcMar>
            <w:vAlign w:val="center"/>
          </w:tcPr>
          <w:p w14:paraId="0D8A5B42" w14:textId="77777777" w:rsidR="00BE500F" w:rsidRDefault="00000000">
            <w:pPr>
              <w:spacing w:before="100" w:after="100"/>
              <w:ind w:left="100" w:right="100"/>
            </w:pPr>
            <w:r>
              <w:rPr>
                <w:rFonts w:ascii="Times New Roman" w:eastAsia="Helvetica" w:hAnsi="Helvetica" w:cs="Helvetica"/>
                <w:color w:val="000000"/>
                <w:sz w:val="22"/>
                <w:szCs w:val="22"/>
              </w:rPr>
              <w:t>1,036,071,322 (94.32%)</w:t>
            </w:r>
          </w:p>
        </w:tc>
      </w:tr>
      <w:tr w:rsidR="00BE500F" w14:paraId="2F4E0F19" w14:textId="77777777">
        <w:trPr>
          <w:cantSplit/>
          <w:jc w:val="center"/>
        </w:trPr>
        <w:tc>
          <w:tcPr>
            <w:tcW w:w="1565" w:type="dxa"/>
            <w:shd w:val="clear" w:color="auto" w:fill="FFFFFF"/>
            <w:tcMar>
              <w:top w:w="0" w:type="dxa"/>
              <w:left w:w="0" w:type="dxa"/>
              <w:bottom w:w="0" w:type="dxa"/>
              <w:right w:w="0" w:type="dxa"/>
            </w:tcMar>
            <w:vAlign w:val="center"/>
          </w:tcPr>
          <w:p w14:paraId="79485967" w14:textId="77777777" w:rsidR="00BE500F" w:rsidRDefault="00000000">
            <w:pPr>
              <w:spacing w:before="100" w:after="100"/>
              <w:ind w:left="100" w:right="100"/>
            </w:pPr>
            <w:r>
              <w:rPr>
                <w:rFonts w:ascii="Times New Roman" w:eastAsia="Helvetica" w:hAnsi="Helvetica" w:cs="Helvetica"/>
                <w:color w:val="000000"/>
                <w:sz w:val="22"/>
                <w:szCs w:val="22"/>
              </w:rPr>
              <w:t>Same sex</w:t>
            </w:r>
          </w:p>
        </w:tc>
        <w:tc>
          <w:tcPr>
            <w:tcW w:w="1993" w:type="dxa"/>
            <w:shd w:val="clear" w:color="auto" w:fill="FFFFFF"/>
            <w:tcMar>
              <w:top w:w="0" w:type="dxa"/>
              <w:left w:w="0" w:type="dxa"/>
              <w:bottom w:w="0" w:type="dxa"/>
              <w:right w:w="0" w:type="dxa"/>
            </w:tcMar>
            <w:vAlign w:val="center"/>
          </w:tcPr>
          <w:p w14:paraId="679AC4D8" w14:textId="77777777" w:rsidR="00BE500F" w:rsidRDefault="00000000">
            <w:pPr>
              <w:spacing w:before="100" w:after="100"/>
              <w:ind w:left="100" w:right="100"/>
            </w:pPr>
            <w:r>
              <w:rPr>
                <w:rFonts w:ascii="Times New Roman" w:eastAsia="Helvetica" w:hAnsi="Helvetica" w:cs="Helvetica"/>
                <w:color w:val="000000"/>
                <w:sz w:val="22"/>
                <w:szCs w:val="22"/>
              </w:rPr>
              <w:t>Mixed citizenship</w:t>
            </w:r>
          </w:p>
        </w:tc>
        <w:tc>
          <w:tcPr>
            <w:tcW w:w="2280" w:type="dxa"/>
            <w:shd w:val="clear" w:color="auto" w:fill="FFFFFF"/>
            <w:tcMar>
              <w:top w:w="0" w:type="dxa"/>
              <w:left w:w="0" w:type="dxa"/>
              <w:bottom w:w="0" w:type="dxa"/>
              <w:right w:w="0" w:type="dxa"/>
            </w:tcMar>
            <w:vAlign w:val="center"/>
          </w:tcPr>
          <w:p w14:paraId="377E7932" w14:textId="77777777" w:rsidR="00BE500F" w:rsidRDefault="00000000">
            <w:pPr>
              <w:spacing w:before="100" w:after="100"/>
              <w:ind w:left="100" w:right="100"/>
            </w:pPr>
            <w:r>
              <w:rPr>
                <w:rFonts w:ascii="Times New Roman" w:eastAsia="Helvetica" w:hAnsi="Helvetica" w:cs="Helvetica"/>
                <w:color w:val="000000"/>
                <w:sz w:val="22"/>
                <w:szCs w:val="22"/>
              </w:rPr>
              <w:t>6,987 (0.06%)</w:t>
            </w:r>
          </w:p>
        </w:tc>
        <w:tc>
          <w:tcPr>
            <w:tcW w:w="2555" w:type="dxa"/>
            <w:shd w:val="clear" w:color="auto" w:fill="FFFFFF"/>
            <w:tcMar>
              <w:top w:w="0" w:type="dxa"/>
              <w:left w:w="0" w:type="dxa"/>
              <w:bottom w:w="0" w:type="dxa"/>
              <w:right w:w="0" w:type="dxa"/>
            </w:tcMar>
            <w:vAlign w:val="center"/>
          </w:tcPr>
          <w:p w14:paraId="09FC4E21" w14:textId="77777777" w:rsidR="00BE500F" w:rsidRDefault="00000000">
            <w:pPr>
              <w:spacing w:before="100" w:after="100"/>
              <w:ind w:left="100" w:right="100"/>
            </w:pPr>
            <w:r>
              <w:rPr>
                <w:rFonts w:ascii="Times New Roman" w:eastAsia="Helvetica" w:hAnsi="Helvetica" w:cs="Helvetica"/>
                <w:color w:val="000000"/>
                <w:sz w:val="22"/>
                <w:szCs w:val="22"/>
              </w:rPr>
              <w:t>666,130 (0.06%)</w:t>
            </w:r>
          </w:p>
        </w:tc>
      </w:tr>
      <w:tr w:rsidR="00BE500F" w14:paraId="27C39FA9" w14:textId="77777777">
        <w:trPr>
          <w:cantSplit/>
          <w:jc w:val="center"/>
        </w:trPr>
        <w:tc>
          <w:tcPr>
            <w:tcW w:w="1565" w:type="dxa"/>
            <w:tcBorders>
              <w:bottom w:val="single" w:sz="16" w:space="0" w:color="666666"/>
            </w:tcBorders>
            <w:shd w:val="clear" w:color="auto" w:fill="FFFFFF"/>
            <w:tcMar>
              <w:top w:w="0" w:type="dxa"/>
              <w:left w:w="0" w:type="dxa"/>
              <w:bottom w:w="0" w:type="dxa"/>
              <w:right w:w="0" w:type="dxa"/>
            </w:tcMar>
            <w:vAlign w:val="center"/>
          </w:tcPr>
          <w:p w14:paraId="60A5F404" w14:textId="77777777" w:rsidR="00BE500F" w:rsidRDefault="00000000">
            <w:pPr>
              <w:spacing w:before="100" w:after="100"/>
              <w:ind w:left="100" w:right="100"/>
            </w:pPr>
            <w:r>
              <w:rPr>
                <w:rFonts w:ascii="Times New Roman" w:eastAsia="Helvetica" w:hAnsi="Helvetica" w:cs="Helvetica"/>
                <w:color w:val="000000"/>
                <w:sz w:val="22"/>
                <w:szCs w:val="22"/>
              </w:rPr>
              <w:t>Same sex</w:t>
            </w:r>
          </w:p>
        </w:tc>
        <w:tc>
          <w:tcPr>
            <w:tcW w:w="1993" w:type="dxa"/>
            <w:tcBorders>
              <w:bottom w:val="single" w:sz="16" w:space="0" w:color="666666"/>
            </w:tcBorders>
            <w:shd w:val="clear" w:color="auto" w:fill="FFFFFF"/>
            <w:tcMar>
              <w:top w:w="0" w:type="dxa"/>
              <w:left w:w="0" w:type="dxa"/>
              <w:bottom w:w="0" w:type="dxa"/>
              <w:right w:w="0" w:type="dxa"/>
            </w:tcMar>
            <w:vAlign w:val="center"/>
          </w:tcPr>
          <w:p w14:paraId="598F37A9" w14:textId="77777777" w:rsidR="00BE500F" w:rsidRDefault="00000000">
            <w:pPr>
              <w:spacing w:before="100" w:after="100"/>
              <w:ind w:left="100" w:right="100"/>
            </w:pPr>
            <w:r>
              <w:rPr>
                <w:rFonts w:ascii="Times New Roman" w:eastAsia="Helvetica" w:hAnsi="Helvetica" w:cs="Helvetica"/>
                <w:color w:val="000000"/>
                <w:sz w:val="22"/>
                <w:szCs w:val="22"/>
              </w:rPr>
              <w:t>Same citizenship</w:t>
            </w:r>
          </w:p>
        </w:tc>
        <w:tc>
          <w:tcPr>
            <w:tcW w:w="2280" w:type="dxa"/>
            <w:tcBorders>
              <w:bottom w:val="single" w:sz="16" w:space="0" w:color="666666"/>
            </w:tcBorders>
            <w:shd w:val="clear" w:color="auto" w:fill="FFFFFF"/>
            <w:tcMar>
              <w:top w:w="0" w:type="dxa"/>
              <w:left w:w="0" w:type="dxa"/>
              <w:bottom w:w="0" w:type="dxa"/>
              <w:right w:w="0" w:type="dxa"/>
            </w:tcMar>
            <w:vAlign w:val="center"/>
          </w:tcPr>
          <w:p w14:paraId="6657320C" w14:textId="77777777" w:rsidR="00BE500F" w:rsidRDefault="00000000">
            <w:pPr>
              <w:spacing w:before="100" w:after="100"/>
              <w:ind w:left="100" w:right="100"/>
            </w:pPr>
            <w:r>
              <w:rPr>
                <w:rFonts w:ascii="Times New Roman" w:eastAsia="Helvetica" w:hAnsi="Helvetica" w:cs="Helvetica"/>
                <w:color w:val="000000"/>
                <w:sz w:val="22"/>
                <w:szCs w:val="22"/>
              </w:rPr>
              <w:t>145,447 (1.25%)</w:t>
            </w:r>
          </w:p>
        </w:tc>
        <w:tc>
          <w:tcPr>
            <w:tcW w:w="2555" w:type="dxa"/>
            <w:tcBorders>
              <w:bottom w:val="single" w:sz="16" w:space="0" w:color="666666"/>
            </w:tcBorders>
            <w:shd w:val="clear" w:color="auto" w:fill="FFFFFF"/>
            <w:tcMar>
              <w:top w:w="0" w:type="dxa"/>
              <w:left w:w="0" w:type="dxa"/>
              <w:bottom w:w="0" w:type="dxa"/>
              <w:right w:w="0" w:type="dxa"/>
            </w:tcMar>
            <w:vAlign w:val="center"/>
          </w:tcPr>
          <w:p w14:paraId="3A27E687" w14:textId="77777777" w:rsidR="00BE500F" w:rsidRDefault="00000000">
            <w:pPr>
              <w:spacing w:before="100" w:after="100"/>
              <w:ind w:left="100" w:right="100"/>
            </w:pPr>
            <w:r>
              <w:rPr>
                <w:rFonts w:ascii="Times New Roman" w:eastAsia="Helvetica" w:hAnsi="Helvetica" w:cs="Helvetica"/>
                <w:color w:val="000000"/>
                <w:sz w:val="22"/>
                <w:szCs w:val="22"/>
              </w:rPr>
              <w:t>13,448,425 (1.22%)</w:t>
            </w:r>
          </w:p>
        </w:tc>
      </w:tr>
    </w:tbl>
    <w:p w14:paraId="16D0EF56" w14:textId="77777777" w:rsidR="00BE500F" w:rsidRDefault="00000000">
      <w:r>
        <w:br w:type="page"/>
      </w:r>
    </w:p>
    <w:p w14:paraId="687A8105" w14:textId="77777777" w:rsidR="00BE500F" w:rsidRDefault="00000000">
      <w:pPr>
        <w:pStyle w:val="TableCaption"/>
      </w:pPr>
      <w:r>
        <w:t xml:space="preserve">Table 2: </w:t>
      </w:r>
      <w:bookmarkStart w:id="120" w:name="tab:D-mod"/>
      <w:r>
        <w:t>Simple-difference (D), quasi-Poisson regressions of counts of                          individuals in mixed-citizenship, same-sex couples, stratifying the sample by policy environment at year of immigration. The sample includes only mixed-citizenship, same-sex couples.</w:t>
      </w:r>
      <w:bookmarkEnd w:id="120"/>
    </w:p>
    <w:tbl>
      <w:tblPr>
        <w:tblW w:w="0" w:type="auto"/>
        <w:jc w:val="center"/>
        <w:tblLayout w:type="fixed"/>
        <w:tblLook w:val="0420" w:firstRow="1" w:lastRow="0" w:firstColumn="0" w:lastColumn="0" w:noHBand="0" w:noVBand="1"/>
      </w:tblPr>
      <w:tblGrid>
        <w:gridCol w:w="2160"/>
        <w:gridCol w:w="2160"/>
        <w:gridCol w:w="2160"/>
        <w:gridCol w:w="2160"/>
      </w:tblGrid>
      <w:tr w:rsidR="00BE500F" w14:paraId="039E3C41" w14:textId="77777777">
        <w:trPr>
          <w:cantSplit/>
          <w:jc w:val="center"/>
        </w:trPr>
        <w:tc>
          <w:tcPr>
            <w:tcW w:w="2160" w:type="dxa"/>
            <w:tcBorders>
              <w:top w:val="single" w:sz="6" w:space="0" w:color="000000"/>
            </w:tcBorders>
            <w:shd w:val="clear" w:color="auto" w:fill="FFFFFF"/>
            <w:tcMar>
              <w:top w:w="0" w:type="dxa"/>
              <w:left w:w="0" w:type="dxa"/>
              <w:bottom w:w="0" w:type="dxa"/>
              <w:right w:w="0" w:type="dxa"/>
            </w:tcMar>
          </w:tcPr>
          <w:p w14:paraId="3EB4814C" w14:textId="77777777" w:rsidR="00BE500F" w:rsidRDefault="00BE500F">
            <w:pPr>
              <w:spacing w:after="0"/>
              <w:jc w:val="center"/>
            </w:pP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2DD10A57" w14:textId="77777777" w:rsidR="00BE500F" w:rsidRDefault="00000000">
            <w:pPr>
              <w:spacing w:after="0"/>
              <w:jc w:val="center"/>
            </w:pPr>
            <w:r>
              <w:rPr>
                <w:rFonts w:ascii="Times New Roman" w:eastAsia="Helvetica" w:hAnsi="Helvetica" w:cs="Helvetica"/>
                <w:color w:val="000000"/>
                <w:sz w:val="22"/>
                <w:szCs w:val="22"/>
              </w:rPr>
              <w:t>Full sample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47867B41" w14:textId="77777777" w:rsidR="00BE500F" w:rsidRDefault="00000000">
            <w:pPr>
              <w:spacing w:after="0"/>
              <w:jc w:val="center"/>
            </w:pPr>
            <w:r>
              <w:rPr>
                <w:rFonts w:ascii="Times New Roman" w:eastAsia="Helvetica" w:hAnsi="Helvetica" w:cs="Helvetica"/>
                <w:color w:val="000000"/>
                <w:sz w:val="22"/>
                <w:szCs w:val="22"/>
              </w:rPr>
              <w:t>Progressive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0D3349AD" w14:textId="77777777" w:rsidR="00BE500F" w:rsidRDefault="00000000">
            <w:pPr>
              <w:spacing w:after="0"/>
              <w:jc w:val="center"/>
            </w:pPr>
            <w:r>
              <w:rPr>
                <w:rFonts w:ascii="Times New Roman" w:eastAsia="Helvetica" w:hAnsi="Helvetica" w:cs="Helvetica"/>
                <w:color w:val="000000"/>
                <w:sz w:val="22"/>
                <w:szCs w:val="22"/>
              </w:rPr>
              <w:t>Regressive</w:t>
            </w:r>
          </w:p>
        </w:tc>
      </w:tr>
      <w:tr w:rsidR="00BE500F" w14:paraId="55D37037" w14:textId="77777777">
        <w:trPr>
          <w:cantSplit/>
          <w:jc w:val="center"/>
        </w:trPr>
        <w:tc>
          <w:tcPr>
            <w:tcW w:w="2160" w:type="dxa"/>
            <w:shd w:val="clear" w:color="auto" w:fill="FFFFFF"/>
            <w:tcMar>
              <w:top w:w="0" w:type="dxa"/>
              <w:left w:w="0" w:type="dxa"/>
              <w:bottom w:w="0" w:type="dxa"/>
              <w:right w:w="0" w:type="dxa"/>
            </w:tcMar>
          </w:tcPr>
          <w:p w14:paraId="687A4B40" w14:textId="77777777" w:rsidR="00BE500F" w:rsidRDefault="00000000">
            <w:pPr>
              <w:spacing w:after="0"/>
            </w:pPr>
            <w:r>
              <w:rPr>
                <w:rFonts w:ascii="Times New Roman" w:eastAsia="Helvetica" w:hAnsi="Helvetica" w:cs="Helvetica"/>
                <w:color w:val="000000"/>
                <w:sz w:val="22"/>
                <w:szCs w:val="22"/>
              </w:rPr>
              <w:t>Post-2013</w:t>
            </w:r>
          </w:p>
        </w:tc>
        <w:tc>
          <w:tcPr>
            <w:tcW w:w="2160" w:type="dxa"/>
            <w:tcBorders>
              <w:top w:val="single" w:sz="3" w:space="0" w:color="000000"/>
            </w:tcBorders>
            <w:shd w:val="clear" w:color="auto" w:fill="FFFFFF"/>
            <w:tcMar>
              <w:top w:w="0" w:type="dxa"/>
              <w:left w:w="0" w:type="dxa"/>
              <w:bottom w:w="0" w:type="dxa"/>
              <w:right w:w="0" w:type="dxa"/>
            </w:tcMar>
          </w:tcPr>
          <w:p w14:paraId="36A5B496" w14:textId="77777777" w:rsidR="00BE500F" w:rsidRDefault="00000000">
            <w:pPr>
              <w:spacing w:after="0"/>
              <w:jc w:val="right"/>
            </w:pPr>
            <w:r>
              <w:rPr>
                <w:rFonts w:ascii="Times New Roman" w:eastAsia="Helvetica" w:hAnsi="Helvetica" w:cs="Helvetica"/>
                <w:color w:val="000000"/>
                <w:sz w:val="22"/>
                <w:szCs w:val="22"/>
              </w:rPr>
              <w:t>1.130 ***</w:t>
            </w:r>
          </w:p>
        </w:tc>
        <w:tc>
          <w:tcPr>
            <w:tcW w:w="2160" w:type="dxa"/>
            <w:tcBorders>
              <w:top w:val="single" w:sz="3" w:space="0" w:color="000000"/>
            </w:tcBorders>
            <w:shd w:val="clear" w:color="auto" w:fill="FFFFFF"/>
            <w:tcMar>
              <w:top w:w="0" w:type="dxa"/>
              <w:left w:w="0" w:type="dxa"/>
              <w:bottom w:w="0" w:type="dxa"/>
              <w:right w:w="0" w:type="dxa"/>
            </w:tcMar>
          </w:tcPr>
          <w:p w14:paraId="0E0DAC45" w14:textId="77777777" w:rsidR="00BE500F" w:rsidRDefault="00000000">
            <w:pPr>
              <w:spacing w:after="0"/>
              <w:jc w:val="right"/>
            </w:pPr>
            <w:r>
              <w:rPr>
                <w:rFonts w:ascii="Times New Roman" w:eastAsia="Helvetica" w:hAnsi="Helvetica" w:cs="Helvetica"/>
                <w:color w:val="000000"/>
                <w:sz w:val="22"/>
                <w:szCs w:val="22"/>
              </w:rPr>
              <w:t>2.018 ***</w:t>
            </w:r>
          </w:p>
        </w:tc>
        <w:tc>
          <w:tcPr>
            <w:tcW w:w="2160" w:type="dxa"/>
            <w:tcBorders>
              <w:top w:val="single" w:sz="3" w:space="0" w:color="000000"/>
            </w:tcBorders>
            <w:shd w:val="clear" w:color="auto" w:fill="FFFFFF"/>
            <w:tcMar>
              <w:top w:w="0" w:type="dxa"/>
              <w:left w:w="0" w:type="dxa"/>
              <w:bottom w:w="0" w:type="dxa"/>
              <w:right w:w="0" w:type="dxa"/>
            </w:tcMar>
          </w:tcPr>
          <w:p w14:paraId="3D969B5F" w14:textId="77777777" w:rsidR="00BE500F" w:rsidRDefault="00000000">
            <w:pPr>
              <w:spacing w:after="0"/>
              <w:jc w:val="right"/>
            </w:pPr>
            <w:r>
              <w:rPr>
                <w:rFonts w:ascii="Times New Roman" w:eastAsia="Helvetica" w:hAnsi="Helvetica" w:cs="Helvetica"/>
                <w:color w:val="000000"/>
                <w:sz w:val="22"/>
                <w:szCs w:val="22"/>
              </w:rPr>
              <w:t xml:space="preserve">0.515 </w:t>
            </w:r>
            <w:r>
              <w:rPr>
                <w:rFonts w:ascii="Times New Roman" w:eastAsia="Helvetica" w:hAnsi="Helvetica" w:cs="Helvetica"/>
                <w:color w:val="000000"/>
                <w:sz w:val="22"/>
                <w:szCs w:val="22"/>
              </w:rPr>
              <w:t>†</w:t>
            </w:r>
          </w:p>
        </w:tc>
      </w:tr>
      <w:tr w:rsidR="00BE500F" w14:paraId="4F96C6C2" w14:textId="77777777">
        <w:trPr>
          <w:cantSplit/>
          <w:jc w:val="center"/>
        </w:trPr>
        <w:tc>
          <w:tcPr>
            <w:tcW w:w="2160" w:type="dxa"/>
            <w:shd w:val="clear" w:color="auto" w:fill="FFFFFF"/>
            <w:tcMar>
              <w:top w:w="0" w:type="dxa"/>
              <w:left w:w="0" w:type="dxa"/>
              <w:bottom w:w="0" w:type="dxa"/>
              <w:right w:w="0" w:type="dxa"/>
            </w:tcMar>
          </w:tcPr>
          <w:p w14:paraId="2B84CC9E" w14:textId="77777777" w:rsidR="00BE500F" w:rsidRDefault="00BE500F">
            <w:pPr>
              <w:spacing w:after="0"/>
            </w:pPr>
          </w:p>
        </w:tc>
        <w:tc>
          <w:tcPr>
            <w:tcW w:w="2160" w:type="dxa"/>
            <w:tcBorders>
              <w:bottom w:val="single" w:sz="3" w:space="0" w:color="000000"/>
            </w:tcBorders>
            <w:shd w:val="clear" w:color="auto" w:fill="FFFFFF"/>
            <w:tcMar>
              <w:top w:w="0" w:type="dxa"/>
              <w:left w:w="0" w:type="dxa"/>
              <w:bottom w:w="0" w:type="dxa"/>
              <w:right w:w="0" w:type="dxa"/>
            </w:tcMar>
          </w:tcPr>
          <w:p w14:paraId="20AA8CB0" w14:textId="77777777" w:rsidR="00BE500F" w:rsidRDefault="00000000">
            <w:pPr>
              <w:spacing w:after="0"/>
              <w:jc w:val="right"/>
            </w:pPr>
            <w:r>
              <w:rPr>
                <w:rFonts w:ascii="Times New Roman" w:eastAsia="Helvetica" w:hAnsi="Helvetica" w:cs="Helvetica"/>
                <w:color w:val="000000"/>
                <w:sz w:val="22"/>
                <w:szCs w:val="22"/>
              </w:rPr>
              <w:t xml:space="preserve">(0.093)   </w:t>
            </w:r>
          </w:p>
        </w:tc>
        <w:tc>
          <w:tcPr>
            <w:tcW w:w="2160" w:type="dxa"/>
            <w:tcBorders>
              <w:bottom w:val="single" w:sz="3" w:space="0" w:color="000000"/>
            </w:tcBorders>
            <w:shd w:val="clear" w:color="auto" w:fill="FFFFFF"/>
            <w:tcMar>
              <w:top w:w="0" w:type="dxa"/>
              <w:left w:w="0" w:type="dxa"/>
              <w:bottom w:w="0" w:type="dxa"/>
              <w:right w:w="0" w:type="dxa"/>
            </w:tcMar>
          </w:tcPr>
          <w:p w14:paraId="49E3F3C2" w14:textId="77777777" w:rsidR="00BE500F" w:rsidRDefault="00000000">
            <w:pPr>
              <w:spacing w:after="0"/>
              <w:jc w:val="right"/>
            </w:pPr>
            <w:r>
              <w:rPr>
                <w:rFonts w:ascii="Times New Roman" w:eastAsia="Helvetica" w:hAnsi="Helvetica" w:cs="Helvetica"/>
                <w:color w:val="000000"/>
                <w:sz w:val="22"/>
                <w:szCs w:val="22"/>
              </w:rPr>
              <w:t xml:space="preserve">(0.174)   </w:t>
            </w:r>
          </w:p>
        </w:tc>
        <w:tc>
          <w:tcPr>
            <w:tcW w:w="2160" w:type="dxa"/>
            <w:tcBorders>
              <w:bottom w:val="single" w:sz="3" w:space="0" w:color="000000"/>
            </w:tcBorders>
            <w:shd w:val="clear" w:color="auto" w:fill="FFFFFF"/>
            <w:tcMar>
              <w:top w:w="0" w:type="dxa"/>
              <w:left w:w="0" w:type="dxa"/>
              <w:bottom w:w="0" w:type="dxa"/>
              <w:right w:w="0" w:type="dxa"/>
            </w:tcMar>
          </w:tcPr>
          <w:p w14:paraId="490B3FAE" w14:textId="77777777" w:rsidR="00BE500F" w:rsidRDefault="00000000">
            <w:pPr>
              <w:spacing w:after="0"/>
              <w:jc w:val="right"/>
            </w:pPr>
            <w:r>
              <w:rPr>
                <w:rFonts w:ascii="Times New Roman" w:eastAsia="Helvetica" w:hAnsi="Helvetica" w:cs="Helvetica"/>
                <w:color w:val="000000"/>
                <w:sz w:val="22"/>
                <w:szCs w:val="22"/>
              </w:rPr>
              <w:t xml:space="preserve">(0.287) </w:t>
            </w:r>
          </w:p>
        </w:tc>
      </w:tr>
      <w:tr w:rsidR="00BE500F" w14:paraId="7111B4A3"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6653E46E" w14:textId="77777777" w:rsidR="00BE500F" w:rsidRDefault="00000000">
            <w:pPr>
              <w:spacing w:after="0"/>
            </w:pPr>
            <w:r>
              <w:rPr>
                <w:rFonts w:ascii="Times New Roman" w:eastAsia="Helvetica" w:hAnsi="Helvetica" w:cs="Helvetica"/>
                <w:color w:val="000000"/>
                <w:sz w:val="22"/>
                <w:szCs w:val="22"/>
              </w:rPr>
              <w:t>Observations</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3B6F35A4" w14:textId="77777777" w:rsidR="00BE500F" w:rsidRDefault="00000000">
            <w:pPr>
              <w:spacing w:after="0"/>
              <w:jc w:val="right"/>
            </w:pPr>
            <w:r>
              <w:rPr>
                <w:rFonts w:ascii="Times New Roman" w:eastAsia="Helvetica" w:hAnsi="Helvetica" w:cs="Helvetica"/>
                <w:color w:val="000000"/>
                <w:sz w:val="22"/>
                <w:szCs w:val="22"/>
              </w:rPr>
              <w:t xml:space="preserve">600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34699AB6" w14:textId="77777777" w:rsidR="00BE500F" w:rsidRDefault="00000000">
            <w:pPr>
              <w:spacing w:after="0"/>
              <w:jc w:val="right"/>
            </w:pPr>
            <w:r>
              <w:rPr>
                <w:rFonts w:ascii="Times New Roman" w:eastAsia="Helvetica" w:hAnsi="Helvetica" w:cs="Helvetica"/>
                <w:color w:val="000000"/>
                <w:sz w:val="22"/>
                <w:szCs w:val="22"/>
              </w:rPr>
              <w:t xml:space="preserve">600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5261128E" w14:textId="77777777" w:rsidR="00BE500F" w:rsidRDefault="00000000">
            <w:pPr>
              <w:spacing w:after="0"/>
              <w:jc w:val="right"/>
            </w:pPr>
            <w:r>
              <w:rPr>
                <w:rFonts w:ascii="Times New Roman" w:eastAsia="Helvetica" w:hAnsi="Helvetica" w:cs="Helvetica"/>
                <w:color w:val="000000"/>
                <w:sz w:val="22"/>
                <w:szCs w:val="22"/>
              </w:rPr>
              <w:t xml:space="preserve">600      </w:t>
            </w:r>
          </w:p>
        </w:tc>
      </w:tr>
      <w:tr w:rsidR="00BE500F" w14:paraId="2B6B7F15"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4F4BD65D" w14:textId="77777777" w:rsidR="00BE500F" w:rsidRDefault="00000000">
            <w:pPr>
              <w:spacing w:after="0"/>
            </w:pPr>
            <w:r>
              <w:rPr>
                <w:rFonts w:ascii="Times New Roman" w:eastAsia="Helvetica" w:hAnsi="Helvetica" w:cs="Helvetica"/>
                <w:color w:val="000000"/>
                <w:sz w:val="22"/>
                <w:szCs w:val="22"/>
              </w:rPr>
              <w:t xml:space="preserve"> *** p &lt; 0.001;  ** p &lt; 0.01;  * p &lt; 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14:paraId="55F7258A" w14:textId="77777777" w:rsidR="00BE500F" w:rsidRDefault="00000000">
      <w:r>
        <w:br w:type="page"/>
      </w:r>
    </w:p>
    <w:p w14:paraId="056801F8" w14:textId="77777777" w:rsidR="00BE500F" w:rsidRDefault="00000000">
      <w:pPr>
        <w:pStyle w:val="TableCaption"/>
      </w:pPr>
      <w:r>
        <w:t xml:space="preserve">Table 3: </w:t>
      </w:r>
      <w:bookmarkStart w:id="121" w:name="tab:DD-mod"/>
      <w:r>
        <w:t>Difference-in-difference (DD), quasi-Poisson regressions of counts of individuals in                          mixed-citizenship, same-sex couples, stratifying the sample by policy environment at year of immigration</w:t>
      </w:r>
      <w:bookmarkEnd w:id="121"/>
    </w:p>
    <w:tbl>
      <w:tblPr>
        <w:tblW w:w="0" w:type="auto"/>
        <w:jc w:val="center"/>
        <w:tblLayout w:type="fixed"/>
        <w:tblLook w:val="0420" w:firstRow="1" w:lastRow="0" w:firstColumn="0" w:lastColumn="0" w:noHBand="0" w:noVBand="1"/>
      </w:tblPr>
      <w:tblGrid>
        <w:gridCol w:w="2160"/>
        <w:gridCol w:w="2160"/>
        <w:gridCol w:w="2160"/>
        <w:gridCol w:w="2160"/>
      </w:tblGrid>
      <w:tr w:rsidR="00BE500F" w14:paraId="1F142499" w14:textId="77777777">
        <w:trPr>
          <w:cantSplit/>
          <w:jc w:val="center"/>
        </w:trPr>
        <w:tc>
          <w:tcPr>
            <w:tcW w:w="2160" w:type="dxa"/>
            <w:tcBorders>
              <w:top w:val="single" w:sz="6" w:space="0" w:color="000000"/>
            </w:tcBorders>
            <w:shd w:val="clear" w:color="auto" w:fill="FFFFFF"/>
            <w:tcMar>
              <w:top w:w="0" w:type="dxa"/>
              <w:left w:w="0" w:type="dxa"/>
              <w:bottom w:w="0" w:type="dxa"/>
              <w:right w:w="0" w:type="dxa"/>
            </w:tcMar>
          </w:tcPr>
          <w:p w14:paraId="02202A9D" w14:textId="77777777" w:rsidR="00BE500F" w:rsidRDefault="00BE500F">
            <w:pPr>
              <w:spacing w:after="0"/>
              <w:jc w:val="center"/>
            </w:pP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270F8042" w14:textId="77777777" w:rsidR="00BE500F" w:rsidRDefault="00000000">
            <w:pPr>
              <w:spacing w:after="0"/>
              <w:jc w:val="center"/>
            </w:pPr>
            <w:r>
              <w:rPr>
                <w:rFonts w:ascii="Times New Roman" w:eastAsia="Helvetica" w:hAnsi="Helvetica" w:cs="Helvetica"/>
                <w:color w:val="000000"/>
                <w:sz w:val="22"/>
                <w:szCs w:val="22"/>
              </w:rPr>
              <w:t>Full sample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18B838CD" w14:textId="77777777" w:rsidR="00BE500F" w:rsidRDefault="00000000">
            <w:pPr>
              <w:spacing w:after="0"/>
              <w:jc w:val="center"/>
            </w:pPr>
            <w:r>
              <w:rPr>
                <w:rFonts w:ascii="Times New Roman" w:eastAsia="Helvetica" w:hAnsi="Helvetica" w:cs="Helvetica"/>
                <w:color w:val="000000"/>
                <w:sz w:val="22"/>
                <w:szCs w:val="22"/>
              </w:rPr>
              <w:t>Progressive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6E67CC43" w14:textId="77777777" w:rsidR="00BE500F" w:rsidRDefault="00000000">
            <w:pPr>
              <w:spacing w:after="0"/>
              <w:jc w:val="center"/>
            </w:pPr>
            <w:r>
              <w:rPr>
                <w:rFonts w:ascii="Times New Roman" w:eastAsia="Helvetica" w:hAnsi="Helvetica" w:cs="Helvetica"/>
                <w:color w:val="000000"/>
                <w:sz w:val="22"/>
                <w:szCs w:val="22"/>
              </w:rPr>
              <w:t>Regressive</w:t>
            </w:r>
          </w:p>
        </w:tc>
      </w:tr>
      <w:tr w:rsidR="00BE500F" w14:paraId="1909C37E" w14:textId="77777777">
        <w:trPr>
          <w:cantSplit/>
          <w:jc w:val="center"/>
        </w:trPr>
        <w:tc>
          <w:tcPr>
            <w:tcW w:w="2160" w:type="dxa"/>
            <w:shd w:val="clear" w:color="auto" w:fill="FFFFFF"/>
            <w:tcMar>
              <w:top w:w="0" w:type="dxa"/>
              <w:left w:w="0" w:type="dxa"/>
              <w:bottom w:w="0" w:type="dxa"/>
              <w:right w:w="0" w:type="dxa"/>
            </w:tcMar>
          </w:tcPr>
          <w:p w14:paraId="62CCB79B" w14:textId="77777777" w:rsidR="00BE500F" w:rsidRDefault="00000000">
            <w:pPr>
              <w:spacing w:after="0"/>
            </w:pPr>
            <w:r>
              <w:rPr>
                <w:rFonts w:ascii="Times New Roman" w:eastAsia="Helvetica" w:hAnsi="Helvetica" w:cs="Helvetica"/>
                <w:color w:val="000000"/>
                <w:sz w:val="22"/>
                <w:szCs w:val="22"/>
              </w:rPr>
              <w:t xml:space="preserve">Post-2013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Mixed-citizenship</w:t>
            </w:r>
          </w:p>
        </w:tc>
        <w:tc>
          <w:tcPr>
            <w:tcW w:w="2160" w:type="dxa"/>
            <w:tcBorders>
              <w:top w:val="single" w:sz="3" w:space="0" w:color="000000"/>
            </w:tcBorders>
            <w:shd w:val="clear" w:color="auto" w:fill="FFFFFF"/>
            <w:tcMar>
              <w:top w:w="0" w:type="dxa"/>
              <w:left w:w="0" w:type="dxa"/>
              <w:bottom w:w="0" w:type="dxa"/>
              <w:right w:w="0" w:type="dxa"/>
            </w:tcMar>
          </w:tcPr>
          <w:p w14:paraId="62AC8DB9" w14:textId="77777777" w:rsidR="00BE500F" w:rsidRDefault="00000000">
            <w:pPr>
              <w:spacing w:after="0"/>
              <w:jc w:val="right"/>
            </w:pPr>
            <w:r>
              <w:rPr>
                <w:rFonts w:ascii="Times New Roman" w:eastAsia="Helvetica" w:hAnsi="Helvetica" w:cs="Helvetica"/>
                <w:color w:val="000000"/>
                <w:sz w:val="22"/>
                <w:szCs w:val="22"/>
              </w:rPr>
              <w:t>0.428 ***</w:t>
            </w:r>
          </w:p>
        </w:tc>
        <w:tc>
          <w:tcPr>
            <w:tcW w:w="2160" w:type="dxa"/>
            <w:tcBorders>
              <w:top w:val="single" w:sz="3" w:space="0" w:color="000000"/>
            </w:tcBorders>
            <w:shd w:val="clear" w:color="auto" w:fill="FFFFFF"/>
            <w:tcMar>
              <w:top w:w="0" w:type="dxa"/>
              <w:left w:w="0" w:type="dxa"/>
              <w:bottom w:w="0" w:type="dxa"/>
              <w:right w:w="0" w:type="dxa"/>
            </w:tcMar>
          </w:tcPr>
          <w:p w14:paraId="10C5D8F0" w14:textId="77777777" w:rsidR="00BE500F" w:rsidRDefault="00000000">
            <w:pPr>
              <w:spacing w:after="0"/>
              <w:jc w:val="right"/>
            </w:pPr>
            <w:r>
              <w:rPr>
                <w:rFonts w:ascii="Times New Roman" w:eastAsia="Helvetica" w:hAnsi="Helvetica" w:cs="Helvetica"/>
                <w:color w:val="000000"/>
                <w:sz w:val="22"/>
                <w:szCs w:val="22"/>
              </w:rPr>
              <w:t>1.064 ***</w:t>
            </w:r>
          </w:p>
        </w:tc>
        <w:tc>
          <w:tcPr>
            <w:tcW w:w="2160" w:type="dxa"/>
            <w:tcBorders>
              <w:top w:val="single" w:sz="3" w:space="0" w:color="000000"/>
            </w:tcBorders>
            <w:shd w:val="clear" w:color="auto" w:fill="FFFFFF"/>
            <w:tcMar>
              <w:top w:w="0" w:type="dxa"/>
              <w:left w:w="0" w:type="dxa"/>
              <w:bottom w:w="0" w:type="dxa"/>
              <w:right w:w="0" w:type="dxa"/>
            </w:tcMar>
          </w:tcPr>
          <w:p w14:paraId="112023CA" w14:textId="77777777" w:rsidR="00BE500F" w:rsidRDefault="00000000">
            <w:pPr>
              <w:spacing w:after="0"/>
              <w:jc w:val="right"/>
            </w:pPr>
            <w:r>
              <w:rPr>
                <w:rFonts w:ascii="Times New Roman" w:eastAsia="Helvetica" w:hAnsi="Helvetica" w:cs="Helvetica"/>
                <w:color w:val="000000"/>
                <w:sz w:val="22"/>
                <w:szCs w:val="22"/>
              </w:rPr>
              <w:t xml:space="preserve">0.279 *  </w:t>
            </w:r>
          </w:p>
        </w:tc>
      </w:tr>
      <w:tr w:rsidR="00BE500F" w14:paraId="24A9E429" w14:textId="77777777">
        <w:trPr>
          <w:cantSplit/>
          <w:jc w:val="center"/>
        </w:trPr>
        <w:tc>
          <w:tcPr>
            <w:tcW w:w="2160" w:type="dxa"/>
            <w:shd w:val="clear" w:color="auto" w:fill="FFFFFF"/>
            <w:tcMar>
              <w:top w:w="0" w:type="dxa"/>
              <w:left w:w="0" w:type="dxa"/>
              <w:bottom w:w="0" w:type="dxa"/>
              <w:right w:w="0" w:type="dxa"/>
            </w:tcMar>
          </w:tcPr>
          <w:p w14:paraId="269D7AB6" w14:textId="77777777" w:rsidR="00BE500F" w:rsidRDefault="00BE500F">
            <w:pPr>
              <w:spacing w:after="0"/>
            </w:pPr>
          </w:p>
        </w:tc>
        <w:tc>
          <w:tcPr>
            <w:tcW w:w="2160" w:type="dxa"/>
            <w:shd w:val="clear" w:color="auto" w:fill="FFFFFF"/>
            <w:tcMar>
              <w:top w:w="0" w:type="dxa"/>
              <w:left w:w="0" w:type="dxa"/>
              <w:bottom w:w="0" w:type="dxa"/>
              <w:right w:w="0" w:type="dxa"/>
            </w:tcMar>
          </w:tcPr>
          <w:p w14:paraId="02796BF7" w14:textId="77777777" w:rsidR="00BE500F" w:rsidRDefault="00000000">
            <w:pPr>
              <w:spacing w:after="0"/>
              <w:jc w:val="right"/>
            </w:pPr>
            <w:r>
              <w:rPr>
                <w:rFonts w:ascii="Times New Roman" w:eastAsia="Helvetica" w:hAnsi="Helvetica" w:cs="Helvetica"/>
                <w:color w:val="000000"/>
                <w:sz w:val="22"/>
                <w:szCs w:val="22"/>
              </w:rPr>
              <w:t xml:space="preserve">(0.050)   </w:t>
            </w:r>
          </w:p>
        </w:tc>
        <w:tc>
          <w:tcPr>
            <w:tcW w:w="2160" w:type="dxa"/>
            <w:shd w:val="clear" w:color="auto" w:fill="FFFFFF"/>
            <w:tcMar>
              <w:top w:w="0" w:type="dxa"/>
              <w:left w:w="0" w:type="dxa"/>
              <w:bottom w:w="0" w:type="dxa"/>
              <w:right w:w="0" w:type="dxa"/>
            </w:tcMar>
          </w:tcPr>
          <w:p w14:paraId="072FA007" w14:textId="77777777" w:rsidR="00BE500F" w:rsidRDefault="00000000">
            <w:pPr>
              <w:spacing w:after="0"/>
              <w:jc w:val="right"/>
            </w:pPr>
            <w:r>
              <w:rPr>
                <w:rFonts w:ascii="Times New Roman" w:eastAsia="Helvetica" w:hAnsi="Helvetica" w:cs="Helvetica"/>
                <w:color w:val="000000"/>
                <w:sz w:val="22"/>
                <w:szCs w:val="22"/>
              </w:rPr>
              <w:t xml:space="preserve">(0.075)   </w:t>
            </w:r>
          </w:p>
        </w:tc>
        <w:tc>
          <w:tcPr>
            <w:tcW w:w="2160" w:type="dxa"/>
            <w:shd w:val="clear" w:color="auto" w:fill="FFFFFF"/>
            <w:tcMar>
              <w:top w:w="0" w:type="dxa"/>
              <w:left w:w="0" w:type="dxa"/>
              <w:bottom w:w="0" w:type="dxa"/>
              <w:right w:w="0" w:type="dxa"/>
            </w:tcMar>
          </w:tcPr>
          <w:p w14:paraId="491ACFFC" w14:textId="77777777" w:rsidR="00BE500F" w:rsidRDefault="00000000">
            <w:pPr>
              <w:spacing w:after="0"/>
              <w:jc w:val="right"/>
            </w:pPr>
            <w:r>
              <w:rPr>
                <w:rFonts w:ascii="Times New Roman" w:eastAsia="Helvetica" w:hAnsi="Helvetica" w:cs="Helvetica"/>
                <w:color w:val="000000"/>
                <w:sz w:val="22"/>
                <w:szCs w:val="22"/>
              </w:rPr>
              <w:t xml:space="preserve">(0.135)   </w:t>
            </w:r>
          </w:p>
        </w:tc>
      </w:tr>
      <w:tr w:rsidR="00BE500F" w14:paraId="27D07AD5" w14:textId="77777777">
        <w:trPr>
          <w:cantSplit/>
          <w:jc w:val="center"/>
        </w:trPr>
        <w:tc>
          <w:tcPr>
            <w:tcW w:w="2160" w:type="dxa"/>
            <w:shd w:val="clear" w:color="auto" w:fill="FFFFFF"/>
            <w:tcMar>
              <w:top w:w="0" w:type="dxa"/>
              <w:left w:w="0" w:type="dxa"/>
              <w:bottom w:w="0" w:type="dxa"/>
              <w:right w:w="0" w:type="dxa"/>
            </w:tcMar>
          </w:tcPr>
          <w:p w14:paraId="24A2B97C" w14:textId="77777777" w:rsidR="00BE500F" w:rsidRDefault="00000000">
            <w:pPr>
              <w:spacing w:after="0"/>
            </w:pPr>
            <w:r>
              <w:rPr>
                <w:rFonts w:ascii="Times New Roman" w:eastAsia="Helvetica" w:hAnsi="Helvetica" w:cs="Helvetica"/>
                <w:color w:val="000000"/>
                <w:sz w:val="22"/>
                <w:szCs w:val="22"/>
              </w:rPr>
              <w:t>Post-2013</w:t>
            </w:r>
          </w:p>
        </w:tc>
        <w:tc>
          <w:tcPr>
            <w:tcW w:w="2160" w:type="dxa"/>
            <w:shd w:val="clear" w:color="auto" w:fill="FFFFFF"/>
            <w:tcMar>
              <w:top w:w="0" w:type="dxa"/>
              <w:left w:w="0" w:type="dxa"/>
              <w:bottom w:w="0" w:type="dxa"/>
              <w:right w:w="0" w:type="dxa"/>
            </w:tcMar>
          </w:tcPr>
          <w:p w14:paraId="11B2938E" w14:textId="77777777" w:rsidR="00BE500F" w:rsidRDefault="00000000">
            <w:pPr>
              <w:spacing w:after="0"/>
              <w:jc w:val="right"/>
            </w:pPr>
            <w:r>
              <w:rPr>
                <w:rFonts w:ascii="Times New Roman" w:eastAsia="Helvetica" w:hAnsi="Helvetica" w:cs="Helvetica"/>
                <w:color w:val="000000"/>
                <w:sz w:val="22"/>
                <w:szCs w:val="22"/>
              </w:rPr>
              <w:t>0.525 ***</w:t>
            </w:r>
          </w:p>
        </w:tc>
        <w:tc>
          <w:tcPr>
            <w:tcW w:w="2160" w:type="dxa"/>
            <w:shd w:val="clear" w:color="auto" w:fill="FFFFFF"/>
            <w:tcMar>
              <w:top w:w="0" w:type="dxa"/>
              <w:left w:w="0" w:type="dxa"/>
              <w:bottom w:w="0" w:type="dxa"/>
              <w:right w:w="0" w:type="dxa"/>
            </w:tcMar>
          </w:tcPr>
          <w:p w14:paraId="0AD36955" w14:textId="77777777" w:rsidR="00BE500F" w:rsidRDefault="00000000">
            <w:pPr>
              <w:spacing w:after="0"/>
              <w:jc w:val="right"/>
            </w:pPr>
            <w:r>
              <w:rPr>
                <w:rFonts w:ascii="Times New Roman" w:eastAsia="Helvetica" w:hAnsi="Helvetica" w:cs="Helvetica"/>
                <w:color w:val="000000"/>
                <w:sz w:val="22"/>
                <w:szCs w:val="22"/>
              </w:rPr>
              <w:t>0.520 ***</w:t>
            </w:r>
          </w:p>
        </w:tc>
        <w:tc>
          <w:tcPr>
            <w:tcW w:w="2160" w:type="dxa"/>
            <w:shd w:val="clear" w:color="auto" w:fill="FFFFFF"/>
            <w:tcMar>
              <w:top w:w="0" w:type="dxa"/>
              <w:left w:w="0" w:type="dxa"/>
              <w:bottom w:w="0" w:type="dxa"/>
              <w:right w:w="0" w:type="dxa"/>
            </w:tcMar>
          </w:tcPr>
          <w:p w14:paraId="6B7CA4F0" w14:textId="77777777" w:rsidR="00BE500F" w:rsidRDefault="00000000">
            <w:pPr>
              <w:spacing w:after="0"/>
              <w:jc w:val="right"/>
            </w:pPr>
            <w:r>
              <w:rPr>
                <w:rFonts w:ascii="Times New Roman" w:eastAsia="Helvetica" w:hAnsi="Helvetica" w:cs="Helvetica"/>
                <w:color w:val="000000"/>
                <w:sz w:val="22"/>
                <w:szCs w:val="22"/>
              </w:rPr>
              <w:t>0.505 ***</w:t>
            </w:r>
          </w:p>
        </w:tc>
      </w:tr>
      <w:tr w:rsidR="00BE500F" w14:paraId="0EBC5D00" w14:textId="77777777">
        <w:trPr>
          <w:cantSplit/>
          <w:jc w:val="center"/>
        </w:trPr>
        <w:tc>
          <w:tcPr>
            <w:tcW w:w="2160" w:type="dxa"/>
            <w:shd w:val="clear" w:color="auto" w:fill="FFFFFF"/>
            <w:tcMar>
              <w:top w:w="0" w:type="dxa"/>
              <w:left w:w="0" w:type="dxa"/>
              <w:bottom w:w="0" w:type="dxa"/>
              <w:right w:w="0" w:type="dxa"/>
            </w:tcMar>
          </w:tcPr>
          <w:p w14:paraId="040509BC" w14:textId="77777777" w:rsidR="00BE500F" w:rsidRDefault="00BE500F">
            <w:pPr>
              <w:spacing w:after="0"/>
            </w:pPr>
          </w:p>
        </w:tc>
        <w:tc>
          <w:tcPr>
            <w:tcW w:w="2160" w:type="dxa"/>
            <w:tcBorders>
              <w:bottom w:val="single" w:sz="3" w:space="0" w:color="000000"/>
            </w:tcBorders>
            <w:shd w:val="clear" w:color="auto" w:fill="FFFFFF"/>
            <w:tcMar>
              <w:top w:w="0" w:type="dxa"/>
              <w:left w:w="0" w:type="dxa"/>
              <w:bottom w:w="0" w:type="dxa"/>
              <w:right w:w="0" w:type="dxa"/>
            </w:tcMar>
          </w:tcPr>
          <w:p w14:paraId="5053284B" w14:textId="77777777" w:rsidR="00BE500F" w:rsidRDefault="00000000">
            <w:pPr>
              <w:spacing w:after="0"/>
              <w:jc w:val="right"/>
            </w:pPr>
            <w:r>
              <w:rPr>
                <w:rFonts w:ascii="Times New Roman" w:eastAsia="Helvetica" w:hAnsi="Helvetica" w:cs="Helvetica"/>
                <w:color w:val="000000"/>
                <w:sz w:val="22"/>
                <w:szCs w:val="22"/>
              </w:rPr>
              <w:t xml:space="preserve">(0.038)   </w:t>
            </w:r>
          </w:p>
        </w:tc>
        <w:tc>
          <w:tcPr>
            <w:tcW w:w="2160" w:type="dxa"/>
            <w:tcBorders>
              <w:bottom w:val="single" w:sz="3" w:space="0" w:color="000000"/>
            </w:tcBorders>
            <w:shd w:val="clear" w:color="auto" w:fill="FFFFFF"/>
            <w:tcMar>
              <w:top w:w="0" w:type="dxa"/>
              <w:left w:w="0" w:type="dxa"/>
              <w:bottom w:w="0" w:type="dxa"/>
              <w:right w:w="0" w:type="dxa"/>
            </w:tcMar>
          </w:tcPr>
          <w:p w14:paraId="213DAB87" w14:textId="77777777" w:rsidR="00BE500F" w:rsidRDefault="00000000">
            <w:pPr>
              <w:spacing w:after="0"/>
              <w:jc w:val="right"/>
            </w:pPr>
            <w:r>
              <w:rPr>
                <w:rFonts w:ascii="Times New Roman" w:eastAsia="Helvetica" w:hAnsi="Helvetica" w:cs="Helvetica"/>
                <w:color w:val="000000"/>
                <w:sz w:val="22"/>
                <w:szCs w:val="22"/>
              </w:rPr>
              <w:t xml:space="preserve">(0.039)   </w:t>
            </w:r>
          </w:p>
        </w:tc>
        <w:tc>
          <w:tcPr>
            <w:tcW w:w="2160" w:type="dxa"/>
            <w:tcBorders>
              <w:bottom w:val="single" w:sz="3" w:space="0" w:color="000000"/>
            </w:tcBorders>
            <w:shd w:val="clear" w:color="auto" w:fill="FFFFFF"/>
            <w:tcMar>
              <w:top w:w="0" w:type="dxa"/>
              <w:left w:w="0" w:type="dxa"/>
              <w:bottom w:w="0" w:type="dxa"/>
              <w:right w:w="0" w:type="dxa"/>
            </w:tcMar>
          </w:tcPr>
          <w:p w14:paraId="55EA0B32" w14:textId="77777777" w:rsidR="00BE500F" w:rsidRDefault="00000000">
            <w:pPr>
              <w:spacing w:after="0"/>
              <w:jc w:val="right"/>
            </w:pPr>
            <w:r>
              <w:rPr>
                <w:rFonts w:ascii="Times New Roman" w:eastAsia="Helvetica" w:hAnsi="Helvetica" w:cs="Helvetica"/>
                <w:color w:val="000000"/>
                <w:sz w:val="22"/>
                <w:szCs w:val="22"/>
              </w:rPr>
              <w:t xml:space="preserve">(0.040)   </w:t>
            </w:r>
          </w:p>
        </w:tc>
      </w:tr>
      <w:tr w:rsidR="00BE500F" w14:paraId="43868F56"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6B4888B0" w14:textId="77777777" w:rsidR="00BE500F" w:rsidRDefault="00000000">
            <w:pPr>
              <w:spacing w:after="0"/>
            </w:pPr>
            <w:r>
              <w:rPr>
                <w:rFonts w:ascii="Times New Roman" w:eastAsia="Helvetica" w:hAnsi="Helvetica" w:cs="Helvetica"/>
                <w:color w:val="000000"/>
                <w:sz w:val="22"/>
                <w:szCs w:val="22"/>
              </w:rPr>
              <w:t>Observations</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58B0B0E9" w14:textId="77777777" w:rsidR="00BE500F" w:rsidRDefault="00000000">
            <w:pPr>
              <w:spacing w:after="0"/>
              <w:jc w:val="right"/>
            </w:pPr>
            <w:r>
              <w:rPr>
                <w:rFonts w:ascii="Times New Roman" w:eastAsia="Helvetica" w:hAnsi="Helvetica" w:cs="Helvetica"/>
                <w:color w:val="000000"/>
                <w:sz w:val="22"/>
                <w:szCs w:val="22"/>
              </w:rPr>
              <w:t xml:space="preserve">1200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0D7FC6EB" w14:textId="77777777" w:rsidR="00BE500F" w:rsidRDefault="00000000">
            <w:pPr>
              <w:spacing w:after="0"/>
              <w:jc w:val="right"/>
            </w:pPr>
            <w:r>
              <w:rPr>
                <w:rFonts w:ascii="Times New Roman" w:eastAsia="Helvetica" w:hAnsi="Helvetica" w:cs="Helvetica"/>
                <w:color w:val="000000"/>
                <w:sz w:val="22"/>
                <w:szCs w:val="22"/>
              </w:rPr>
              <w:t xml:space="preserve">1200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79FEEAE7" w14:textId="77777777" w:rsidR="00BE500F" w:rsidRDefault="00000000">
            <w:pPr>
              <w:spacing w:after="0"/>
              <w:jc w:val="right"/>
            </w:pPr>
            <w:r>
              <w:rPr>
                <w:rFonts w:ascii="Times New Roman" w:eastAsia="Helvetica" w:hAnsi="Helvetica" w:cs="Helvetica"/>
                <w:color w:val="000000"/>
                <w:sz w:val="22"/>
                <w:szCs w:val="22"/>
              </w:rPr>
              <w:t xml:space="preserve">1200        </w:t>
            </w:r>
          </w:p>
        </w:tc>
      </w:tr>
      <w:tr w:rsidR="00BE500F" w14:paraId="53466093"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1C35B3FB" w14:textId="77777777" w:rsidR="00BE500F" w:rsidRDefault="00000000">
            <w:pPr>
              <w:spacing w:after="0"/>
            </w:pPr>
            <w:r>
              <w:rPr>
                <w:rFonts w:ascii="Times New Roman" w:eastAsia="Helvetica" w:hAnsi="Helvetica" w:cs="Helvetica"/>
                <w:color w:val="000000"/>
                <w:sz w:val="22"/>
                <w:szCs w:val="22"/>
              </w:rPr>
              <w:t xml:space="preserve"> *** p &lt; 0.001;  ** p &lt; 0.01;  * p &lt; 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14:paraId="4DF3D0AD" w14:textId="77777777" w:rsidR="00BE500F" w:rsidRDefault="00000000">
      <w:r>
        <w:br w:type="page"/>
      </w:r>
    </w:p>
    <w:p w14:paraId="1D995E8E" w14:textId="77777777" w:rsidR="00BE500F" w:rsidRDefault="00000000">
      <w:pPr>
        <w:pStyle w:val="TableCaption"/>
      </w:pPr>
      <w:r>
        <w:t xml:space="preserve">Table 4: </w:t>
      </w:r>
      <w:bookmarkStart w:id="122" w:name="tab:DDD-mod"/>
      <w:r>
        <w:t>Triple-differences (DDD), quasi-Poisson regressions of counts of                          individuals in mixed-citizenship, same-sex couples, stratifying the sample by policy environment at year of immigration</w:t>
      </w:r>
      <w:bookmarkEnd w:id="122"/>
    </w:p>
    <w:tbl>
      <w:tblPr>
        <w:tblW w:w="0" w:type="auto"/>
        <w:jc w:val="center"/>
        <w:tblLayout w:type="fixed"/>
        <w:tblLook w:val="0420" w:firstRow="1" w:lastRow="0" w:firstColumn="0" w:lastColumn="0" w:noHBand="0" w:noVBand="1"/>
      </w:tblPr>
      <w:tblGrid>
        <w:gridCol w:w="2160"/>
        <w:gridCol w:w="2160"/>
        <w:gridCol w:w="2160"/>
        <w:gridCol w:w="2160"/>
      </w:tblGrid>
      <w:tr w:rsidR="00BE500F" w14:paraId="2D8BE71F" w14:textId="77777777">
        <w:trPr>
          <w:cantSplit/>
          <w:jc w:val="center"/>
        </w:trPr>
        <w:tc>
          <w:tcPr>
            <w:tcW w:w="2160" w:type="dxa"/>
            <w:tcBorders>
              <w:top w:val="single" w:sz="6" w:space="0" w:color="000000"/>
            </w:tcBorders>
            <w:shd w:val="clear" w:color="auto" w:fill="FFFFFF"/>
            <w:tcMar>
              <w:top w:w="0" w:type="dxa"/>
              <w:left w:w="0" w:type="dxa"/>
              <w:bottom w:w="0" w:type="dxa"/>
              <w:right w:w="0" w:type="dxa"/>
            </w:tcMar>
          </w:tcPr>
          <w:p w14:paraId="1FCD4208" w14:textId="77777777" w:rsidR="00BE500F" w:rsidRDefault="00BE500F">
            <w:pPr>
              <w:spacing w:after="0"/>
              <w:jc w:val="center"/>
            </w:pP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206AFB95" w14:textId="77777777" w:rsidR="00BE500F" w:rsidRDefault="00000000">
            <w:pPr>
              <w:spacing w:after="0"/>
              <w:jc w:val="center"/>
            </w:pPr>
            <w:r>
              <w:rPr>
                <w:rFonts w:ascii="Times New Roman" w:eastAsia="Helvetica" w:hAnsi="Helvetica" w:cs="Helvetica"/>
                <w:color w:val="000000"/>
                <w:sz w:val="22"/>
                <w:szCs w:val="22"/>
              </w:rPr>
              <w:t>Full sample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43425254" w14:textId="77777777" w:rsidR="00BE500F" w:rsidRDefault="00000000">
            <w:pPr>
              <w:spacing w:after="0"/>
              <w:jc w:val="center"/>
            </w:pPr>
            <w:r>
              <w:rPr>
                <w:rFonts w:ascii="Times New Roman" w:eastAsia="Helvetica" w:hAnsi="Helvetica" w:cs="Helvetica"/>
                <w:color w:val="000000"/>
                <w:sz w:val="22"/>
                <w:szCs w:val="22"/>
              </w:rPr>
              <w:t>Progressive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625D3A21" w14:textId="77777777" w:rsidR="00BE500F" w:rsidRDefault="00000000">
            <w:pPr>
              <w:spacing w:after="0"/>
              <w:jc w:val="center"/>
            </w:pPr>
            <w:r>
              <w:rPr>
                <w:rFonts w:ascii="Times New Roman" w:eastAsia="Helvetica" w:hAnsi="Helvetica" w:cs="Helvetica"/>
                <w:color w:val="000000"/>
                <w:sz w:val="22"/>
                <w:szCs w:val="22"/>
              </w:rPr>
              <w:t>Regressive</w:t>
            </w:r>
          </w:p>
        </w:tc>
      </w:tr>
      <w:tr w:rsidR="00BE500F" w14:paraId="58A6D48F" w14:textId="77777777">
        <w:trPr>
          <w:cantSplit/>
          <w:jc w:val="center"/>
        </w:trPr>
        <w:tc>
          <w:tcPr>
            <w:tcW w:w="2160" w:type="dxa"/>
            <w:shd w:val="clear" w:color="auto" w:fill="FFFFFF"/>
            <w:tcMar>
              <w:top w:w="0" w:type="dxa"/>
              <w:left w:w="0" w:type="dxa"/>
              <w:bottom w:w="0" w:type="dxa"/>
              <w:right w:w="0" w:type="dxa"/>
            </w:tcMar>
          </w:tcPr>
          <w:p w14:paraId="6B2E4FA6" w14:textId="77777777" w:rsidR="00BE500F" w:rsidRDefault="00000000">
            <w:pPr>
              <w:spacing w:after="0"/>
            </w:pPr>
            <w:r>
              <w:rPr>
                <w:rFonts w:ascii="Times New Roman" w:eastAsia="Helvetica" w:hAnsi="Helvetica" w:cs="Helvetica"/>
                <w:color w:val="000000"/>
                <w:sz w:val="22"/>
                <w:szCs w:val="22"/>
              </w:rPr>
              <w:t xml:space="preserve">Post-2013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Same-sex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Mixed-citizenship</w:t>
            </w:r>
          </w:p>
        </w:tc>
        <w:tc>
          <w:tcPr>
            <w:tcW w:w="2160" w:type="dxa"/>
            <w:tcBorders>
              <w:top w:val="single" w:sz="3" w:space="0" w:color="000000"/>
            </w:tcBorders>
            <w:shd w:val="clear" w:color="auto" w:fill="FFFFFF"/>
            <w:tcMar>
              <w:top w:w="0" w:type="dxa"/>
              <w:left w:w="0" w:type="dxa"/>
              <w:bottom w:w="0" w:type="dxa"/>
              <w:right w:w="0" w:type="dxa"/>
            </w:tcMar>
          </w:tcPr>
          <w:p w14:paraId="6AB286C4" w14:textId="77777777" w:rsidR="00BE500F" w:rsidRDefault="00000000">
            <w:pPr>
              <w:spacing w:after="0"/>
              <w:jc w:val="right"/>
            </w:pPr>
            <w:r>
              <w:rPr>
                <w:rFonts w:ascii="Times New Roman" w:eastAsia="Helvetica" w:hAnsi="Helvetica" w:cs="Helvetica"/>
                <w:color w:val="000000"/>
                <w:sz w:val="22"/>
                <w:szCs w:val="22"/>
              </w:rPr>
              <w:t>0.322 ***</w:t>
            </w:r>
          </w:p>
        </w:tc>
        <w:tc>
          <w:tcPr>
            <w:tcW w:w="2160" w:type="dxa"/>
            <w:tcBorders>
              <w:top w:val="single" w:sz="3" w:space="0" w:color="000000"/>
            </w:tcBorders>
            <w:shd w:val="clear" w:color="auto" w:fill="FFFFFF"/>
            <w:tcMar>
              <w:top w:w="0" w:type="dxa"/>
              <w:left w:w="0" w:type="dxa"/>
              <w:bottom w:w="0" w:type="dxa"/>
              <w:right w:w="0" w:type="dxa"/>
            </w:tcMar>
          </w:tcPr>
          <w:p w14:paraId="5DE909F5" w14:textId="77777777" w:rsidR="00BE500F" w:rsidRDefault="00000000">
            <w:pPr>
              <w:spacing w:after="0"/>
              <w:jc w:val="right"/>
            </w:pPr>
            <w:r>
              <w:rPr>
                <w:rFonts w:ascii="Times New Roman" w:eastAsia="Helvetica" w:hAnsi="Helvetica" w:cs="Helvetica"/>
                <w:color w:val="000000"/>
                <w:sz w:val="22"/>
                <w:szCs w:val="22"/>
              </w:rPr>
              <w:t>0.515 ***</w:t>
            </w:r>
          </w:p>
        </w:tc>
        <w:tc>
          <w:tcPr>
            <w:tcW w:w="2160" w:type="dxa"/>
            <w:tcBorders>
              <w:top w:val="single" w:sz="3" w:space="0" w:color="000000"/>
            </w:tcBorders>
            <w:shd w:val="clear" w:color="auto" w:fill="FFFFFF"/>
            <w:tcMar>
              <w:top w:w="0" w:type="dxa"/>
              <w:left w:w="0" w:type="dxa"/>
              <w:bottom w:w="0" w:type="dxa"/>
              <w:right w:w="0" w:type="dxa"/>
            </w:tcMar>
          </w:tcPr>
          <w:p w14:paraId="502FE667" w14:textId="77777777" w:rsidR="00BE500F" w:rsidRDefault="00000000">
            <w:pPr>
              <w:spacing w:after="0"/>
              <w:jc w:val="right"/>
            </w:pPr>
            <w:r>
              <w:rPr>
                <w:rFonts w:ascii="Times New Roman" w:eastAsia="Helvetica" w:hAnsi="Helvetica" w:cs="Helvetica"/>
                <w:color w:val="000000"/>
                <w:sz w:val="22"/>
                <w:szCs w:val="22"/>
              </w:rPr>
              <w:t xml:space="preserve">0.207    </w:t>
            </w:r>
          </w:p>
        </w:tc>
      </w:tr>
      <w:tr w:rsidR="00BE500F" w14:paraId="58605A2F" w14:textId="77777777">
        <w:trPr>
          <w:cantSplit/>
          <w:jc w:val="center"/>
        </w:trPr>
        <w:tc>
          <w:tcPr>
            <w:tcW w:w="2160" w:type="dxa"/>
            <w:shd w:val="clear" w:color="auto" w:fill="FFFFFF"/>
            <w:tcMar>
              <w:top w:w="0" w:type="dxa"/>
              <w:left w:w="0" w:type="dxa"/>
              <w:bottom w:w="0" w:type="dxa"/>
              <w:right w:w="0" w:type="dxa"/>
            </w:tcMar>
          </w:tcPr>
          <w:p w14:paraId="1335554F" w14:textId="77777777" w:rsidR="00BE500F" w:rsidRDefault="00BE500F">
            <w:pPr>
              <w:spacing w:after="0"/>
            </w:pPr>
          </w:p>
        </w:tc>
        <w:tc>
          <w:tcPr>
            <w:tcW w:w="2160" w:type="dxa"/>
            <w:shd w:val="clear" w:color="auto" w:fill="FFFFFF"/>
            <w:tcMar>
              <w:top w:w="0" w:type="dxa"/>
              <w:left w:w="0" w:type="dxa"/>
              <w:bottom w:w="0" w:type="dxa"/>
              <w:right w:w="0" w:type="dxa"/>
            </w:tcMar>
          </w:tcPr>
          <w:p w14:paraId="001665A2" w14:textId="77777777" w:rsidR="00BE500F" w:rsidRDefault="00000000">
            <w:pPr>
              <w:spacing w:after="0"/>
              <w:jc w:val="right"/>
            </w:pPr>
            <w:r>
              <w:rPr>
                <w:rFonts w:ascii="Times New Roman" w:eastAsia="Helvetica" w:hAnsi="Helvetica" w:cs="Helvetica"/>
                <w:color w:val="000000"/>
                <w:sz w:val="22"/>
                <w:szCs w:val="22"/>
              </w:rPr>
              <w:t xml:space="preserve">(0.052)   </w:t>
            </w:r>
          </w:p>
        </w:tc>
        <w:tc>
          <w:tcPr>
            <w:tcW w:w="2160" w:type="dxa"/>
            <w:shd w:val="clear" w:color="auto" w:fill="FFFFFF"/>
            <w:tcMar>
              <w:top w:w="0" w:type="dxa"/>
              <w:left w:w="0" w:type="dxa"/>
              <w:bottom w:w="0" w:type="dxa"/>
              <w:right w:w="0" w:type="dxa"/>
            </w:tcMar>
          </w:tcPr>
          <w:p w14:paraId="7645B896" w14:textId="77777777" w:rsidR="00BE500F" w:rsidRDefault="00000000">
            <w:pPr>
              <w:spacing w:after="0"/>
              <w:jc w:val="right"/>
            </w:pPr>
            <w:r>
              <w:rPr>
                <w:rFonts w:ascii="Times New Roman" w:eastAsia="Helvetica" w:hAnsi="Helvetica" w:cs="Helvetica"/>
                <w:color w:val="000000"/>
                <w:sz w:val="22"/>
                <w:szCs w:val="22"/>
              </w:rPr>
              <w:t xml:space="preserve">(0.091)   </w:t>
            </w:r>
          </w:p>
        </w:tc>
        <w:tc>
          <w:tcPr>
            <w:tcW w:w="2160" w:type="dxa"/>
            <w:shd w:val="clear" w:color="auto" w:fill="FFFFFF"/>
            <w:tcMar>
              <w:top w:w="0" w:type="dxa"/>
              <w:left w:w="0" w:type="dxa"/>
              <w:bottom w:w="0" w:type="dxa"/>
              <w:right w:w="0" w:type="dxa"/>
            </w:tcMar>
          </w:tcPr>
          <w:p w14:paraId="6BC7504C" w14:textId="77777777" w:rsidR="00BE500F" w:rsidRDefault="00000000">
            <w:pPr>
              <w:spacing w:after="0"/>
              <w:jc w:val="right"/>
            </w:pPr>
            <w:r>
              <w:rPr>
                <w:rFonts w:ascii="Times New Roman" w:eastAsia="Helvetica" w:hAnsi="Helvetica" w:cs="Helvetica"/>
                <w:color w:val="000000"/>
                <w:sz w:val="22"/>
                <w:szCs w:val="22"/>
              </w:rPr>
              <w:t xml:space="preserve">(0.141)   </w:t>
            </w:r>
          </w:p>
        </w:tc>
      </w:tr>
      <w:tr w:rsidR="00BE500F" w14:paraId="591761EF" w14:textId="77777777">
        <w:trPr>
          <w:cantSplit/>
          <w:jc w:val="center"/>
        </w:trPr>
        <w:tc>
          <w:tcPr>
            <w:tcW w:w="2160" w:type="dxa"/>
            <w:shd w:val="clear" w:color="auto" w:fill="FFFFFF"/>
            <w:tcMar>
              <w:top w:w="0" w:type="dxa"/>
              <w:left w:w="0" w:type="dxa"/>
              <w:bottom w:w="0" w:type="dxa"/>
              <w:right w:w="0" w:type="dxa"/>
            </w:tcMar>
          </w:tcPr>
          <w:p w14:paraId="0370B08B" w14:textId="77777777" w:rsidR="00BE500F" w:rsidRDefault="00000000">
            <w:pPr>
              <w:spacing w:after="0"/>
            </w:pPr>
            <w:r>
              <w:rPr>
                <w:rFonts w:ascii="Times New Roman" w:eastAsia="Helvetica" w:hAnsi="Helvetica" w:cs="Helvetica"/>
                <w:color w:val="000000"/>
                <w:sz w:val="22"/>
                <w:szCs w:val="22"/>
              </w:rPr>
              <w:t xml:space="preserve">Post-2013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Same-sex</w:t>
            </w:r>
          </w:p>
        </w:tc>
        <w:tc>
          <w:tcPr>
            <w:tcW w:w="2160" w:type="dxa"/>
            <w:shd w:val="clear" w:color="auto" w:fill="FFFFFF"/>
            <w:tcMar>
              <w:top w:w="0" w:type="dxa"/>
              <w:left w:w="0" w:type="dxa"/>
              <w:bottom w:w="0" w:type="dxa"/>
              <w:right w:w="0" w:type="dxa"/>
            </w:tcMar>
          </w:tcPr>
          <w:p w14:paraId="15317474" w14:textId="77777777" w:rsidR="00BE500F" w:rsidRDefault="00000000">
            <w:pPr>
              <w:spacing w:after="0"/>
              <w:jc w:val="right"/>
            </w:pPr>
            <w:r>
              <w:rPr>
                <w:rFonts w:ascii="Times New Roman" w:eastAsia="Helvetica" w:hAnsi="Helvetica" w:cs="Helvetica"/>
                <w:color w:val="000000"/>
                <w:sz w:val="22"/>
                <w:szCs w:val="22"/>
              </w:rPr>
              <w:t>0.369 ***</w:t>
            </w:r>
          </w:p>
        </w:tc>
        <w:tc>
          <w:tcPr>
            <w:tcW w:w="2160" w:type="dxa"/>
            <w:shd w:val="clear" w:color="auto" w:fill="FFFFFF"/>
            <w:tcMar>
              <w:top w:w="0" w:type="dxa"/>
              <w:left w:w="0" w:type="dxa"/>
              <w:bottom w:w="0" w:type="dxa"/>
              <w:right w:w="0" w:type="dxa"/>
            </w:tcMar>
          </w:tcPr>
          <w:p w14:paraId="254D4336" w14:textId="77777777" w:rsidR="00BE500F" w:rsidRDefault="00000000">
            <w:pPr>
              <w:spacing w:after="0"/>
              <w:jc w:val="right"/>
            </w:pPr>
            <w:r>
              <w:rPr>
                <w:rFonts w:ascii="Times New Roman" w:eastAsia="Helvetica" w:hAnsi="Helvetica" w:cs="Helvetica"/>
                <w:color w:val="000000"/>
                <w:sz w:val="22"/>
                <w:szCs w:val="22"/>
              </w:rPr>
              <w:t>0.376 ***</w:t>
            </w:r>
          </w:p>
        </w:tc>
        <w:tc>
          <w:tcPr>
            <w:tcW w:w="2160" w:type="dxa"/>
            <w:shd w:val="clear" w:color="auto" w:fill="FFFFFF"/>
            <w:tcMar>
              <w:top w:w="0" w:type="dxa"/>
              <w:left w:w="0" w:type="dxa"/>
              <w:bottom w:w="0" w:type="dxa"/>
              <w:right w:w="0" w:type="dxa"/>
            </w:tcMar>
          </w:tcPr>
          <w:p w14:paraId="20182385" w14:textId="77777777" w:rsidR="00BE500F" w:rsidRDefault="00000000">
            <w:pPr>
              <w:spacing w:after="0"/>
              <w:jc w:val="right"/>
            </w:pPr>
            <w:r>
              <w:rPr>
                <w:rFonts w:ascii="Times New Roman" w:eastAsia="Helvetica" w:hAnsi="Helvetica" w:cs="Helvetica"/>
                <w:color w:val="000000"/>
                <w:sz w:val="22"/>
                <w:szCs w:val="22"/>
              </w:rPr>
              <w:t>0.376 ***</w:t>
            </w:r>
          </w:p>
        </w:tc>
      </w:tr>
      <w:tr w:rsidR="00BE500F" w14:paraId="512A896A" w14:textId="77777777">
        <w:trPr>
          <w:cantSplit/>
          <w:jc w:val="center"/>
        </w:trPr>
        <w:tc>
          <w:tcPr>
            <w:tcW w:w="2160" w:type="dxa"/>
            <w:shd w:val="clear" w:color="auto" w:fill="FFFFFF"/>
            <w:tcMar>
              <w:top w:w="0" w:type="dxa"/>
              <w:left w:w="0" w:type="dxa"/>
              <w:bottom w:w="0" w:type="dxa"/>
              <w:right w:w="0" w:type="dxa"/>
            </w:tcMar>
          </w:tcPr>
          <w:p w14:paraId="7114E5A3" w14:textId="77777777" w:rsidR="00BE500F" w:rsidRDefault="00BE500F">
            <w:pPr>
              <w:spacing w:after="0"/>
            </w:pPr>
          </w:p>
        </w:tc>
        <w:tc>
          <w:tcPr>
            <w:tcW w:w="2160" w:type="dxa"/>
            <w:shd w:val="clear" w:color="auto" w:fill="FFFFFF"/>
            <w:tcMar>
              <w:top w:w="0" w:type="dxa"/>
              <w:left w:w="0" w:type="dxa"/>
              <w:bottom w:w="0" w:type="dxa"/>
              <w:right w:w="0" w:type="dxa"/>
            </w:tcMar>
          </w:tcPr>
          <w:p w14:paraId="49BA99EC" w14:textId="77777777" w:rsidR="00BE500F" w:rsidRDefault="00000000">
            <w:pPr>
              <w:spacing w:after="0"/>
              <w:jc w:val="right"/>
            </w:pPr>
            <w:r>
              <w:rPr>
                <w:rFonts w:ascii="Times New Roman" w:eastAsia="Helvetica" w:hAnsi="Helvetica" w:cs="Helvetica"/>
                <w:color w:val="000000"/>
                <w:sz w:val="22"/>
                <w:szCs w:val="22"/>
              </w:rPr>
              <w:t xml:space="preserve">(0.017)   </w:t>
            </w:r>
          </w:p>
        </w:tc>
        <w:tc>
          <w:tcPr>
            <w:tcW w:w="2160" w:type="dxa"/>
            <w:shd w:val="clear" w:color="auto" w:fill="FFFFFF"/>
            <w:tcMar>
              <w:top w:w="0" w:type="dxa"/>
              <w:left w:w="0" w:type="dxa"/>
              <w:bottom w:w="0" w:type="dxa"/>
              <w:right w:w="0" w:type="dxa"/>
            </w:tcMar>
          </w:tcPr>
          <w:p w14:paraId="16AFC861" w14:textId="77777777" w:rsidR="00BE500F" w:rsidRDefault="00000000">
            <w:pPr>
              <w:spacing w:after="0"/>
              <w:jc w:val="right"/>
            </w:pPr>
            <w:r>
              <w:rPr>
                <w:rFonts w:ascii="Times New Roman" w:eastAsia="Helvetica" w:hAnsi="Helvetica" w:cs="Helvetica"/>
                <w:color w:val="000000"/>
                <w:sz w:val="22"/>
                <w:szCs w:val="22"/>
              </w:rPr>
              <w:t xml:space="preserve">(0.018)   </w:t>
            </w:r>
          </w:p>
        </w:tc>
        <w:tc>
          <w:tcPr>
            <w:tcW w:w="2160" w:type="dxa"/>
            <w:shd w:val="clear" w:color="auto" w:fill="FFFFFF"/>
            <w:tcMar>
              <w:top w:w="0" w:type="dxa"/>
              <w:left w:w="0" w:type="dxa"/>
              <w:bottom w:w="0" w:type="dxa"/>
              <w:right w:w="0" w:type="dxa"/>
            </w:tcMar>
          </w:tcPr>
          <w:p w14:paraId="70A6FC50" w14:textId="77777777" w:rsidR="00BE500F" w:rsidRDefault="00000000">
            <w:pPr>
              <w:spacing w:after="0"/>
              <w:jc w:val="right"/>
            </w:pPr>
            <w:r>
              <w:rPr>
                <w:rFonts w:ascii="Times New Roman" w:eastAsia="Helvetica" w:hAnsi="Helvetica" w:cs="Helvetica"/>
                <w:color w:val="000000"/>
                <w:sz w:val="22"/>
                <w:szCs w:val="22"/>
              </w:rPr>
              <w:t xml:space="preserve">(0.019)   </w:t>
            </w:r>
          </w:p>
        </w:tc>
      </w:tr>
      <w:tr w:rsidR="00BE500F" w14:paraId="6630564A" w14:textId="77777777">
        <w:trPr>
          <w:cantSplit/>
          <w:jc w:val="center"/>
        </w:trPr>
        <w:tc>
          <w:tcPr>
            <w:tcW w:w="2160" w:type="dxa"/>
            <w:shd w:val="clear" w:color="auto" w:fill="FFFFFF"/>
            <w:tcMar>
              <w:top w:w="0" w:type="dxa"/>
              <w:left w:w="0" w:type="dxa"/>
              <w:bottom w:w="0" w:type="dxa"/>
              <w:right w:w="0" w:type="dxa"/>
            </w:tcMar>
          </w:tcPr>
          <w:p w14:paraId="67E68730" w14:textId="77777777" w:rsidR="00BE500F" w:rsidRDefault="00000000">
            <w:pPr>
              <w:spacing w:after="0"/>
            </w:pPr>
            <w:r>
              <w:rPr>
                <w:rFonts w:ascii="Times New Roman" w:eastAsia="Helvetica" w:hAnsi="Helvetica" w:cs="Helvetica"/>
                <w:color w:val="000000"/>
                <w:sz w:val="22"/>
                <w:szCs w:val="22"/>
              </w:rPr>
              <w:t xml:space="preserve">Post-2013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Mixed-citizenship</w:t>
            </w:r>
          </w:p>
        </w:tc>
        <w:tc>
          <w:tcPr>
            <w:tcW w:w="2160" w:type="dxa"/>
            <w:shd w:val="clear" w:color="auto" w:fill="FFFFFF"/>
            <w:tcMar>
              <w:top w:w="0" w:type="dxa"/>
              <w:left w:w="0" w:type="dxa"/>
              <w:bottom w:w="0" w:type="dxa"/>
              <w:right w:w="0" w:type="dxa"/>
            </w:tcMar>
          </w:tcPr>
          <w:p w14:paraId="11DD3AEB" w14:textId="77777777" w:rsidR="00BE500F" w:rsidRDefault="00000000">
            <w:pPr>
              <w:spacing w:after="0"/>
              <w:jc w:val="right"/>
            </w:pPr>
            <w:r>
              <w:rPr>
                <w:rFonts w:ascii="Times New Roman" w:eastAsia="Helvetica" w:hAnsi="Helvetica" w:cs="Helvetica"/>
                <w:color w:val="000000"/>
                <w:sz w:val="22"/>
                <w:szCs w:val="22"/>
              </w:rPr>
              <w:t>0.106 ***</w:t>
            </w:r>
          </w:p>
        </w:tc>
        <w:tc>
          <w:tcPr>
            <w:tcW w:w="2160" w:type="dxa"/>
            <w:shd w:val="clear" w:color="auto" w:fill="FFFFFF"/>
            <w:tcMar>
              <w:top w:w="0" w:type="dxa"/>
              <w:left w:w="0" w:type="dxa"/>
              <w:bottom w:w="0" w:type="dxa"/>
              <w:right w:w="0" w:type="dxa"/>
            </w:tcMar>
          </w:tcPr>
          <w:p w14:paraId="6F2A1439" w14:textId="77777777" w:rsidR="00BE500F" w:rsidRDefault="00000000">
            <w:pPr>
              <w:spacing w:after="0"/>
              <w:jc w:val="right"/>
            </w:pPr>
            <w:r>
              <w:rPr>
                <w:rFonts w:ascii="Times New Roman" w:eastAsia="Helvetica" w:hAnsi="Helvetica" w:cs="Helvetica"/>
                <w:color w:val="000000"/>
                <w:sz w:val="22"/>
                <w:szCs w:val="22"/>
              </w:rPr>
              <w:t>0.549 ***</w:t>
            </w:r>
          </w:p>
        </w:tc>
        <w:tc>
          <w:tcPr>
            <w:tcW w:w="2160" w:type="dxa"/>
            <w:shd w:val="clear" w:color="auto" w:fill="FFFFFF"/>
            <w:tcMar>
              <w:top w:w="0" w:type="dxa"/>
              <w:left w:w="0" w:type="dxa"/>
              <w:bottom w:w="0" w:type="dxa"/>
              <w:right w:w="0" w:type="dxa"/>
            </w:tcMar>
          </w:tcPr>
          <w:p w14:paraId="3C56BA28" w14:textId="77777777" w:rsidR="00BE500F" w:rsidRDefault="00000000">
            <w:pPr>
              <w:spacing w:after="0"/>
              <w:jc w:val="right"/>
            </w:pPr>
            <w:r>
              <w:rPr>
                <w:rFonts w:ascii="Times New Roman" w:eastAsia="Helvetica" w:hAnsi="Helvetica" w:cs="Helvetica"/>
                <w:color w:val="000000"/>
                <w:sz w:val="22"/>
                <w:szCs w:val="22"/>
              </w:rPr>
              <w:t xml:space="preserve">0.072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w:t>
            </w:r>
          </w:p>
        </w:tc>
      </w:tr>
      <w:tr w:rsidR="00BE500F" w14:paraId="26D02808" w14:textId="77777777">
        <w:trPr>
          <w:cantSplit/>
          <w:jc w:val="center"/>
        </w:trPr>
        <w:tc>
          <w:tcPr>
            <w:tcW w:w="2160" w:type="dxa"/>
            <w:shd w:val="clear" w:color="auto" w:fill="FFFFFF"/>
            <w:tcMar>
              <w:top w:w="0" w:type="dxa"/>
              <w:left w:w="0" w:type="dxa"/>
              <w:bottom w:w="0" w:type="dxa"/>
              <w:right w:w="0" w:type="dxa"/>
            </w:tcMar>
          </w:tcPr>
          <w:p w14:paraId="676B32D7" w14:textId="77777777" w:rsidR="00BE500F" w:rsidRDefault="00BE500F">
            <w:pPr>
              <w:spacing w:after="0"/>
            </w:pPr>
          </w:p>
        </w:tc>
        <w:tc>
          <w:tcPr>
            <w:tcW w:w="2160" w:type="dxa"/>
            <w:shd w:val="clear" w:color="auto" w:fill="FFFFFF"/>
            <w:tcMar>
              <w:top w:w="0" w:type="dxa"/>
              <w:left w:w="0" w:type="dxa"/>
              <w:bottom w:w="0" w:type="dxa"/>
              <w:right w:w="0" w:type="dxa"/>
            </w:tcMar>
          </w:tcPr>
          <w:p w14:paraId="168A59C5" w14:textId="77777777" w:rsidR="00BE500F" w:rsidRDefault="00000000">
            <w:pPr>
              <w:spacing w:after="0"/>
              <w:jc w:val="right"/>
            </w:pPr>
            <w:r>
              <w:rPr>
                <w:rFonts w:ascii="Times New Roman" w:eastAsia="Helvetica" w:hAnsi="Helvetica" w:cs="Helvetica"/>
                <w:color w:val="000000"/>
                <w:sz w:val="22"/>
                <w:szCs w:val="22"/>
              </w:rPr>
              <w:t xml:space="preserve">(0.015)   </w:t>
            </w:r>
          </w:p>
        </w:tc>
        <w:tc>
          <w:tcPr>
            <w:tcW w:w="2160" w:type="dxa"/>
            <w:shd w:val="clear" w:color="auto" w:fill="FFFFFF"/>
            <w:tcMar>
              <w:top w:w="0" w:type="dxa"/>
              <w:left w:w="0" w:type="dxa"/>
              <w:bottom w:w="0" w:type="dxa"/>
              <w:right w:w="0" w:type="dxa"/>
            </w:tcMar>
          </w:tcPr>
          <w:p w14:paraId="54A2911D" w14:textId="77777777" w:rsidR="00BE500F" w:rsidRDefault="00000000">
            <w:pPr>
              <w:spacing w:after="0"/>
              <w:jc w:val="right"/>
            </w:pPr>
            <w:r>
              <w:rPr>
                <w:rFonts w:ascii="Times New Roman" w:eastAsia="Helvetica" w:hAnsi="Helvetica" w:cs="Helvetica"/>
                <w:color w:val="000000"/>
                <w:sz w:val="22"/>
                <w:szCs w:val="22"/>
              </w:rPr>
              <w:t xml:space="preserve">(0.052)   </w:t>
            </w:r>
          </w:p>
        </w:tc>
        <w:tc>
          <w:tcPr>
            <w:tcW w:w="2160" w:type="dxa"/>
            <w:shd w:val="clear" w:color="auto" w:fill="FFFFFF"/>
            <w:tcMar>
              <w:top w:w="0" w:type="dxa"/>
              <w:left w:w="0" w:type="dxa"/>
              <w:bottom w:w="0" w:type="dxa"/>
              <w:right w:w="0" w:type="dxa"/>
            </w:tcMar>
          </w:tcPr>
          <w:p w14:paraId="7BA5E85D" w14:textId="77777777" w:rsidR="00BE500F" w:rsidRDefault="00000000">
            <w:pPr>
              <w:spacing w:after="0"/>
              <w:jc w:val="right"/>
            </w:pPr>
            <w:r>
              <w:rPr>
                <w:rFonts w:ascii="Times New Roman" w:eastAsia="Helvetica" w:hAnsi="Helvetica" w:cs="Helvetica"/>
                <w:color w:val="000000"/>
                <w:sz w:val="22"/>
                <w:szCs w:val="22"/>
              </w:rPr>
              <w:t xml:space="preserve">(0.043)   </w:t>
            </w:r>
          </w:p>
        </w:tc>
      </w:tr>
      <w:tr w:rsidR="00BE500F" w14:paraId="506279C3" w14:textId="77777777">
        <w:trPr>
          <w:cantSplit/>
          <w:jc w:val="center"/>
        </w:trPr>
        <w:tc>
          <w:tcPr>
            <w:tcW w:w="2160" w:type="dxa"/>
            <w:shd w:val="clear" w:color="auto" w:fill="FFFFFF"/>
            <w:tcMar>
              <w:top w:w="0" w:type="dxa"/>
              <w:left w:w="0" w:type="dxa"/>
              <w:bottom w:w="0" w:type="dxa"/>
              <w:right w:w="0" w:type="dxa"/>
            </w:tcMar>
          </w:tcPr>
          <w:p w14:paraId="1A9C7248" w14:textId="77777777" w:rsidR="00BE500F" w:rsidRDefault="00000000">
            <w:pPr>
              <w:spacing w:after="0"/>
            </w:pPr>
            <w:r>
              <w:rPr>
                <w:rFonts w:ascii="Times New Roman" w:eastAsia="Helvetica" w:hAnsi="Helvetica" w:cs="Helvetica"/>
                <w:color w:val="000000"/>
                <w:sz w:val="22"/>
                <w:szCs w:val="22"/>
              </w:rPr>
              <w:t>Post-2013</w:t>
            </w:r>
          </w:p>
        </w:tc>
        <w:tc>
          <w:tcPr>
            <w:tcW w:w="2160" w:type="dxa"/>
            <w:shd w:val="clear" w:color="auto" w:fill="FFFFFF"/>
            <w:tcMar>
              <w:top w:w="0" w:type="dxa"/>
              <w:left w:w="0" w:type="dxa"/>
              <w:bottom w:w="0" w:type="dxa"/>
              <w:right w:w="0" w:type="dxa"/>
            </w:tcMar>
          </w:tcPr>
          <w:p w14:paraId="7ED8F08C" w14:textId="77777777" w:rsidR="00BE500F" w:rsidRDefault="00000000">
            <w:pPr>
              <w:spacing w:after="0"/>
              <w:jc w:val="right"/>
            </w:pPr>
            <w:r>
              <w:rPr>
                <w:rFonts w:ascii="Times New Roman" w:eastAsia="Helvetica" w:hAnsi="Helvetica" w:cs="Helvetica"/>
                <w:color w:val="000000"/>
                <w:sz w:val="22"/>
                <w:szCs w:val="22"/>
              </w:rPr>
              <w:t xml:space="preserve">-0.036 ** </w:t>
            </w:r>
          </w:p>
        </w:tc>
        <w:tc>
          <w:tcPr>
            <w:tcW w:w="2160" w:type="dxa"/>
            <w:shd w:val="clear" w:color="auto" w:fill="FFFFFF"/>
            <w:tcMar>
              <w:top w:w="0" w:type="dxa"/>
              <w:left w:w="0" w:type="dxa"/>
              <w:bottom w:w="0" w:type="dxa"/>
              <w:right w:w="0" w:type="dxa"/>
            </w:tcMar>
          </w:tcPr>
          <w:p w14:paraId="63911422" w14:textId="77777777" w:rsidR="00BE500F" w:rsidRDefault="00000000">
            <w:pPr>
              <w:spacing w:after="0"/>
              <w:jc w:val="right"/>
            </w:pPr>
            <w:r>
              <w:rPr>
                <w:rFonts w:ascii="Times New Roman" w:eastAsia="Helvetica" w:hAnsi="Helvetica" w:cs="Helvetica"/>
                <w:color w:val="000000"/>
                <w:sz w:val="22"/>
                <w:szCs w:val="22"/>
              </w:rPr>
              <w:t>-0.052 ***</w:t>
            </w:r>
          </w:p>
        </w:tc>
        <w:tc>
          <w:tcPr>
            <w:tcW w:w="2160" w:type="dxa"/>
            <w:shd w:val="clear" w:color="auto" w:fill="FFFFFF"/>
            <w:tcMar>
              <w:top w:w="0" w:type="dxa"/>
              <w:left w:w="0" w:type="dxa"/>
              <w:bottom w:w="0" w:type="dxa"/>
              <w:right w:w="0" w:type="dxa"/>
            </w:tcMar>
          </w:tcPr>
          <w:p w14:paraId="4FBE3E22" w14:textId="77777777" w:rsidR="00BE500F" w:rsidRDefault="00000000">
            <w:pPr>
              <w:spacing w:after="0"/>
              <w:jc w:val="right"/>
            </w:pPr>
            <w:r>
              <w:rPr>
                <w:rFonts w:ascii="Times New Roman" w:eastAsia="Helvetica" w:hAnsi="Helvetica" w:cs="Helvetica"/>
                <w:color w:val="000000"/>
                <w:sz w:val="22"/>
                <w:szCs w:val="22"/>
              </w:rPr>
              <w:t>-0.064 ***</w:t>
            </w:r>
          </w:p>
        </w:tc>
      </w:tr>
      <w:tr w:rsidR="00BE500F" w14:paraId="08078757" w14:textId="77777777">
        <w:trPr>
          <w:cantSplit/>
          <w:jc w:val="center"/>
        </w:trPr>
        <w:tc>
          <w:tcPr>
            <w:tcW w:w="2160" w:type="dxa"/>
            <w:shd w:val="clear" w:color="auto" w:fill="FFFFFF"/>
            <w:tcMar>
              <w:top w:w="0" w:type="dxa"/>
              <w:left w:w="0" w:type="dxa"/>
              <w:bottom w:w="0" w:type="dxa"/>
              <w:right w:w="0" w:type="dxa"/>
            </w:tcMar>
          </w:tcPr>
          <w:p w14:paraId="6CE61EC1" w14:textId="77777777" w:rsidR="00BE500F" w:rsidRDefault="00BE500F">
            <w:pPr>
              <w:spacing w:after="0"/>
            </w:pPr>
          </w:p>
        </w:tc>
        <w:tc>
          <w:tcPr>
            <w:tcW w:w="2160" w:type="dxa"/>
            <w:tcBorders>
              <w:bottom w:val="single" w:sz="3" w:space="0" w:color="000000"/>
            </w:tcBorders>
            <w:shd w:val="clear" w:color="auto" w:fill="FFFFFF"/>
            <w:tcMar>
              <w:top w:w="0" w:type="dxa"/>
              <w:left w:w="0" w:type="dxa"/>
              <w:bottom w:w="0" w:type="dxa"/>
              <w:right w:w="0" w:type="dxa"/>
            </w:tcMar>
          </w:tcPr>
          <w:p w14:paraId="5336C80D" w14:textId="77777777" w:rsidR="00BE500F" w:rsidRDefault="00000000">
            <w:pPr>
              <w:spacing w:after="0"/>
              <w:jc w:val="right"/>
            </w:pPr>
            <w:r>
              <w:rPr>
                <w:rFonts w:ascii="Times New Roman" w:eastAsia="Helvetica" w:hAnsi="Helvetica" w:cs="Helvetica"/>
                <w:color w:val="000000"/>
                <w:sz w:val="22"/>
                <w:szCs w:val="22"/>
              </w:rPr>
              <w:t xml:space="preserve">(0.011)   </w:t>
            </w:r>
          </w:p>
        </w:tc>
        <w:tc>
          <w:tcPr>
            <w:tcW w:w="2160" w:type="dxa"/>
            <w:tcBorders>
              <w:bottom w:val="single" w:sz="3" w:space="0" w:color="000000"/>
            </w:tcBorders>
            <w:shd w:val="clear" w:color="auto" w:fill="FFFFFF"/>
            <w:tcMar>
              <w:top w:w="0" w:type="dxa"/>
              <w:left w:w="0" w:type="dxa"/>
              <w:bottom w:w="0" w:type="dxa"/>
              <w:right w:w="0" w:type="dxa"/>
            </w:tcMar>
          </w:tcPr>
          <w:p w14:paraId="77A570F6" w14:textId="77777777" w:rsidR="00BE500F" w:rsidRDefault="00000000">
            <w:pPr>
              <w:spacing w:after="0"/>
              <w:jc w:val="right"/>
            </w:pPr>
            <w:r>
              <w:rPr>
                <w:rFonts w:ascii="Times New Roman" w:eastAsia="Helvetica" w:hAnsi="Helvetica" w:cs="Helvetica"/>
                <w:color w:val="000000"/>
                <w:sz w:val="22"/>
                <w:szCs w:val="22"/>
              </w:rPr>
              <w:t xml:space="preserve">(0.011)   </w:t>
            </w:r>
          </w:p>
        </w:tc>
        <w:tc>
          <w:tcPr>
            <w:tcW w:w="2160" w:type="dxa"/>
            <w:tcBorders>
              <w:bottom w:val="single" w:sz="3" w:space="0" w:color="000000"/>
            </w:tcBorders>
            <w:shd w:val="clear" w:color="auto" w:fill="FFFFFF"/>
            <w:tcMar>
              <w:top w:w="0" w:type="dxa"/>
              <w:left w:w="0" w:type="dxa"/>
              <w:bottom w:w="0" w:type="dxa"/>
              <w:right w:w="0" w:type="dxa"/>
            </w:tcMar>
          </w:tcPr>
          <w:p w14:paraId="20EB9032" w14:textId="77777777" w:rsidR="00BE500F" w:rsidRDefault="00000000">
            <w:pPr>
              <w:spacing w:after="0"/>
              <w:jc w:val="right"/>
            </w:pPr>
            <w:r>
              <w:rPr>
                <w:rFonts w:ascii="Times New Roman" w:eastAsia="Helvetica" w:hAnsi="Helvetica" w:cs="Helvetica"/>
                <w:color w:val="000000"/>
                <w:sz w:val="22"/>
                <w:szCs w:val="22"/>
              </w:rPr>
              <w:t xml:space="preserve">(0.011)   </w:t>
            </w:r>
          </w:p>
        </w:tc>
      </w:tr>
      <w:tr w:rsidR="00BE500F" w14:paraId="0F5746BA"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23DFB86C" w14:textId="77777777" w:rsidR="00BE500F" w:rsidRDefault="00000000">
            <w:pPr>
              <w:spacing w:after="0"/>
            </w:pPr>
            <w:r>
              <w:rPr>
                <w:rFonts w:ascii="Times New Roman" w:eastAsia="Helvetica" w:hAnsi="Helvetica" w:cs="Helvetica"/>
                <w:color w:val="000000"/>
                <w:sz w:val="22"/>
                <w:szCs w:val="22"/>
              </w:rPr>
              <w:t>Observations</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58B2DA54" w14:textId="77777777" w:rsidR="00BE500F" w:rsidRDefault="00000000">
            <w:pPr>
              <w:spacing w:after="0"/>
              <w:jc w:val="right"/>
            </w:pPr>
            <w:r>
              <w:rPr>
                <w:rFonts w:ascii="Times New Roman" w:eastAsia="Helvetica" w:hAnsi="Helvetica" w:cs="Helvetica"/>
                <w:color w:val="000000"/>
                <w:sz w:val="22"/>
                <w:szCs w:val="22"/>
              </w:rPr>
              <w:t xml:space="preserve">2400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606EB336" w14:textId="77777777" w:rsidR="00BE500F" w:rsidRDefault="00000000">
            <w:pPr>
              <w:spacing w:after="0"/>
              <w:jc w:val="right"/>
            </w:pPr>
            <w:r>
              <w:rPr>
                <w:rFonts w:ascii="Times New Roman" w:eastAsia="Helvetica" w:hAnsi="Helvetica" w:cs="Helvetica"/>
                <w:color w:val="000000"/>
                <w:sz w:val="22"/>
                <w:szCs w:val="22"/>
              </w:rPr>
              <w:t xml:space="preserve">2400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11DE11A3" w14:textId="77777777" w:rsidR="00BE500F" w:rsidRDefault="00000000">
            <w:pPr>
              <w:spacing w:after="0"/>
              <w:jc w:val="right"/>
            </w:pPr>
            <w:r>
              <w:rPr>
                <w:rFonts w:ascii="Times New Roman" w:eastAsia="Helvetica" w:hAnsi="Helvetica" w:cs="Helvetica"/>
                <w:color w:val="000000"/>
                <w:sz w:val="22"/>
                <w:szCs w:val="22"/>
              </w:rPr>
              <w:t xml:space="preserve">2400        </w:t>
            </w:r>
          </w:p>
        </w:tc>
      </w:tr>
      <w:tr w:rsidR="00BE500F" w14:paraId="3236C204"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2240FD01" w14:textId="77777777" w:rsidR="00BE500F" w:rsidRDefault="00000000">
            <w:pPr>
              <w:spacing w:after="0"/>
            </w:pPr>
            <w:r>
              <w:rPr>
                <w:rFonts w:ascii="Times New Roman" w:eastAsia="Helvetica" w:hAnsi="Helvetica" w:cs="Helvetica"/>
                <w:color w:val="000000"/>
                <w:sz w:val="22"/>
                <w:szCs w:val="22"/>
              </w:rPr>
              <w:t xml:space="preserve"> *** p &lt; 0.001;  ** p &lt; 0.01;  * p &lt; 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14:paraId="79BDE532" w14:textId="77777777" w:rsidR="00BE500F" w:rsidRDefault="00000000">
      <w:r>
        <w:br w:type="page"/>
      </w:r>
    </w:p>
    <w:p w14:paraId="050EB5E4" w14:textId="77777777" w:rsidR="00BE500F" w:rsidRDefault="00000000">
      <w:pPr>
        <w:pStyle w:val="TableCaption"/>
      </w:pPr>
      <w:r>
        <w:t xml:space="preserve">Table 5: </w:t>
      </w:r>
      <w:bookmarkStart w:id="123" w:name="tab:controls-tab"/>
      <w:r>
        <w:t>With state-level controls: triple-difference (DDD), quasi-Poisson    regressions of counts of individuals in mixed-citizenship, same-sex couples, stratifying by    state-country-year-group average policy environment</w:t>
      </w:r>
      <w:bookmarkEnd w:id="123"/>
    </w:p>
    <w:tbl>
      <w:tblPr>
        <w:tblW w:w="0" w:type="auto"/>
        <w:jc w:val="center"/>
        <w:tblLayout w:type="fixed"/>
        <w:tblLook w:val="0420" w:firstRow="1" w:lastRow="0" w:firstColumn="0" w:lastColumn="0" w:noHBand="0" w:noVBand="1"/>
      </w:tblPr>
      <w:tblGrid>
        <w:gridCol w:w="2160"/>
        <w:gridCol w:w="2160"/>
        <w:gridCol w:w="2160"/>
        <w:gridCol w:w="2160"/>
      </w:tblGrid>
      <w:tr w:rsidR="00BE500F" w14:paraId="0CA3C2A1" w14:textId="77777777">
        <w:trPr>
          <w:cantSplit/>
          <w:jc w:val="center"/>
        </w:trPr>
        <w:tc>
          <w:tcPr>
            <w:tcW w:w="2160" w:type="dxa"/>
            <w:tcBorders>
              <w:top w:val="single" w:sz="6" w:space="0" w:color="000000"/>
            </w:tcBorders>
            <w:shd w:val="clear" w:color="auto" w:fill="FFFFFF"/>
            <w:tcMar>
              <w:top w:w="0" w:type="dxa"/>
              <w:left w:w="0" w:type="dxa"/>
              <w:bottom w:w="0" w:type="dxa"/>
              <w:right w:w="0" w:type="dxa"/>
            </w:tcMar>
          </w:tcPr>
          <w:p w14:paraId="20648FB9" w14:textId="77777777" w:rsidR="00BE500F" w:rsidRDefault="00BE500F">
            <w:pPr>
              <w:spacing w:after="0"/>
              <w:jc w:val="center"/>
            </w:pP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4CEA5FE8" w14:textId="77777777" w:rsidR="00BE500F" w:rsidRDefault="00000000">
            <w:pPr>
              <w:spacing w:after="0"/>
              <w:jc w:val="center"/>
            </w:pPr>
            <w:r>
              <w:rPr>
                <w:rFonts w:ascii="Times New Roman" w:eastAsia="Helvetica" w:hAnsi="Helvetica" w:cs="Helvetica"/>
                <w:color w:val="000000"/>
                <w:sz w:val="22"/>
                <w:szCs w:val="22"/>
              </w:rPr>
              <w:t>Full sample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566E2DDB" w14:textId="77777777" w:rsidR="00BE500F" w:rsidRDefault="00000000">
            <w:pPr>
              <w:spacing w:after="0"/>
              <w:jc w:val="center"/>
            </w:pPr>
            <w:r>
              <w:rPr>
                <w:rFonts w:ascii="Times New Roman" w:eastAsia="Helvetica" w:hAnsi="Helvetica" w:cs="Helvetica"/>
                <w:color w:val="000000"/>
                <w:sz w:val="22"/>
                <w:szCs w:val="22"/>
              </w:rPr>
              <w:t>Progressive</w:t>
            </w:r>
          </w:p>
        </w:tc>
        <w:tc>
          <w:tcPr>
            <w:tcW w:w="2160" w:type="dxa"/>
            <w:tcBorders>
              <w:top w:val="single" w:sz="6" w:space="0" w:color="000000"/>
              <w:bottom w:val="single" w:sz="3" w:space="0" w:color="000000"/>
            </w:tcBorders>
            <w:shd w:val="clear" w:color="auto" w:fill="FFFFFF"/>
            <w:tcMar>
              <w:top w:w="0" w:type="dxa"/>
              <w:left w:w="0" w:type="dxa"/>
              <w:bottom w:w="0" w:type="dxa"/>
              <w:right w:w="0" w:type="dxa"/>
            </w:tcMar>
          </w:tcPr>
          <w:p w14:paraId="5BE21DF2" w14:textId="77777777" w:rsidR="00BE500F" w:rsidRDefault="00000000">
            <w:pPr>
              <w:spacing w:after="0"/>
              <w:jc w:val="center"/>
            </w:pPr>
            <w:r>
              <w:rPr>
                <w:rFonts w:ascii="Times New Roman" w:eastAsia="Helvetica" w:hAnsi="Helvetica" w:cs="Helvetica"/>
                <w:color w:val="000000"/>
                <w:sz w:val="22"/>
                <w:szCs w:val="22"/>
              </w:rPr>
              <w:t>Regressive</w:t>
            </w:r>
          </w:p>
        </w:tc>
      </w:tr>
      <w:tr w:rsidR="00BE500F" w14:paraId="4DD3700F" w14:textId="77777777">
        <w:trPr>
          <w:cantSplit/>
          <w:jc w:val="center"/>
        </w:trPr>
        <w:tc>
          <w:tcPr>
            <w:tcW w:w="2160" w:type="dxa"/>
            <w:shd w:val="clear" w:color="auto" w:fill="FFFFFF"/>
            <w:tcMar>
              <w:top w:w="0" w:type="dxa"/>
              <w:left w:w="0" w:type="dxa"/>
              <w:bottom w:w="0" w:type="dxa"/>
              <w:right w:w="0" w:type="dxa"/>
            </w:tcMar>
          </w:tcPr>
          <w:p w14:paraId="016E5BAE" w14:textId="77777777" w:rsidR="00BE500F" w:rsidRDefault="00000000">
            <w:pPr>
              <w:spacing w:after="0"/>
            </w:pPr>
            <w:r>
              <w:rPr>
                <w:rFonts w:ascii="Times New Roman" w:eastAsia="Helvetica" w:hAnsi="Helvetica" w:cs="Helvetica"/>
                <w:color w:val="000000"/>
                <w:sz w:val="22"/>
                <w:szCs w:val="22"/>
              </w:rPr>
              <w:t xml:space="preserve">Post-2013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Same-sex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Mixed-citizenship</w:t>
            </w:r>
          </w:p>
        </w:tc>
        <w:tc>
          <w:tcPr>
            <w:tcW w:w="2160" w:type="dxa"/>
            <w:tcBorders>
              <w:top w:val="single" w:sz="3" w:space="0" w:color="000000"/>
            </w:tcBorders>
            <w:shd w:val="clear" w:color="auto" w:fill="FFFFFF"/>
            <w:tcMar>
              <w:top w:w="0" w:type="dxa"/>
              <w:left w:w="0" w:type="dxa"/>
              <w:bottom w:w="0" w:type="dxa"/>
              <w:right w:w="0" w:type="dxa"/>
            </w:tcMar>
          </w:tcPr>
          <w:p w14:paraId="01BFD6BD" w14:textId="77777777" w:rsidR="00BE500F" w:rsidRDefault="00000000">
            <w:pPr>
              <w:spacing w:after="0"/>
              <w:jc w:val="right"/>
            </w:pPr>
            <w:r>
              <w:rPr>
                <w:rFonts w:ascii="Times New Roman" w:eastAsia="Helvetica" w:hAnsi="Helvetica" w:cs="Helvetica"/>
                <w:color w:val="000000"/>
                <w:sz w:val="22"/>
                <w:szCs w:val="22"/>
              </w:rPr>
              <w:t>0.323 ***</w:t>
            </w:r>
          </w:p>
        </w:tc>
        <w:tc>
          <w:tcPr>
            <w:tcW w:w="2160" w:type="dxa"/>
            <w:tcBorders>
              <w:top w:val="single" w:sz="3" w:space="0" w:color="000000"/>
            </w:tcBorders>
            <w:shd w:val="clear" w:color="auto" w:fill="FFFFFF"/>
            <w:tcMar>
              <w:top w:w="0" w:type="dxa"/>
              <w:left w:w="0" w:type="dxa"/>
              <w:bottom w:w="0" w:type="dxa"/>
              <w:right w:w="0" w:type="dxa"/>
            </w:tcMar>
          </w:tcPr>
          <w:p w14:paraId="379DD0CD" w14:textId="77777777" w:rsidR="00BE500F" w:rsidRDefault="00000000">
            <w:pPr>
              <w:spacing w:after="0"/>
              <w:jc w:val="right"/>
            </w:pPr>
            <w:r>
              <w:rPr>
                <w:rFonts w:ascii="Times New Roman" w:eastAsia="Helvetica" w:hAnsi="Helvetica" w:cs="Helvetica"/>
                <w:color w:val="000000"/>
                <w:sz w:val="22"/>
                <w:szCs w:val="22"/>
              </w:rPr>
              <w:t>0.515 ***</w:t>
            </w:r>
          </w:p>
        </w:tc>
        <w:tc>
          <w:tcPr>
            <w:tcW w:w="2160" w:type="dxa"/>
            <w:tcBorders>
              <w:top w:val="single" w:sz="3" w:space="0" w:color="000000"/>
            </w:tcBorders>
            <w:shd w:val="clear" w:color="auto" w:fill="FFFFFF"/>
            <w:tcMar>
              <w:top w:w="0" w:type="dxa"/>
              <w:left w:w="0" w:type="dxa"/>
              <w:bottom w:w="0" w:type="dxa"/>
              <w:right w:w="0" w:type="dxa"/>
            </w:tcMar>
          </w:tcPr>
          <w:p w14:paraId="3C601A08" w14:textId="77777777" w:rsidR="00BE500F" w:rsidRDefault="00000000">
            <w:pPr>
              <w:spacing w:after="0"/>
              <w:jc w:val="right"/>
            </w:pPr>
            <w:r>
              <w:rPr>
                <w:rFonts w:ascii="Times New Roman" w:eastAsia="Helvetica" w:hAnsi="Helvetica" w:cs="Helvetica"/>
                <w:color w:val="000000"/>
                <w:sz w:val="22"/>
                <w:szCs w:val="22"/>
              </w:rPr>
              <w:t xml:space="preserve">0.207    </w:t>
            </w:r>
          </w:p>
        </w:tc>
      </w:tr>
      <w:tr w:rsidR="00BE500F" w14:paraId="71C3563D" w14:textId="77777777">
        <w:trPr>
          <w:cantSplit/>
          <w:jc w:val="center"/>
        </w:trPr>
        <w:tc>
          <w:tcPr>
            <w:tcW w:w="2160" w:type="dxa"/>
            <w:shd w:val="clear" w:color="auto" w:fill="FFFFFF"/>
            <w:tcMar>
              <w:top w:w="0" w:type="dxa"/>
              <w:left w:w="0" w:type="dxa"/>
              <w:bottom w:w="0" w:type="dxa"/>
              <w:right w:w="0" w:type="dxa"/>
            </w:tcMar>
          </w:tcPr>
          <w:p w14:paraId="437ED068" w14:textId="77777777" w:rsidR="00BE500F" w:rsidRDefault="00BE500F">
            <w:pPr>
              <w:spacing w:after="0"/>
            </w:pPr>
          </w:p>
        </w:tc>
        <w:tc>
          <w:tcPr>
            <w:tcW w:w="2160" w:type="dxa"/>
            <w:shd w:val="clear" w:color="auto" w:fill="FFFFFF"/>
            <w:tcMar>
              <w:top w:w="0" w:type="dxa"/>
              <w:left w:w="0" w:type="dxa"/>
              <w:bottom w:w="0" w:type="dxa"/>
              <w:right w:w="0" w:type="dxa"/>
            </w:tcMar>
          </w:tcPr>
          <w:p w14:paraId="730E0144" w14:textId="77777777" w:rsidR="00BE500F" w:rsidRDefault="00000000">
            <w:pPr>
              <w:spacing w:after="0"/>
              <w:jc w:val="right"/>
            </w:pPr>
            <w:r>
              <w:rPr>
                <w:rFonts w:ascii="Times New Roman" w:eastAsia="Helvetica" w:hAnsi="Helvetica" w:cs="Helvetica"/>
                <w:color w:val="000000"/>
                <w:sz w:val="22"/>
                <w:szCs w:val="22"/>
              </w:rPr>
              <w:t xml:space="preserve">(0.054)   </w:t>
            </w:r>
          </w:p>
        </w:tc>
        <w:tc>
          <w:tcPr>
            <w:tcW w:w="2160" w:type="dxa"/>
            <w:shd w:val="clear" w:color="auto" w:fill="FFFFFF"/>
            <w:tcMar>
              <w:top w:w="0" w:type="dxa"/>
              <w:left w:w="0" w:type="dxa"/>
              <w:bottom w:w="0" w:type="dxa"/>
              <w:right w:w="0" w:type="dxa"/>
            </w:tcMar>
          </w:tcPr>
          <w:p w14:paraId="7B538596" w14:textId="77777777" w:rsidR="00BE500F" w:rsidRDefault="00000000">
            <w:pPr>
              <w:spacing w:after="0"/>
              <w:jc w:val="right"/>
            </w:pPr>
            <w:r>
              <w:rPr>
                <w:rFonts w:ascii="Times New Roman" w:eastAsia="Helvetica" w:hAnsi="Helvetica" w:cs="Helvetica"/>
                <w:color w:val="000000"/>
                <w:sz w:val="22"/>
                <w:szCs w:val="22"/>
              </w:rPr>
              <w:t xml:space="preserve">(0.093)   </w:t>
            </w:r>
          </w:p>
        </w:tc>
        <w:tc>
          <w:tcPr>
            <w:tcW w:w="2160" w:type="dxa"/>
            <w:shd w:val="clear" w:color="auto" w:fill="FFFFFF"/>
            <w:tcMar>
              <w:top w:w="0" w:type="dxa"/>
              <w:left w:w="0" w:type="dxa"/>
              <w:bottom w:w="0" w:type="dxa"/>
              <w:right w:w="0" w:type="dxa"/>
            </w:tcMar>
          </w:tcPr>
          <w:p w14:paraId="4E38BD4F" w14:textId="77777777" w:rsidR="00BE500F" w:rsidRDefault="00000000">
            <w:pPr>
              <w:spacing w:after="0"/>
              <w:jc w:val="right"/>
            </w:pPr>
            <w:r>
              <w:rPr>
                <w:rFonts w:ascii="Times New Roman" w:eastAsia="Helvetica" w:hAnsi="Helvetica" w:cs="Helvetica"/>
                <w:color w:val="000000"/>
                <w:sz w:val="22"/>
                <w:szCs w:val="22"/>
              </w:rPr>
              <w:t xml:space="preserve">(0.142)   </w:t>
            </w:r>
          </w:p>
        </w:tc>
      </w:tr>
      <w:tr w:rsidR="00BE500F" w14:paraId="0E119C0D" w14:textId="77777777">
        <w:trPr>
          <w:cantSplit/>
          <w:jc w:val="center"/>
        </w:trPr>
        <w:tc>
          <w:tcPr>
            <w:tcW w:w="2160" w:type="dxa"/>
            <w:shd w:val="clear" w:color="auto" w:fill="FFFFFF"/>
            <w:tcMar>
              <w:top w:w="0" w:type="dxa"/>
              <w:left w:w="0" w:type="dxa"/>
              <w:bottom w:w="0" w:type="dxa"/>
              <w:right w:w="0" w:type="dxa"/>
            </w:tcMar>
          </w:tcPr>
          <w:p w14:paraId="6DD05A7E" w14:textId="77777777" w:rsidR="00BE500F" w:rsidRDefault="00000000">
            <w:pPr>
              <w:spacing w:after="0"/>
            </w:pPr>
            <w:r>
              <w:rPr>
                <w:rFonts w:ascii="Times New Roman" w:eastAsia="Helvetica" w:hAnsi="Helvetica" w:cs="Helvetica"/>
                <w:color w:val="000000"/>
                <w:sz w:val="22"/>
                <w:szCs w:val="22"/>
              </w:rPr>
              <w:t xml:space="preserve">Post-2013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Same-sex</w:t>
            </w:r>
          </w:p>
        </w:tc>
        <w:tc>
          <w:tcPr>
            <w:tcW w:w="2160" w:type="dxa"/>
            <w:shd w:val="clear" w:color="auto" w:fill="FFFFFF"/>
            <w:tcMar>
              <w:top w:w="0" w:type="dxa"/>
              <w:left w:w="0" w:type="dxa"/>
              <w:bottom w:w="0" w:type="dxa"/>
              <w:right w:w="0" w:type="dxa"/>
            </w:tcMar>
          </w:tcPr>
          <w:p w14:paraId="6D2C892F" w14:textId="77777777" w:rsidR="00BE500F" w:rsidRDefault="00000000">
            <w:pPr>
              <w:spacing w:after="0"/>
              <w:jc w:val="right"/>
            </w:pPr>
            <w:r>
              <w:rPr>
                <w:rFonts w:ascii="Times New Roman" w:eastAsia="Helvetica" w:hAnsi="Helvetica" w:cs="Helvetica"/>
                <w:color w:val="000000"/>
                <w:sz w:val="22"/>
                <w:szCs w:val="22"/>
              </w:rPr>
              <w:t>0.368 ***</w:t>
            </w:r>
          </w:p>
        </w:tc>
        <w:tc>
          <w:tcPr>
            <w:tcW w:w="2160" w:type="dxa"/>
            <w:shd w:val="clear" w:color="auto" w:fill="FFFFFF"/>
            <w:tcMar>
              <w:top w:w="0" w:type="dxa"/>
              <w:left w:w="0" w:type="dxa"/>
              <w:bottom w:w="0" w:type="dxa"/>
              <w:right w:w="0" w:type="dxa"/>
            </w:tcMar>
          </w:tcPr>
          <w:p w14:paraId="6097C230" w14:textId="77777777" w:rsidR="00BE500F" w:rsidRDefault="00000000">
            <w:pPr>
              <w:spacing w:after="0"/>
              <w:jc w:val="right"/>
            </w:pPr>
            <w:r>
              <w:rPr>
                <w:rFonts w:ascii="Times New Roman" w:eastAsia="Helvetica" w:hAnsi="Helvetica" w:cs="Helvetica"/>
                <w:color w:val="000000"/>
                <w:sz w:val="22"/>
                <w:szCs w:val="22"/>
              </w:rPr>
              <w:t>0.374 ***</w:t>
            </w:r>
          </w:p>
        </w:tc>
        <w:tc>
          <w:tcPr>
            <w:tcW w:w="2160" w:type="dxa"/>
            <w:shd w:val="clear" w:color="auto" w:fill="FFFFFF"/>
            <w:tcMar>
              <w:top w:w="0" w:type="dxa"/>
              <w:left w:w="0" w:type="dxa"/>
              <w:bottom w:w="0" w:type="dxa"/>
              <w:right w:w="0" w:type="dxa"/>
            </w:tcMar>
          </w:tcPr>
          <w:p w14:paraId="39019DDB" w14:textId="77777777" w:rsidR="00BE500F" w:rsidRDefault="00000000">
            <w:pPr>
              <w:spacing w:after="0"/>
              <w:jc w:val="right"/>
            </w:pPr>
            <w:r>
              <w:rPr>
                <w:rFonts w:ascii="Times New Roman" w:eastAsia="Helvetica" w:hAnsi="Helvetica" w:cs="Helvetica"/>
                <w:color w:val="000000"/>
                <w:sz w:val="22"/>
                <w:szCs w:val="22"/>
              </w:rPr>
              <w:t>0.375 ***</w:t>
            </w:r>
          </w:p>
        </w:tc>
      </w:tr>
      <w:tr w:rsidR="00BE500F" w14:paraId="7DBBEED6" w14:textId="77777777">
        <w:trPr>
          <w:cantSplit/>
          <w:jc w:val="center"/>
        </w:trPr>
        <w:tc>
          <w:tcPr>
            <w:tcW w:w="2160" w:type="dxa"/>
            <w:shd w:val="clear" w:color="auto" w:fill="FFFFFF"/>
            <w:tcMar>
              <w:top w:w="0" w:type="dxa"/>
              <w:left w:w="0" w:type="dxa"/>
              <w:bottom w:w="0" w:type="dxa"/>
              <w:right w:w="0" w:type="dxa"/>
            </w:tcMar>
          </w:tcPr>
          <w:p w14:paraId="549C48C2" w14:textId="77777777" w:rsidR="00BE500F" w:rsidRDefault="00BE500F">
            <w:pPr>
              <w:spacing w:after="0"/>
            </w:pPr>
          </w:p>
        </w:tc>
        <w:tc>
          <w:tcPr>
            <w:tcW w:w="2160" w:type="dxa"/>
            <w:shd w:val="clear" w:color="auto" w:fill="FFFFFF"/>
            <w:tcMar>
              <w:top w:w="0" w:type="dxa"/>
              <w:left w:w="0" w:type="dxa"/>
              <w:bottom w:w="0" w:type="dxa"/>
              <w:right w:w="0" w:type="dxa"/>
            </w:tcMar>
          </w:tcPr>
          <w:p w14:paraId="0AA0107F" w14:textId="77777777" w:rsidR="00BE500F" w:rsidRDefault="00000000">
            <w:pPr>
              <w:spacing w:after="0"/>
              <w:jc w:val="right"/>
            </w:pPr>
            <w:r>
              <w:rPr>
                <w:rFonts w:ascii="Times New Roman" w:eastAsia="Helvetica" w:hAnsi="Helvetica" w:cs="Helvetica"/>
                <w:color w:val="000000"/>
                <w:sz w:val="22"/>
                <w:szCs w:val="22"/>
              </w:rPr>
              <w:t xml:space="preserve">(0.018)   </w:t>
            </w:r>
          </w:p>
        </w:tc>
        <w:tc>
          <w:tcPr>
            <w:tcW w:w="2160" w:type="dxa"/>
            <w:shd w:val="clear" w:color="auto" w:fill="FFFFFF"/>
            <w:tcMar>
              <w:top w:w="0" w:type="dxa"/>
              <w:left w:w="0" w:type="dxa"/>
              <w:bottom w:w="0" w:type="dxa"/>
              <w:right w:w="0" w:type="dxa"/>
            </w:tcMar>
          </w:tcPr>
          <w:p w14:paraId="39A59FB2" w14:textId="77777777" w:rsidR="00BE500F" w:rsidRDefault="00000000">
            <w:pPr>
              <w:spacing w:after="0"/>
              <w:jc w:val="right"/>
            </w:pPr>
            <w:r>
              <w:rPr>
                <w:rFonts w:ascii="Times New Roman" w:eastAsia="Helvetica" w:hAnsi="Helvetica" w:cs="Helvetica"/>
                <w:color w:val="000000"/>
                <w:sz w:val="22"/>
                <w:szCs w:val="22"/>
              </w:rPr>
              <w:t xml:space="preserve">(0.020)   </w:t>
            </w:r>
          </w:p>
        </w:tc>
        <w:tc>
          <w:tcPr>
            <w:tcW w:w="2160" w:type="dxa"/>
            <w:shd w:val="clear" w:color="auto" w:fill="FFFFFF"/>
            <w:tcMar>
              <w:top w:w="0" w:type="dxa"/>
              <w:left w:w="0" w:type="dxa"/>
              <w:bottom w:w="0" w:type="dxa"/>
              <w:right w:w="0" w:type="dxa"/>
            </w:tcMar>
          </w:tcPr>
          <w:p w14:paraId="21EC350D" w14:textId="77777777" w:rsidR="00BE500F" w:rsidRDefault="00000000">
            <w:pPr>
              <w:spacing w:after="0"/>
              <w:jc w:val="right"/>
            </w:pPr>
            <w:r>
              <w:rPr>
                <w:rFonts w:ascii="Times New Roman" w:eastAsia="Helvetica" w:hAnsi="Helvetica" w:cs="Helvetica"/>
                <w:color w:val="000000"/>
                <w:sz w:val="22"/>
                <w:szCs w:val="22"/>
              </w:rPr>
              <w:t xml:space="preserve">(0.020)   </w:t>
            </w:r>
          </w:p>
        </w:tc>
      </w:tr>
      <w:tr w:rsidR="00BE500F" w14:paraId="32831BAD" w14:textId="77777777">
        <w:trPr>
          <w:cantSplit/>
          <w:jc w:val="center"/>
        </w:trPr>
        <w:tc>
          <w:tcPr>
            <w:tcW w:w="2160" w:type="dxa"/>
            <w:shd w:val="clear" w:color="auto" w:fill="FFFFFF"/>
            <w:tcMar>
              <w:top w:w="0" w:type="dxa"/>
              <w:left w:w="0" w:type="dxa"/>
              <w:bottom w:w="0" w:type="dxa"/>
              <w:right w:w="0" w:type="dxa"/>
            </w:tcMar>
          </w:tcPr>
          <w:p w14:paraId="2DC69402" w14:textId="77777777" w:rsidR="00BE500F" w:rsidRDefault="00000000">
            <w:pPr>
              <w:spacing w:after="0"/>
            </w:pPr>
            <w:r>
              <w:rPr>
                <w:rFonts w:ascii="Times New Roman" w:eastAsia="Helvetica" w:hAnsi="Helvetica" w:cs="Helvetica"/>
                <w:color w:val="000000"/>
                <w:sz w:val="22"/>
                <w:szCs w:val="22"/>
              </w:rPr>
              <w:t xml:space="preserve">Post-2013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Mixed-citizenship</w:t>
            </w:r>
          </w:p>
        </w:tc>
        <w:tc>
          <w:tcPr>
            <w:tcW w:w="2160" w:type="dxa"/>
            <w:shd w:val="clear" w:color="auto" w:fill="FFFFFF"/>
            <w:tcMar>
              <w:top w:w="0" w:type="dxa"/>
              <w:left w:w="0" w:type="dxa"/>
              <w:bottom w:w="0" w:type="dxa"/>
              <w:right w:w="0" w:type="dxa"/>
            </w:tcMar>
          </w:tcPr>
          <w:p w14:paraId="3628EBC4" w14:textId="77777777" w:rsidR="00BE500F" w:rsidRDefault="00000000">
            <w:pPr>
              <w:spacing w:after="0"/>
              <w:jc w:val="right"/>
            </w:pPr>
            <w:r>
              <w:rPr>
                <w:rFonts w:ascii="Times New Roman" w:eastAsia="Helvetica" w:hAnsi="Helvetica" w:cs="Helvetica"/>
                <w:color w:val="000000"/>
                <w:sz w:val="22"/>
                <w:szCs w:val="22"/>
              </w:rPr>
              <w:t>0.104 ***</w:t>
            </w:r>
          </w:p>
        </w:tc>
        <w:tc>
          <w:tcPr>
            <w:tcW w:w="2160" w:type="dxa"/>
            <w:shd w:val="clear" w:color="auto" w:fill="FFFFFF"/>
            <w:tcMar>
              <w:top w:w="0" w:type="dxa"/>
              <w:left w:w="0" w:type="dxa"/>
              <w:bottom w:w="0" w:type="dxa"/>
              <w:right w:w="0" w:type="dxa"/>
            </w:tcMar>
          </w:tcPr>
          <w:p w14:paraId="5AE98C47" w14:textId="77777777" w:rsidR="00BE500F" w:rsidRDefault="00000000">
            <w:pPr>
              <w:spacing w:after="0"/>
              <w:jc w:val="right"/>
            </w:pPr>
            <w:r>
              <w:rPr>
                <w:rFonts w:ascii="Times New Roman" w:eastAsia="Helvetica" w:hAnsi="Helvetica" w:cs="Helvetica"/>
                <w:color w:val="000000"/>
                <w:sz w:val="22"/>
                <w:szCs w:val="22"/>
              </w:rPr>
              <w:t>0.546 ***</w:t>
            </w:r>
          </w:p>
        </w:tc>
        <w:tc>
          <w:tcPr>
            <w:tcW w:w="2160" w:type="dxa"/>
            <w:shd w:val="clear" w:color="auto" w:fill="FFFFFF"/>
            <w:tcMar>
              <w:top w:w="0" w:type="dxa"/>
              <w:left w:w="0" w:type="dxa"/>
              <w:bottom w:w="0" w:type="dxa"/>
              <w:right w:w="0" w:type="dxa"/>
            </w:tcMar>
          </w:tcPr>
          <w:p w14:paraId="4CB763F9" w14:textId="77777777" w:rsidR="00BE500F" w:rsidRDefault="00000000">
            <w:pPr>
              <w:spacing w:after="0"/>
              <w:jc w:val="right"/>
            </w:pPr>
            <w:r>
              <w:rPr>
                <w:rFonts w:ascii="Times New Roman" w:eastAsia="Helvetica" w:hAnsi="Helvetica" w:cs="Helvetica"/>
                <w:color w:val="000000"/>
                <w:sz w:val="22"/>
                <w:szCs w:val="22"/>
              </w:rPr>
              <w:t xml:space="preserve">0.071    </w:t>
            </w:r>
          </w:p>
        </w:tc>
      </w:tr>
      <w:tr w:rsidR="00BE500F" w14:paraId="0174D22B" w14:textId="77777777">
        <w:trPr>
          <w:cantSplit/>
          <w:jc w:val="center"/>
        </w:trPr>
        <w:tc>
          <w:tcPr>
            <w:tcW w:w="2160" w:type="dxa"/>
            <w:shd w:val="clear" w:color="auto" w:fill="FFFFFF"/>
            <w:tcMar>
              <w:top w:w="0" w:type="dxa"/>
              <w:left w:w="0" w:type="dxa"/>
              <w:bottom w:w="0" w:type="dxa"/>
              <w:right w:w="0" w:type="dxa"/>
            </w:tcMar>
          </w:tcPr>
          <w:p w14:paraId="6AC99BFA" w14:textId="77777777" w:rsidR="00BE500F" w:rsidRDefault="00BE500F">
            <w:pPr>
              <w:spacing w:after="0"/>
            </w:pPr>
          </w:p>
        </w:tc>
        <w:tc>
          <w:tcPr>
            <w:tcW w:w="2160" w:type="dxa"/>
            <w:shd w:val="clear" w:color="auto" w:fill="FFFFFF"/>
            <w:tcMar>
              <w:top w:w="0" w:type="dxa"/>
              <w:left w:w="0" w:type="dxa"/>
              <w:bottom w:w="0" w:type="dxa"/>
              <w:right w:w="0" w:type="dxa"/>
            </w:tcMar>
          </w:tcPr>
          <w:p w14:paraId="5371C7BF" w14:textId="77777777" w:rsidR="00BE500F" w:rsidRDefault="00000000">
            <w:pPr>
              <w:spacing w:after="0"/>
              <w:jc w:val="right"/>
            </w:pPr>
            <w:r>
              <w:rPr>
                <w:rFonts w:ascii="Times New Roman" w:eastAsia="Helvetica" w:hAnsi="Helvetica" w:cs="Helvetica"/>
                <w:color w:val="000000"/>
                <w:sz w:val="22"/>
                <w:szCs w:val="22"/>
              </w:rPr>
              <w:t xml:space="preserve">(0.016)   </w:t>
            </w:r>
          </w:p>
        </w:tc>
        <w:tc>
          <w:tcPr>
            <w:tcW w:w="2160" w:type="dxa"/>
            <w:shd w:val="clear" w:color="auto" w:fill="FFFFFF"/>
            <w:tcMar>
              <w:top w:w="0" w:type="dxa"/>
              <w:left w:w="0" w:type="dxa"/>
              <w:bottom w:w="0" w:type="dxa"/>
              <w:right w:w="0" w:type="dxa"/>
            </w:tcMar>
          </w:tcPr>
          <w:p w14:paraId="4F08C307" w14:textId="77777777" w:rsidR="00BE500F" w:rsidRDefault="00000000">
            <w:pPr>
              <w:spacing w:after="0"/>
              <w:jc w:val="right"/>
            </w:pPr>
            <w:r>
              <w:rPr>
                <w:rFonts w:ascii="Times New Roman" w:eastAsia="Helvetica" w:hAnsi="Helvetica" w:cs="Helvetica"/>
                <w:color w:val="000000"/>
                <w:sz w:val="22"/>
                <w:szCs w:val="22"/>
              </w:rPr>
              <w:t xml:space="preserve">(0.052)   </w:t>
            </w:r>
          </w:p>
        </w:tc>
        <w:tc>
          <w:tcPr>
            <w:tcW w:w="2160" w:type="dxa"/>
            <w:shd w:val="clear" w:color="auto" w:fill="FFFFFF"/>
            <w:tcMar>
              <w:top w:w="0" w:type="dxa"/>
              <w:left w:w="0" w:type="dxa"/>
              <w:bottom w:w="0" w:type="dxa"/>
              <w:right w:w="0" w:type="dxa"/>
            </w:tcMar>
          </w:tcPr>
          <w:p w14:paraId="1E2EB8D0" w14:textId="77777777" w:rsidR="00BE500F" w:rsidRDefault="00000000">
            <w:pPr>
              <w:spacing w:after="0"/>
              <w:jc w:val="right"/>
            </w:pPr>
            <w:r>
              <w:rPr>
                <w:rFonts w:ascii="Times New Roman" w:eastAsia="Helvetica" w:hAnsi="Helvetica" w:cs="Helvetica"/>
                <w:color w:val="000000"/>
                <w:sz w:val="22"/>
                <w:szCs w:val="22"/>
              </w:rPr>
              <w:t xml:space="preserve">(0.044)   </w:t>
            </w:r>
          </w:p>
        </w:tc>
      </w:tr>
      <w:tr w:rsidR="00BE500F" w14:paraId="04DD7A73" w14:textId="77777777">
        <w:trPr>
          <w:cantSplit/>
          <w:jc w:val="center"/>
        </w:trPr>
        <w:tc>
          <w:tcPr>
            <w:tcW w:w="2160" w:type="dxa"/>
            <w:shd w:val="clear" w:color="auto" w:fill="FFFFFF"/>
            <w:tcMar>
              <w:top w:w="0" w:type="dxa"/>
              <w:left w:w="0" w:type="dxa"/>
              <w:bottom w:w="0" w:type="dxa"/>
              <w:right w:w="0" w:type="dxa"/>
            </w:tcMar>
          </w:tcPr>
          <w:p w14:paraId="79AF5D7C" w14:textId="77777777" w:rsidR="00BE500F" w:rsidRDefault="00000000">
            <w:pPr>
              <w:spacing w:after="0"/>
            </w:pPr>
            <w:r>
              <w:rPr>
                <w:rFonts w:ascii="Times New Roman" w:eastAsia="Helvetica" w:hAnsi="Helvetica" w:cs="Helvetica"/>
                <w:color w:val="000000"/>
                <w:sz w:val="22"/>
                <w:szCs w:val="22"/>
              </w:rPr>
              <w:t>Post-2013</w:t>
            </w:r>
          </w:p>
        </w:tc>
        <w:tc>
          <w:tcPr>
            <w:tcW w:w="2160" w:type="dxa"/>
            <w:shd w:val="clear" w:color="auto" w:fill="FFFFFF"/>
            <w:tcMar>
              <w:top w:w="0" w:type="dxa"/>
              <w:left w:w="0" w:type="dxa"/>
              <w:bottom w:w="0" w:type="dxa"/>
              <w:right w:w="0" w:type="dxa"/>
            </w:tcMar>
          </w:tcPr>
          <w:p w14:paraId="57A26225" w14:textId="77777777" w:rsidR="00BE500F" w:rsidRDefault="00000000">
            <w:pPr>
              <w:spacing w:after="0"/>
              <w:jc w:val="right"/>
            </w:pPr>
            <w:r>
              <w:rPr>
                <w:rFonts w:ascii="Times New Roman" w:eastAsia="Helvetica" w:hAnsi="Helvetica" w:cs="Helvetica"/>
                <w:color w:val="000000"/>
                <w:sz w:val="22"/>
                <w:szCs w:val="22"/>
              </w:rPr>
              <w:t xml:space="preserve">-0.061 ** </w:t>
            </w:r>
          </w:p>
        </w:tc>
        <w:tc>
          <w:tcPr>
            <w:tcW w:w="2160" w:type="dxa"/>
            <w:shd w:val="clear" w:color="auto" w:fill="FFFFFF"/>
            <w:tcMar>
              <w:top w:w="0" w:type="dxa"/>
              <w:left w:w="0" w:type="dxa"/>
              <w:bottom w:w="0" w:type="dxa"/>
              <w:right w:w="0" w:type="dxa"/>
            </w:tcMar>
          </w:tcPr>
          <w:p w14:paraId="0B9C13D0" w14:textId="77777777" w:rsidR="00BE500F" w:rsidRDefault="00000000">
            <w:pPr>
              <w:spacing w:after="0"/>
              <w:jc w:val="right"/>
            </w:pPr>
            <w:r>
              <w:rPr>
                <w:rFonts w:ascii="Times New Roman" w:eastAsia="Helvetica" w:hAnsi="Helvetica" w:cs="Helvetica"/>
                <w:color w:val="000000"/>
                <w:sz w:val="22"/>
                <w:szCs w:val="22"/>
              </w:rPr>
              <w:t>-0.089 ***</w:t>
            </w:r>
          </w:p>
        </w:tc>
        <w:tc>
          <w:tcPr>
            <w:tcW w:w="2160" w:type="dxa"/>
            <w:shd w:val="clear" w:color="auto" w:fill="FFFFFF"/>
            <w:tcMar>
              <w:top w:w="0" w:type="dxa"/>
              <w:left w:w="0" w:type="dxa"/>
              <w:bottom w:w="0" w:type="dxa"/>
              <w:right w:w="0" w:type="dxa"/>
            </w:tcMar>
          </w:tcPr>
          <w:p w14:paraId="7DB0DB64" w14:textId="77777777" w:rsidR="00BE500F" w:rsidRDefault="00000000">
            <w:pPr>
              <w:spacing w:after="0"/>
              <w:jc w:val="right"/>
            </w:pPr>
            <w:r>
              <w:rPr>
                <w:rFonts w:ascii="Times New Roman" w:eastAsia="Helvetica" w:hAnsi="Helvetica" w:cs="Helvetica"/>
                <w:color w:val="000000"/>
                <w:sz w:val="22"/>
                <w:szCs w:val="22"/>
              </w:rPr>
              <w:t>-0.093 ***</w:t>
            </w:r>
          </w:p>
        </w:tc>
      </w:tr>
      <w:tr w:rsidR="00BE500F" w14:paraId="7AEB429C" w14:textId="77777777">
        <w:trPr>
          <w:cantSplit/>
          <w:jc w:val="center"/>
        </w:trPr>
        <w:tc>
          <w:tcPr>
            <w:tcW w:w="2160" w:type="dxa"/>
            <w:shd w:val="clear" w:color="auto" w:fill="FFFFFF"/>
            <w:tcMar>
              <w:top w:w="0" w:type="dxa"/>
              <w:left w:w="0" w:type="dxa"/>
              <w:bottom w:w="0" w:type="dxa"/>
              <w:right w:w="0" w:type="dxa"/>
            </w:tcMar>
          </w:tcPr>
          <w:p w14:paraId="3FAF4FA4" w14:textId="77777777" w:rsidR="00BE500F" w:rsidRDefault="00BE500F">
            <w:pPr>
              <w:spacing w:after="0"/>
            </w:pPr>
          </w:p>
        </w:tc>
        <w:tc>
          <w:tcPr>
            <w:tcW w:w="2160" w:type="dxa"/>
            <w:shd w:val="clear" w:color="auto" w:fill="FFFFFF"/>
            <w:tcMar>
              <w:top w:w="0" w:type="dxa"/>
              <w:left w:w="0" w:type="dxa"/>
              <w:bottom w:w="0" w:type="dxa"/>
              <w:right w:w="0" w:type="dxa"/>
            </w:tcMar>
          </w:tcPr>
          <w:p w14:paraId="438F1374" w14:textId="77777777" w:rsidR="00BE500F" w:rsidRDefault="00000000">
            <w:pPr>
              <w:spacing w:after="0"/>
              <w:jc w:val="right"/>
            </w:pPr>
            <w:r>
              <w:rPr>
                <w:rFonts w:ascii="Times New Roman" w:eastAsia="Helvetica" w:hAnsi="Helvetica" w:cs="Helvetica"/>
                <w:color w:val="000000"/>
                <w:sz w:val="22"/>
                <w:szCs w:val="22"/>
              </w:rPr>
              <w:t xml:space="preserve">(0.022)   </w:t>
            </w:r>
          </w:p>
        </w:tc>
        <w:tc>
          <w:tcPr>
            <w:tcW w:w="2160" w:type="dxa"/>
            <w:shd w:val="clear" w:color="auto" w:fill="FFFFFF"/>
            <w:tcMar>
              <w:top w:w="0" w:type="dxa"/>
              <w:left w:w="0" w:type="dxa"/>
              <w:bottom w:w="0" w:type="dxa"/>
              <w:right w:w="0" w:type="dxa"/>
            </w:tcMar>
          </w:tcPr>
          <w:p w14:paraId="62EA30EA" w14:textId="77777777" w:rsidR="00BE500F" w:rsidRDefault="00000000">
            <w:pPr>
              <w:spacing w:after="0"/>
              <w:jc w:val="right"/>
            </w:pPr>
            <w:r>
              <w:rPr>
                <w:rFonts w:ascii="Times New Roman" w:eastAsia="Helvetica" w:hAnsi="Helvetica" w:cs="Helvetica"/>
                <w:color w:val="000000"/>
                <w:sz w:val="22"/>
                <w:szCs w:val="22"/>
              </w:rPr>
              <w:t xml:space="preserve">(0.022)   </w:t>
            </w:r>
          </w:p>
        </w:tc>
        <w:tc>
          <w:tcPr>
            <w:tcW w:w="2160" w:type="dxa"/>
            <w:shd w:val="clear" w:color="auto" w:fill="FFFFFF"/>
            <w:tcMar>
              <w:top w:w="0" w:type="dxa"/>
              <w:left w:w="0" w:type="dxa"/>
              <w:bottom w:w="0" w:type="dxa"/>
              <w:right w:w="0" w:type="dxa"/>
            </w:tcMar>
          </w:tcPr>
          <w:p w14:paraId="4D6370CD" w14:textId="77777777" w:rsidR="00BE500F" w:rsidRDefault="00000000">
            <w:pPr>
              <w:spacing w:after="0"/>
              <w:jc w:val="right"/>
            </w:pPr>
            <w:r>
              <w:rPr>
                <w:rFonts w:ascii="Times New Roman" w:eastAsia="Helvetica" w:hAnsi="Helvetica" w:cs="Helvetica"/>
                <w:color w:val="000000"/>
                <w:sz w:val="22"/>
                <w:szCs w:val="22"/>
              </w:rPr>
              <w:t xml:space="preserve">(0.020)   </w:t>
            </w:r>
          </w:p>
        </w:tc>
      </w:tr>
      <w:tr w:rsidR="00BE500F" w14:paraId="786CC52C" w14:textId="77777777">
        <w:trPr>
          <w:cantSplit/>
          <w:jc w:val="center"/>
        </w:trPr>
        <w:tc>
          <w:tcPr>
            <w:tcW w:w="2160" w:type="dxa"/>
            <w:shd w:val="clear" w:color="auto" w:fill="FFFFFF"/>
            <w:tcMar>
              <w:top w:w="0" w:type="dxa"/>
              <w:left w:w="0" w:type="dxa"/>
              <w:bottom w:w="0" w:type="dxa"/>
              <w:right w:w="0" w:type="dxa"/>
            </w:tcMar>
          </w:tcPr>
          <w:p w14:paraId="2E674838" w14:textId="77777777" w:rsidR="00BE500F" w:rsidRDefault="00000000">
            <w:pPr>
              <w:spacing w:after="0"/>
            </w:pPr>
            <w:r>
              <w:rPr>
                <w:rFonts w:ascii="Times New Roman" w:eastAsia="Helvetica" w:hAnsi="Helvetica" w:cs="Helvetica"/>
                <w:color w:val="000000"/>
                <w:sz w:val="22"/>
                <w:szCs w:val="22"/>
              </w:rPr>
              <w:t>State LGB policy</w:t>
            </w:r>
          </w:p>
        </w:tc>
        <w:tc>
          <w:tcPr>
            <w:tcW w:w="2160" w:type="dxa"/>
            <w:shd w:val="clear" w:color="auto" w:fill="FFFFFF"/>
            <w:tcMar>
              <w:top w:w="0" w:type="dxa"/>
              <w:left w:w="0" w:type="dxa"/>
              <w:bottom w:w="0" w:type="dxa"/>
              <w:right w:w="0" w:type="dxa"/>
            </w:tcMar>
          </w:tcPr>
          <w:p w14:paraId="4B4A5566" w14:textId="77777777" w:rsidR="00BE500F" w:rsidRDefault="00000000">
            <w:pPr>
              <w:spacing w:after="0"/>
              <w:jc w:val="right"/>
            </w:pPr>
            <w:r>
              <w:rPr>
                <w:rFonts w:ascii="Times New Roman" w:eastAsia="Helvetica" w:hAnsi="Helvetica" w:cs="Helvetica"/>
                <w:color w:val="000000"/>
                <w:sz w:val="22"/>
                <w:szCs w:val="22"/>
              </w:rPr>
              <w:t xml:space="preserve">0.004    </w:t>
            </w:r>
          </w:p>
        </w:tc>
        <w:tc>
          <w:tcPr>
            <w:tcW w:w="2160" w:type="dxa"/>
            <w:shd w:val="clear" w:color="auto" w:fill="FFFFFF"/>
            <w:tcMar>
              <w:top w:w="0" w:type="dxa"/>
              <w:left w:w="0" w:type="dxa"/>
              <w:bottom w:w="0" w:type="dxa"/>
              <w:right w:w="0" w:type="dxa"/>
            </w:tcMar>
          </w:tcPr>
          <w:p w14:paraId="7DBB07B6" w14:textId="77777777" w:rsidR="00BE500F" w:rsidRDefault="00000000">
            <w:pPr>
              <w:spacing w:after="0"/>
              <w:jc w:val="right"/>
            </w:pPr>
            <w:r>
              <w:rPr>
                <w:rFonts w:ascii="Times New Roman" w:eastAsia="Helvetica" w:hAnsi="Helvetica" w:cs="Helvetica"/>
                <w:color w:val="000000"/>
                <w:sz w:val="22"/>
                <w:szCs w:val="22"/>
              </w:rPr>
              <w:t xml:space="preserve">0.006    </w:t>
            </w:r>
          </w:p>
        </w:tc>
        <w:tc>
          <w:tcPr>
            <w:tcW w:w="2160" w:type="dxa"/>
            <w:shd w:val="clear" w:color="auto" w:fill="FFFFFF"/>
            <w:tcMar>
              <w:top w:w="0" w:type="dxa"/>
              <w:left w:w="0" w:type="dxa"/>
              <w:bottom w:w="0" w:type="dxa"/>
              <w:right w:w="0" w:type="dxa"/>
            </w:tcMar>
          </w:tcPr>
          <w:p w14:paraId="0B23D345" w14:textId="77777777" w:rsidR="00BE500F" w:rsidRDefault="00000000">
            <w:pPr>
              <w:spacing w:after="0"/>
              <w:jc w:val="right"/>
            </w:pPr>
            <w:r>
              <w:rPr>
                <w:rFonts w:ascii="Times New Roman" w:eastAsia="Helvetica" w:hAnsi="Helvetica" w:cs="Helvetica"/>
                <w:color w:val="000000"/>
                <w:sz w:val="22"/>
                <w:szCs w:val="22"/>
              </w:rPr>
              <w:t xml:space="preserve">0.006    </w:t>
            </w:r>
          </w:p>
        </w:tc>
      </w:tr>
      <w:tr w:rsidR="00BE500F" w14:paraId="2AC74A11" w14:textId="77777777">
        <w:trPr>
          <w:cantSplit/>
          <w:jc w:val="center"/>
        </w:trPr>
        <w:tc>
          <w:tcPr>
            <w:tcW w:w="2160" w:type="dxa"/>
            <w:shd w:val="clear" w:color="auto" w:fill="FFFFFF"/>
            <w:tcMar>
              <w:top w:w="0" w:type="dxa"/>
              <w:left w:w="0" w:type="dxa"/>
              <w:bottom w:w="0" w:type="dxa"/>
              <w:right w:w="0" w:type="dxa"/>
            </w:tcMar>
          </w:tcPr>
          <w:p w14:paraId="7FD51148" w14:textId="77777777" w:rsidR="00BE500F" w:rsidRDefault="00BE500F">
            <w:pPr>
              <w:spacing w:after="0"/>
            </w:pPr>
          </w:p>
        </w:tc>
        <w:tc>
          <w:tcPr>
            <w:tcW w:w="2160" w:type="dxa"/>
            <w:shd w:val="clear" w:color="auto" w:fill="FFFFFF"/>
            <w:tcMar>
              <w:top w:w="0" w:type="dxa"/>
              <w:left w:w="0" w:type="dxa"/>
              <w:bottom w:w="0" w:type="dxa"/>
              <w:right w:w="0" w:type="dxa"/>
            </w:tcMar>
          </w:tcPr>
          <w:p w14:paraId="2C04F15E" w14:textId="77777777" w:rsidR="00BE500F" w:rsidRDefault="00000000">
            <w:pPr>
              <w:spacing w:after="0"/>
              <w:jc w:val="right"/>
            </w:pPr>
            <w:r>
              <w:rPr>
                <w:rFonts w:ascii="Times New Roman" w:eastAsia="Helvetica" w:hAnsi="Helvetica" w:cs="Helvetica"/>
                <w:color w:val="000000"/>
                <w:sz w:val="22"/>
                <w:szCs w:val="22"/>
              </w:rPr>
              <w:t xml:space="preserve">(0.004)   </w:t>
            </w:r>
          </w:p>
        </w:tc>
        <w:tc>
          <w:tcPr>
            <w:tcW w:w="2160" w:type="dxa"/>
            <w:shd w:val="clear" w:color="auto" w:fill="FFFFFF"/>
            <w:tcMar>
              <w:top w:w="0" w:type="dxa"/>
              <w:left w:w="0" w:type="dxa"/>
              <w:bottom w:w="0" w:type="dxa"/>
              <w:right w:w="0" w:type="dxa"/>
            </w:tcMar>
          </w:tcPr>
          <w:p w14:paraId="54AC6084" w14:textId="77777777" w:rsidR="00BE500F" w:rsidRDefault="00000000">
            <w:pPr>
              <w:spacing w:after="0"/>
              <w:jc w:val="right"/>
            </w:pPr>
            <w:r>
              <w:rPr>
                <w:rFonts w:ascii="Times New Roman" w:eastAsia="Helvetica" w:hAnsi="Helvetica" w:cs="Helvetica"/>
                <w:color w:val="000000"/>
                <w:sz w:val="22"/>
                <w:szCs w:val="22"/>
              </w:rPr>
              <w:t xml:space="preserve">(0.004)   </w:t>
            </w:r>
          </w:p>
        </w:tc>
        <w:tc>
          <w:tcPr>
            <w:tcW w:w="2160" w:type="dxa"/>
            <w:shd w:val="clear" w:color="auto" w:fill="FFFFFF"/>
            <w:tcMar>
              <w:top w:w="0" w:type="dxa"/>
              <w:left w:w="0" w:type="dxa"/>
              <w:bottom w:w="0" w:type="dxa"/>
              <w:right w:w="0" w:type="dxa"/>
            </w:tcMar>
          </w:tcPr>
          <w:p w14:paraId="73FF78B9" w14:textId="77777777" w:rsidR="00BE500F" w:rsidRDefault="00000000">
            <w:pPr>
              <w:spacing w:after="0"/>
              <w:jc w:val="right"/>
            </w:pPr>
            <w:r>
              <w:rPr>
                <w:rFonts w:ascii="Times New Roman" w:eastAsia="Helvetica" w:hAnsi="Helvetica" w:cs="Helvetica"/>
                <w:color w:val="000000"/>
                <w:sz w:val="22"/>
                <w:szCs w:val="22"/>
              </w:rPr>
              <w:t xml:space="preserve">(0.004)   </w:t>
            </w:r>
          </w:p>
        </w:tc>
      </w:tr>
      <w:tr w:rsidR="00BE500F" w14:paraId="2584A9C0" w14:textId="77777777">
        <w:trPr>
          <w:cantSplit/>
          <w:jc w:val="center"/>
        </w:trPr>
        <w:tc>
          <w:tcPr>
            <w:tcW w:w="2160" w:type="dxa"/>
            <w:shd w:val="clear" w:color="auto" w:fill="FFFFFF"/>
            <w:tcMar>
              <w:top w:w="0" w:type="dxa"/>
              <w:left w:w="0" w:type="dxa"/>
              <w:bottom w:w="0" w:type="dxa"/>
              <w:right w:w="0" w:type="dxa"/>
            </w:tcMar>
          </w:tcPr>
          <w:p w14:paraId="3A714791" w14:textId="77777777" w:rsidR="00BE500F" w:rsidRDefault="00000000">
            <w:pPr>
              <w:spacing w:after="0"/>
            </w:pPr>
            <w:r>
              <w:rPr>
                <w:rFonts w:ascii="Times New Roman" w:eastAsia="Helvetica" w:hAnsi="Helvetica" w:cs="Helvetica"/>
                <w:color w:val="000000"/>
                <w:sz w:val="22"/>
                <w:szCs w:val="22"/>
              </w:rPr>
              <w:t>State unemployment</w:t>
            </w:r>
          </w:p>
        </w:tc>
        <w:tc>
          <w:tcPr>
            <w:tcW w:w="2160" w:type="dxa"/>
            <w:shd w:val="clear" w:color="auto" w:fill="FFFFFF"/>
            <w:tcMar>
              <w:top w:w="0" w:type="dxa"/>
              <w:left w:w="0" w:type="dxa"/>
              <w:bottom w:w="0" w:type="dxa"/>
              <w:right w:w="0" w:type="dxa"/>
            </w:tcMar>
          </w:tcPr>
          <w:p w14:paraId="26D353E7" w14:textId="77777777" w:rsidR="00BE500F" w:rsidRDefault="00000000">
            <w:pPr>
              <w:spacing w:after="0"/>
              <w:jc w:val="right"/>
            </w:pPr>
            <w:r>
              <w:rPr>
                <w:rFonts w:ascii="Times New Roman" w:eastAsia="Helvetica" w:hAnsi="Helvetica" w:cs="Helvetica"/>
                <w:color w:val="000000"/>
                <w:sz w:val="22"/>
                <w:szCs w:val="22"/>
              </w:rPr>
              <w:t xml:space="preserve">0.001    </w:t>
            </w:r>
          </w:p>
        </w:tc>
        <w:tc>
          <w:tcPr>
            <w:tcW w:w="2160" w:type="dxa"/>
            <w:shd w:val="clear" w:color="auto" w:fill="FFFFFF"/>
            <w:tcMar>
              <w:top w:w="0" w:type="dxa"/>
              <w:left w:w="0" w:type="dxa"/>
              <w:bottom w:w="0" w:type="dxa"/>
              <w:right w:w="0" w:type="dxa"/>
            </w:tcMar>
          </w:tcPr>
          <w:p w14:paraId="144690AC" w14:textId="77777777" w:rsidR="00BE500F" w:rsidRDefault="00000000">
            <w:pPr>
              <w:spacing w:after="0"/>
              <w:jc w:val="right"/>
            </w:pPr>
            <w:r>
              <w:rPr>
                <w:rFonts w:ascii="Times New Roman" w:eastAsia="Helvetica" w:hAnsi="Helvetica" w:cs="Helvetica"/>
                <w:color w:val="000000"/>
                <w:sz w:val="22"/>
                <w:szCs w:val="22"/>
              </w:rPr>
              <w:t xml:space="preserve">-0.000    </w:t>
            </w:r>
          </w:p>
        </w:tc>
        <w:tc>
          <w:tcPr>
            <w:tcW w:w="2160" w:type="dxa"/>
            <w:shd w:val="clear" w:color="auto" w:fill="FFFFFF"/>
            <w:tcMar>
              <w:top w:w="0" w:type="dxa"/>
              <w:left w:w="0" w:type="dxa"/>
              <w:bottom w:w="0" w:type="dxa"/>
              <w:right w:w="0" w:type="dxa"/>
            </w:tcMar>
          </w:tcPr>
          <w:p w14:paraId="7228E275" w14:textId="77777777" w:rsidR="00BE500F" w:rsidRDefault="00000000">
            <w:pPr>
              <w:spacing w:after="0"/>
              <w:jc w:val="right"/>
            </w:pPr>
            <w:r>
              <w:rPr>
                <w:rFonts w:ascii="Times New Roman" w:eastAsia="Helvetica" w:hAnsi="Helvetica" w:cs="Helvetica"/>
                <w:color w:val="000000"/>
                <w:sz w:val="22"/>
                <w:szCs w:val="22"/>
              </w:rPr>
              <w:t xml:space="preserve">0.000    </w:t>
            </w:r>
          </w:p>
        </w:tc>
      </w:tr>
      <w:tr w:rsidR="00BE500F" w14:paraId="28D6EB4C" w14:textId="77777777">
        <w:trPr>
          <w:cantSplit/>
          <w:jc w:val="center"/>
        </w:trPr>
        <w:tc>
          <w:tcPr>
            <w:tcW w:w="2160" w:type="dxa"/>
            <w:shd w:val="clear" w:color="auto" w:fill="FFFFFF"/>
            <w:tcMar>
              <w:top w:w="0" w:type="dxa"/>
              <w:left w:w="0" w:type="dxa"/>
              <w:bottom w:w="0" w:type="dxa"/>
              <w:right w:w="0" w:type="dxa"/>
            </w:tcMar>
          </w:tcPr>
          <w:p w14:paraId="6D70FF57" w14:textId="77777777" w:rsidR="00BE500F" w:rsidRDefault="00BE500F">
            <w:pPr>
              <w:spacing w:after="0"/>
            </w:pPr>
          </w:p>
        </w:tc>
        <w:tc>
          <w:tcPr>
            <w:tcW w:w="2160" w:type="dxa"/>
            <w:shd w:val="clear" w:color="auto" w:fill="FFFFFF"/>
            <w:tcMar>
              <w:top w:w="0" w:type="dxa"/>
              <w:left w:w="0" w:type="dxa"/>
              <w:bottom w:w="0" w:type="dxa"/>
              <w:right w:w="0" w:type="dxa"/>
            </w:tcMar>
          </w:tcPr>
          <w:p w14:paraId="2300AF95" w14:textId="77777777" w:rsidR="00BE500F" w:rsidRDefault="00000000">
            <w:pPr>
              <w:spacing w:after="0"/>
              <w:jc w:val="right"/>
            </w:pPr>
            <w:r>
              <w:rPr>
                <w:rFonts w:ascii="Times New Roman" w:eastAsia="Helvetica" w:hAnsi="Helvetica" w:cs="Helvetica"/>
                <w:color w:val="000000"/>
                <w:sz w:val="22"/>
                <w:szCs w:val="22"/>
              </w:rPr>
              <w:t xml:space="preserve">(0.003)   </w:t>
            </w:r>
          </w:p>
        </w:tc>
        <w:tc>
          <w:tcPr>
            <w:tcW w:w="2160" w:type="dxa"/>
            <w:shd w:val="clear" w:color="auto" w:fill="FFFFFF"/>
            <w:tcMar>
              <w:top w:w="0" w:type="dxa"/>
              <w:left w:w="0" w:type="dxa"/>
              <w:bottom w:w="0" w:type="dxa"/>
              <w:right w:w="0" w:type="dxa"/>
            </w:tcMar>
          </w:tcPr>
          <w:p w14:paraId="6C5CAE15" w14:textId="77777777" w:rsidR="00BE500F" w:rsidRDefault="00000000">
            <w:pPr>
              <w:spacing w:after="0"/>
              <w:jc w:val="right"/>
            </w:pPr>
            <w:r>
              <w:rPr>
                <w:rFonts w:ascii="Times New Roman" w:eastAsia="Helvetica" w:hAnsi="Helvetica" w:cs="Helvetica"/>
                <w:color w:val="000000"/>
                <w:sz w:val="22"/>
                <w:szCs w:val="22"/>
              </w:rPr>
              <w:t xml:space="preserve">(0.003)   </w:t>
            </w:r>
          </w:p>
        </w:tc>
        <w:tc>
          <w:tcPr>
            <w:tcW w:w="2160" w:type="dxa"/>
            <w:shd w:val="clear" w:color="auto" w:fill="FFFFFF"/>
            <w:tcMar>
              <w:top w:w="0" w:type="dxa"/>
              <w:left w:w="0" w:type="dxa"/>
              <w:bottom w:w="0" w:type="dxa"/>
              <w:right w:w="0" w:type="dxa"/>
            </w:tcMar>
          </w:tcPr>
          <w:p w14:paraId="3A8F5C5B" w14:textId="77777777" w:rsidR="00BE500F" w:rsidRDefault="00000000">
            <w:pPr>
              <w:spacing w:after="0"/>
              <w:jc w:val="right"/>
            </w:pPr>
            <w:r>
              <w:rPr>
                <w:rFonts w:ascii="Times New Roman" w:eastAsia="Helvetica" w:hAnsi="Helvetica" w:cs="Helvetica"/>
                <w:color w:val="000000"/>
                <w:sz w:val="22"/>
                <w:szCs w:val="22"/>
              </w:rPr>
              <w:t xml:space="preserve">(0.003)   </w:t>
            </w:r>
          </w:p>
        </w:tc>
      </w:tr>
      <w:tr w:rsidR="00BE500F" w14:paraId="3E76D6F1" w14:textId="77777777">
        <w:trPr>
          <w:cantSplit/>
          <w:jc w:val="center"/>
        </w:trPr>
        <w:tc>
          <w:tcPr>
            <w:tcW w:w="2160" w:type="dxa"/>
            <w:shd w:val="clear" w:color="auto" w:fill="FFFFFF"/>
            <w:tcMar>
              <w:top w:w="0" w:type="dxa"/>
              <w:left w:w="0" w:type="dxa"/>
              <w:bottom w:w="0" w:type="dxa"/>
              <w:right w:w="0" w:type="dxa"/>
            </w:tcMar>
          </w:tcPr>
          <w:p w14:paraId="580D8D16" w14:textId="77777777" w:rsidR="00BE500F" w:rsidRDefault="00000000">
            <w:pPr>
              <w:spacing w:after="0"/>
            </w:pPr>
            <w:r>
              <w:rPr>
                <w:rFonts w:ascii="Times New Roman" w:eastAsia="Helvetica" w:hAnsi="Helvetica" w:cs="Helvetica"/>
                <w:color w:val="000000"/>
                <w:sz w:val="22"/>
                <w:szCs w:val="22"/>
              </w:rPr>
              <w:t>State per-capita income</w:t>
            </w:r>
          </w:p>
        </w:tc>
        <w:tc>
          <w:tcPr>
            <w:tcW w:w="2160" w:type="dxa"/>
            <w:shd w:val="clear" w:color="auto" w:fill="FFFFFF"/>
            <w:tcMar>
              <w:top w:w="0" w:type="dxa"/>
              <w:left w:w="0" w:type="dxa"/>
              <w:bottom w:w="0" w:type="dxa"/>
              <w:right w:w="0" w:type="dxa"/>
            </w:tcMar>
          </w:tcPr>
          <w:p w14:paraId="1AEA73F7" w14:textId="77777777" w:rsidR="00BE500F" w:rsidRDefault="00000000">
            <w:pPr>
              <w:spacing w:after="0"/>
              <w:jc w:val="right"/>
            </w:pPr>
            <w:r>
              <w:rPr>
                <w:rFonts w:ascii="Times New Roman" w:eastAsia="Helvetica" w:hAnsi="Helvetica" w:cs="Helvetica"/>
                <w:color w:val="000000"/>
                <w:sz w:val="22"/>
                <w:szCs w:val="22"/>
              </w:rPr>
              <w:t xml:space="preserve">0.004    </w:t>
            </w:r>
          </w:p>
        </w:tc>
        <w:tc>
          <w:tcPr>
            <w:tcW w:w="2160" w:type="dxa"/>
            <w:shd w:val="clear" w:color="auto" w:fill="FFFFFF"/>
            <w:tcMar>
              <w:top w:w="0" w:type="dxa"/>
              <w:left w:w="0" w:type="dxa"/>
              <w:bottom w:w="0" w:type="dxa"/>
              <w:right w:w="0" w:type="dxa"/>
            </w:tcMar>
          </w:tcPr>
          <w:p w14:paraId="2F6F7E95" w14:textId="77777777" w:rsidR="00BE500F" w:rsidRDefault="00000000">
            <w:pPr>
              <w:spacing w:after="0"/>
              <w:jc w:val="right"/>
            </w:pPr>
            <w:r>
              <w:rPr>
                <w:rFonts w:ascii="Times New Roman" w:eastAsia="Helvetica" w:hAnsi="Helvetica" w:cs="Helvetica"/>
                <w:color w:val="000000"/>
                <w:sz w:val="22"/>
                <w:szCs w:val="22"/>
              </w:rPr>
              <w:t xml:space="preserve">0.005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w:t>
            </w:r>
          </w:p>
        </w:tc>
        <w:tc>
          <w:tcPr>
            <w:tcW w:w="2160" w:type="dxa"/>
            <w:shd w:val="clear" w:color="auto" w:fill="FFFFFF"/>
            <w:tcMar>
              <w:top w:w="0" w:type="dxa"/>
              <w:left w:w="0" w:type="dxa"/>
              <w:bottom w:w="0" w:type="dxa"/>
              <w:right w:w="0" w:type="dxa"/>
            </w:tcMar>
          </w:tcPr>
          <w:p w14:paraId="6357E847" w14:textId="77777777" w:rsidR="00BE500F" w:rsidRDefault="00000000">
            <w:pPr>
              <w:spacing w:after="0"/>
              <w:jc w:val="right"/>
            </w:pPr>
            <w:r>
              <w:rPr>
                <w:rFonts w:ascii="Times New Roman" w:eastAsia="Helvetica" w:hAnsi="Helvetica" w:cs="Helvetica"/>
                <w:color w:val="000000"/>
                <w:sz w:val="22"/>
                <w:szCs w:val="22"/>
              </w:rPr>
              <w:t xml:space="preserve">0.003    </w:t>
            </w:r>
          </w:p>
        </w:tc>
      </w:tr>
      <w:tr w:rsidR="00BE500F" w14:paraId="34D6435F" w14:textId="77777777">
        <w:trPr>
          <w:cantSplit/>
          <w:jc w:val="center"/>
        </w:trPr>
        <w:tc>
          <w:tcPr>
            <w:tcW w:w="2160" w:type="dxa"/>
            <w:shd w:val="clear" w:color="auto" w:fill="FFFFFF"/>
            <w:tcMar>
              <w:top w:w="0" w:type="dxa"/>
              <w:left w:w="0" w:type="dxa"/>
              <w:bottom w:w="0" w:type="dxa"/>
              <w:right w:w="0" w:type="dxa"/>
            </w:tcMar>
          </w:tcPr>
          <w:p w14:paraId="7020ABA6" w14:textId="77777777" w:rsidR="00BE500F" w:rsidRDefault="00BE500F">
            <w:pPr>
              <w:spacing w:after="0"/>
            </w:pPr>
          </w:p>
        </w:tc>
        <w:tc>
          <w:tcPr>
            <w:tcW w:w="2160" w:type="dxa"/>
            <w:tcBorders>
              <w:bottom w:val="single" w:sz="3" w:space="0" w:color="000000"/>
            </w:tcBorders>
            <w:shd w:val="clear" w:color="auto" w:fill="FFFFFF"/>
            <w:tcMar>
              <w:top w:w="0" w:type="dxa"/>
              <w:left w:w="0" w:type="dxa"/>
              <w:bottom w:w="0" w:type="dxa"/>
              <w:right w:w="0" w:type="dxa"/>
            </w:tcMar>
          </w:tcPr>
          <w:p w14:paraId="3065DFD0" w14:textId="77777777" w:rsidR="00BE500F" w:rsidRDefault="00000000">
            <w:pPr>
              <w:spacing w:after="0"/>
              <w:jc w:val="right"/>
            </w:pPr>
            <w:r>
              <w:rPr>
                <w:rFonts w:ascii="Times New Roman" w:eastAsia="Helvetica" w:hAnsi="Helvetica" w:cs="Helvetica"/>
                <w:color w:val="000000"/>
                <w:sz w:val="22"/>
                <w:szCs w:val="22"/>
              </w:rPr>
              <w:t xml:space="preserve">(0.003)   </w:t>
            </w:r>
          </w:p>
        </w:tc>
        <w:tc>
          <w:tcPr>
            <w:tcW w:w="2160" w:type="dxa"/>
            <w:tcBorders>
              <w:bottom w:val="single" w:sz="3" w:space="0" w:color="000000"/>
            </w:tcBorders>
            <w:shd w:val="clear" w:color="auto" w:fill="FFFFFF"/>
            <w:tcMar>
              <w:top w:w="0" w:type="dxa"/>
              <w:left w:w="0" w:type="dxa"/>
              <w:bottom w:w="0" w:type="dxa"/>
              <w:right w:w="0" w:type="dxa"/>
            </w:tcMar>
          </w:tcPr>
          <w:p w14:paraId="4F48069A" w14:textId="77777777" w:rsidR="00BE500F" w:rsidRDefault="00000000">
            <w:pPr>
              <w:spacing w:after="0"/>
              <w:jc w:val="right"/>
            </w:pPr>
            <w:r>
              <w:rPr>
                <w:rFonts w:ascii="Times New Roman" w:eastAsia="Helvetica" w:hAnsi="Helvetica" w:cs="Helvetica"/>
                <w:color w:val="000000"/>
                <w:sz w:val="22"/>
                <w:szCs w:val="22"/>
              </w:rPr>
              <w:t xml:space="preserve">(0.003)   </w:t>
            </w:r>
          </w:p>
        </w:tc>
        <w:tc>
          <w:tcPr>
            <w:tcW w:w="2160" w:type="dxa"/>
            <w:tcBorders>
              <w:bottom w:val="single" w:sz="3" w:space="0" w:color="000000"/>
            </w:tcBorders>
            <w:shd w:val="clear" w:color="auto" w:fill="FFFFFF"/>
            <w:tcMar>
              <w:top w:w="0" w:type="dxa"/>
              <w:left w:w="0" w:type="dxa"/>
              <w:bottom w:w="0" w:type="dxa"/>
              <w:right w:w="0" w:type="dxa"/>
            </w:tcMar>
          </w:tcPr>
          <w:p w14:paraId="19322C32" w14:textId="77777777" w:rsidR="00BE500F" w:rsidRDefault="00000000">
            <w:pPr>
              <w:spacing w:after="0"/>
              <w:jc w:val="right"/>
            </w:pPr>
            <w:r>
              <w:rPr>
                <w:rFonts w:ascii="Times New Roman" w:eastAsia="Helvetica" w:hAnsi="Helvetica" w:cs="Helvetica"/>
                <w:color w:val="000000"/>
                <w:sz w:val="22"/>
                <w:szCs w:val="22"/>
              </w:rPr>
              <w:t xml:space="preserve">(0.003)   </w:t>
            </w:r>
          </w:p>
        </w:tc>
      </w:tr>
      <w:tr w:rsidR="00BE500F" w14:paraId="3E7870B3" w14:textId="77777777">
        <w:trPr>
          <w:cantSplit/>
          <w:jc w:val="center"/>
        </w:trPr>
        <w:tc>
          <w:tcPr>
            <w:tcW w:w="2160" w:type="dxa"/>
            <w:tcBorders>
              <w:bottom w:val="single" w:sz="6" w:space="0" w:color="000000"/>
            </w:tcBorders>
            <w:shd w:val="clear" w:color="auto" w:fill="FFFFFF"/>
            <w:tcMar>
              <w:top w:w="0" w:type="dxa"/>
              <w:left w:w="0" w:type="dxa"/>
              <w:bottom w:w="0" w:type="dxa"/>
              <w:right w:w="0" w:type="dxa"/>
            </w:tcMar>
          </w:tcPr>
          <w:p w14:paraId="1AE358C0" w14:textId="77777777" w:rsidR="00BE500F" w:rsidRDefault="00000000">
            <w:pPr>
              <w:spacing w:after="0"/>
            </w:pPr>
            <w:r>
              <w:rPr>
                <w:rFonts w:ascii="Times New Roman" w:eastAsia="Helvetica" w:hAnsi="Helvetica" w:cs="Helvetica"/>
                <w:color w:val="000000"/>
                <w:sz w:val="22"/>
                <w:szCs w:val="22"/>
              </w:rPr>
              <w:t>Observations</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1ED06AEF" w14:textId="77777777" w:rsidR="00BE500F" w:rsidRDefault="00000000">
            <w:pPr>
              <w:spacing w:after="0"/>
              <w:jc w:val="right"/>
            </w:pPr>
            <w:r>
              <w:rPr>
                <w:rFonts w:ascii="Times New Roman" w:eastAsia="Helvetica" w:hAnsi="Helvetica" w:cs="Helvetica"/>
                <w:color w:val="000000"/>
                <w:sz w:val="22"/>
                <w:szCs w:val="22"/>
              </w:rPr>
              <w:t xml:space="preserve">2400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3CA31A9B" w14:textId="77777777" w:rsidR="00BE500F" w:rsidRDefault="00000000">
            <w:pPr>
              <w:spacing w:after="0"/>
              <w:jc w:val="right"/>
            </w:pPr>
            <w:r>
              <w:rPr>
                <w:rFonts w:ascii="Times New Roman" w:eastAsia="Helvetica" w:hAnsi="Helvetica" w:cs="Helvetica"/>
                <w:color w:val="000000"/>
                <w:sz w:val="22"/>
                <w:szCs w:val="22"/>
              </w:rPr>
              <w:t xml:space="preserve">2400        </w:t>
            </w:r>
          </w:p>
        </w:tc>
        <w:tc>
          <w:tcPr>
            <w:tcW w:w="2160" w:type="dxa"/>
            <w:tcBorders>
              <w:top w:val="single" w:sz="3" w:space="0" w:color="000000"/>
              <w:bottom w:val="single" w:sz="6" w:space="0" w:color="000000"/>
            </w:tcBorders>
            <w:shd w:val="clear" w:color="auto" w:fill="FFFFFF"/>
            <w:tcMar>
              <w:top w:w="0" w:type="dxa"/>
              <w:left w:w="0" w:type="dxa"/>
              <w:bottom w:w="0" w:type="dxa"/>
              <w:right w:w="0" w:type="dxa"/>
            </w:tcMar>
          </w:tcPr>
          <w:p w14:paraId="58408699" w14:textId="77777777" w:rsidR="00BE500F" w:rsidRDefault="00000000">
            <w:pPr>
              <w:spacing w:after="0"/>
              <w:jc w:val="right"/>
            </w:pPr>
            <w:r>
              <w:rPr>
                <w:rFonts w:ascii="Times New Roman" w:eastAsia="Helvetica" w:hAnsi="Helvetica" w:cs="Helvetica"/>
                <w:color w:val="000000"/>
                <w:sz w:val="22"/>
                <w:szCs w:val="22"/>
              </w:rPr>
              <w:t xml:space="preserve">2400        </w:t>
            </w:r>
          </w:p>
        </w:tc>
      </w:tr>
      <w:tr w:rsidR="00BE500F" w14:paraId="65596B8F" w14:textId="77777777">
        <w:trPr>
          <w:cantSplit/>
          <w:jc w:val="center"/>
        </w:trPr>
        <w:tc>
          <w:tcPr>
            <w:tcW w:w="8640" w:type="dxa"/>
            <w:gridSpan w:val="4"/>
            <w:tcBorders>
              <w:top w:val="single" w:sz="6" w:space="0" w:color="000000"/>
            </w:tcBorders>
            <w:shd w:val="clear" w:color="auto" w:fill="FFFFFF"/>
            <w:tcMar>
              <w:top w:w="0" w:type="dxa"/>
              <w:left w:w="0" w:type="dxa"/>
              <w:bottom w:w="0" w:type="dxa"/>
              <w:right w:w="0" w:type="dxa"/>
            </w:tcMar>
          </w:tcPr>
          <w:p w14:paraId="2D886A0E" w14:textId="77777777" w:rsidR="00BE500F" w:rsidRDefault="00000000">
            <w:pPr>
              <w:spacing w:after="0"/>
            </w:pPr>
            <w:r>
              <w:rPr>
                <w:rFonts w:ascii="Times New Roman" w:eastAsia="Helvetica" w:hAnsi="Helvetica" w:cs="Helvetica"/>
                <w:color w:val="000000"/>
                <w:sz w:val="22"/>
                <w:szCs w:val="22"/>
              </w:rPr>
              <w:t xml:space="preserve"> *** p &lt; 0.001;  ** p &lt; 0.01;  * p &lt; 0.05;  </w:t>
            </w:r>
            <w:r>
              <w:rPr>
                <w:rFonts w:ascii="Times New Roman" w:eastAsia="Helvetica" w:hAnsi="Helvetica" w:cs="Helvetica"/>
                <w:color w:val="000000"/>
                <w:sz w:val="22"/>
                <w:szCs w:val="22"/>
              </w:rPr>
              <w:t>†</w:t>
            </w:r>
            <w:r>
              <w:rPr>
                <w:rFonts w:ascii="Times New Roman" w:eastAsia="Helvetica" w:hAnsi="Helvetica" w:cs="Helvetica"/>
                <w:color w:val="000000"/>
                <w:sz w:val="22"/>
                <w:szCs w:val="22"/>
              </w:rPr>
              <w:t xml:space="preserve">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14:paraId="328029F0" w14:textId="77777777" w:rsidR="00BE500F" w:rsidRDefault="00000000">
      <w:r>
        <w:br w:type="page"/>
      </w:r>
    </w:p>
    <w:p w14:paraId="79D59F9F" w14:textId="77777777" w:rsidR="00BE500F" w:rsidRDefault="00000000">
      <w:pPr>
        <w:pStyle w:val="Heading1"/>
      </w:pPr>
      <w:bookmarkStart w:id="124" w:name="figures"/>
      <w:bookmarkEnd w:id="118"/>
      <w:r>
        <w:t>Figures</w:t>
      </w:r>
    </w:p>
    <w:p w14:paraId="135982E3" w14:textId="77777777" w:rsidR="00BE500F" w:rsidRDefault="00000000">
      <w:pPr>
        <w:pStyle w:val="CaptionedFigure"/>
      </w:pPr>
      <w:r>
        <w:rPr>
          <w:noProof/>
        </w:rPr>
        <w:drawing>
          <wp:inline distT="0" distB="0" distL="0" distR="0" wp14:anchorId="699554C7" wp14:editId="20E246B0">
            <wp:extent cx="5943600" cy="3566160"/>
            <wp:effectExtent l="0" t="0" r="0" b="0"/>
            <wp:docPr id="218" name="Picture"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wp:cNvGraphicFramePr/>
            <a:graphic xmlns:a="http://schemas.openxmlformats.org/drawingml/2006/main">
              <a:graphicData uri="http://schemas.openxmlformats.org/drawingml/2006/picture">
                <pic:pic xmlns:pic="http://schemas.openxmlformats.org/drawingml/2006/picture">
                  <pic:nvPicPr>
                    <pic:cNvPr id="219" name="Picture" descr="ssimm_did_files/figure-docx/desc-1.png"/>
                    <pic:cNvPicPr>
                      <a:picLocks noChangeAspect="1" noChangeArrowheads="1"/>
                    </pic:cNvPicPr>
                  </pic:nvPicPr>
                  <pic:blipFill>
                    <a:blip r:embed="rId85"/>
                    <a:stretch>
                      <a:fillRect/>
                    </a:stretch>
                  </pic:blipFill>
                  <pic:spPr bwMode="auto">
                    <a:xfrm>
                      <a:off x="0" y="0"/>
                      <a:ext cx="5943600" cy="3566160"/>
                    </a:xfrm>
                    <a:prstGeom prst="rect">
                      <a:avLst/>
                    </a:prstGeom>
                    <a:noFill/>
                    <a:ln w="9525">
                      <a:noFill/>
                      <a:headEnd/>
                      <a:tailEnd/>
                    </a:ln>
                  </pic:spPr>
                </pic:pic>
              </a:graphicData>
            </a:graphic>
          </wp:inline>
        </w:drawing>
      </w:r>
    </w:p>
    <w:p w14:paraId="6BFEF622" w14:textId="77777777" w:rsidR="00BE500F" w:rsidRDefault="00000000">
      <w:pPr>
        <w:pStyle w:val="ImageCaption"/>
      </w:pPr>
      <w:r>
        <w:t>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w:t>
      </w:r>
    </w:p>
    <w:p w14:paraId="2F3574FB" w14:textId="77777777" w:rsidR="00BE500F" w:rsidRDefault="00000000">
      <w:r>
        <w:br w:type="page"/>
      </w:r>
    </w:p>
    <w:p w14:paraId="30D59A20" w14:textId="77777777" w:rsidR="00BE500F" w:rsidRDefault="00000000">
      <w:pPr>
        <w:pStyle w:val="CaptionedFigure"/>
      </w:pPr>
      <w:r>
        <w:rPr>
          <w:noProof/>
        </w:rPr>
        <w:drawing>
          <wp:inline distT="0" distB="0" distL="0" distR="0" wp14:anchorId="23BE9319" wp14:editId="611DF2A8">
            <wp:extent cx="5943600" cy="4160520"/>
            <wp:effectExtent l="0" t="0" r="0" b="0"/>
            <wp:docPr id="221" name="Picture" descr="Figure 2: Conceptual comparison of simple-difference (D), difference-in-differences (DD), and triple-difference (DDD) designs. The trend of interest is shown in orange, and the vertical, dashed lines represent the moment the treatment is applied. Authors’ creation."/>
            <wp:cNvGraphicFramePr/>
            <a:graphic xmlns:a="http://schemas.openxmlformats.org/drawingml/2006/main">
              <a:graphicData uri="http://schemas.openxmlformats.org/drawingml/2006/picture">
                <pic:pic xmlns:pic="http://schemas.openxmlformats.org/drawingml/2006/picture">
                  <pic:nvPicPr>
                    <pic:cNvPr id="222" name="Picture" descr="ssimm_did_files/figure-docx/method-desc-1.png"/>
                    <pic:cNvPicPr>
                      <a:picLocks noChangeAspect="1" noChangeArrowheads="1"/>
                    </pic:cNvPicPr>
                  </pic:nvPicPr>
                  <pic:blipFill>
                    <a:blip r:embed="rId86"/>
                    <a:stretch>
                      <a:fillRect/>
                    </a:stretch>
                  </pic:blipFill>
                  <pic:spPr bwMode="auto">
                    <a:xfrm>
                      <a:off x="0" y="0"/>
                      <a:ext cx="5943600" cy="4160520"/>
                    </a:xfrm>
                    <a:prstGeom prst="rect">
                      <a:avLst/>
                    </a:prstGeom>
                    <a:noFill/>
                    <a:ln w="9525">
                      <a:noFill/>
                      <a:headEnd/>
                      <a:tailEnd/>
                    </a:ln>
                  </pic:spPr>
                </pic:pic>
              </a:graphicData>
            </a:graphic>
          </wp:inline>
        </w:drawing>
      </w:r>
    </w:p>
    <w:p w14:paraId="0D868868" w14:textId="77777777" w:rsidR="00BE500F" w:rsidRDefault="00000000">
      <w:pPr>
        <w:pStyle w:val="ImageCaption"/>
      </w:pPr>
      <w:r>
        <w:t>Figure 2: Conceptual comparison of simple-difference (D), difference-in-differences (DD), and triple-difference (DDD) designs. The trend of interest is shown in orange, and the vertical, dashed lines represent the moment the treatment is applied. Authors’ creation.</w:t>
      </w:r>
    </w:p>
    <w:p w14:paraId="7D2BBBE5" w14:textId="77777777" w:rsidR="00BE500F" w:rsidRDefault="00000000">
      <w:r>
        <w:br w:type="page"/>
      </w:r>
    </w:p>
    <w:p w14:paraId="11D4304A" w14:textId="77777777" w:rsidR="00BE500F" w:rsidRDefault="00000000">
      <w:pPr>
        <w:pStyle w:val="CaptionedFigure"/>
      </w:pPr>
      <w:r>
        <w:rPr>
          <w:noProof/>
        </w:rPr>
        <w:drawing>
          <wp:inline distT="0" distB="0" distL="0" distR="0" wp14:anchorId="54F3094C" wp14:editId="0AB88287">
            <wp:extent cx="5943600" cy="4160520"/>
            <wp:effectExtent l="0" t="0" r="0" b="0"/>
            <wp:docPr id="224" name="Picture" descr="Figure 3: Dynamic specification of quasi-Poisson regression with two-way fixed effects, displaying the coefficient for the Year × Same-sex × Mixed-citizenship interaction. Survey years are aggregated into pairs, with 2008-2009 as the base category."/>
            <wp:cNvGraphicFramePr/>
            <a:graphic xmlns:a="http://schemas.openxmlformats.org/drawingml/2006/main">
              <a:graphicData uri="http://schemas.openxmlformats.org/drawingml/2006/picture">
                <pic:pic xmlns:pic="http://schemas.openxmlformats.org/drawingml/2006/picture">
                  <pic:nvPicPr>
                    <pic:cNvPr id="225" name="Picture" descr="ssimm_did_files/figure-docx/lag-plot-1.png"/>
                    <pic:cNvPicPr>
                      <a:picLocks noChangeAspect="1" noChangeArrowheads="1"/>
                    </pic:cNvPicPr>
                  </pic:nvPicPr>
                  <pic:blipFill>
                    <a:blip r:embed="rId87"/>
                    <a:stretch>
                      <a:fillRect/>
                    </a:stretch>
                  </pic:blipFill>
                  <pic:spPr bwMode="auto">
                    <a:xfrm>
                      <a:off x="0" y="0"/>
                      <a:ext cx="5943600" cy="4160520"/>
                    </a:xfrm>
                    <a:prstGeom prst="rect">
                      <a:avLst/>
                    </a:prstGeom>
                    <a:noFill/>
                    <a:ln w="9525">
                      <a:noFill/>
                      <a:headEnd/>
                      <a:tailEnd/>
                    </a:ln>
                  </pic:spPr>
                </pic:pic>
              </a:graphicData>
            </a:graphic>
          </wp:inline>
        </w:drawing>
      </w:r>
    </w:p>
    <w:p w14:paraId="144D302C" w14:textId="77777777" w:rsidR="00BE500F" w:rsidRDefault="00000000">
      <w:pPr>
        <w:pStyle w:val="ImageCaption"/>
      </w:pPr>
      <w:r>
        <w:t>Figure 3: Dynamic specification of quasi-Poisson regression with two-way fixed effects, displaying the coefficient for the Year × Same-sex × Mixed-citizenship interaction. Survey years are aggregated into pairs, with 2008-2009 as the base category.</w:t>
      </w:r>
    </w:p>
    <w:p w14:paraId="703DBEAE" w14:textId="77777777" w:rsidR="00BE500F" w:rsidRDefault="00000000">
      <w:r>
        <w:br w:type="page"/>
      </w:r>
    </w:p>
    <w:p w14:paraId="0BC909FB" w14:textId="77777777" w:rsidR="00BE500F" w:rsidRDefault="00000000">
      <w:pPr>
        <w:pStyle w:val="CaptionedFigure"/>
      </w:pPr>
      <w:r>
        <w:rPr>
          <w:noProof/>
        </w:rPr>
        <w:drawing>
          <wp:inline distT="0" distB="0" distL="0" distR="0" wp14:anchorId="63742751" wp14:editId="7A154A0E">
            <wp:extent cx="5943600" cy="7132320"/>
            <wp:effectExtent l="0" t="0" r="0" b="0"/>
            <wp:docPr id="227" name="Picture" descr="Figure 4: Estimated counts of individuals in mixed-citizenship couples originating in countries with specific LGB policies. Progressive policies are shown in green and regressive policies are shown in orange."/>
            <wp:cNvGraphicFramePr/>
            <a:graphic xmlns:a="http://schemas.openxmlformats.org/drawingml/2006/main">
              <a:graphicData uri="http://schemas.openxmlformats.org/drawingml/2006/picture">
                <pic:pic xmlns:pic="http://schemas.openxmlformats.org/drawingml/2006/picture">
                  <pic:nvPicPr>
                    <pic:cNvPr id="228" name="Picture" descr="ssimm_did_files/figure-docx/policies-desc-plot-1.png"/>
                    <pic:cNvPicPr>
                      <a:picLocks noChangeAspect="1" noChangeArrowheads="1"/>
                    </pic:cNvPicPr>
                  </pic:nvPicPr>
                  <pic:blipFill>
                    <a:blip r:embed="rId88"/>
                    <a:stretch>
                      <a:fillRect/>
                    </a:stretch>
                  </pic:blipFill>
                  <pic:spPr bwMode="auto">
                    <a:xfrm>
                      <a:off x="0" y="0"/>
                      <a:ext cx="5943600" cy="7132320"/>
                    </a:xfrm>
                    <a:prstGeom prst="rect">
                      <a:avLst/>
                    </a:prstGeom>
                    <a:noFill/>
                    <a:ln w="9525">
                      <a:noFill/>
                      <a:headEnd/>
                      <a:tailEnd/>
                    </a:ln>
                  </pic:spPr>
                </pic:pic>
              </a:graphicData>
            </a:graphic>
          </wp:inline>
        </w:drawing>
      </w:r>
    </w:p>
    <w:p w14:paraId="3A90A3E5" w14:textId="77777777" w:rsidR="00BE500F" w:rsidRDefault="00000000">
      <w:pPr>
        <w:pStyle w:val="ImageCaption"/>
      </w:pPr>
      <w:r>
        <w:t>Figure 4: Estimated counts of individuals in mixed-citizenship couples originating in countries with specific LGB policies. Progressive policies are shown in green and regressive policies are shown in orange.</w:t>
      </w:r>
    </w:p>
    <w:p w14:paraId="59EC6D7E" w14:textId="77777777" w:rsidR="00BE500F" w:rsidRDefault="00000000">
      <w:r>
        <w:br w:type="page"/>
      </w:r>
    </w:p>
    <w:p w14:paraId="5E316ACA" w14:textId="77777777" w:rsidR="00BE500F" w:rsidRDefault="00000000">
      <w:pPr>
        <w:pStyle w:val="CaptionedFigure"/>
      </w:pPr>
      <w:r>
        <w:rPr>
          <w:noProof/>
        </w:rPr>
        <w:drawing>
          <wp:inline distT="0" distB="0" distL="0" distR="0" wp14:anchorId="1DC6F00D" wp14:editId="73F3EB07">
            <wp:extent cx="5943600" cy="4754880"/>
            <wp:effectExtent l="0" t="0" r="0" b="0"/>
            <wp:docPr id="230" name="Picture"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wp:cNvGraphicFramePr/>
            <a:graphic xmlns:a="http://schemas.openxmlformats.org/drawingml/2006/main">
              <a:graphicData uri="http://schemas.openxmlformats.org/drawingml/2006/picture">
                <pic:pic xmlns:pic="http://schemas.openxmlformats.org/drawingml/2006/picture">
                  <pic:nvPicPr>
                    <pic:cNvPr id="231" name="Picture" descr="ssimm_did_files/figure-docx/policy-combos-1.png"/>
                    <pic:cNvPicPr>
                      <a:picLocks noChangeAspect="1" noChangeArrowheads="1"/>
                    </pic:cNvPicPr>
                  </pic:nvPicPr>
                  <pic:blipFill>
                    <a:blip r:embed="rId89"/>
                    <a:stretch>
                      <a:fillRect/>
                    </a:stretch>
                  </pic:blipFill>
                  <pic:spPr bwMode="auto">
                    <a:xfrm>
                      <a:off x="0" y="0"/>
                      <a:ext cx="5943600" cy="4754880"/>
                    </a:xfrm>
                    <a:prstGeom prst="rect">
                      <a:avLst/>
                    </a:prstGeom>
                    <a:noFill/>
                    <a:ln w="9525">
                      <a:noFill/>
                      <a:headEnd/>
                      <a:tailEnd/>
                    </a:ln>
                  </pic:spPr>
                </pic:pic>
              </a:graphicData>
            </a:graphic>
          </wp:inline>
        </w:drawing>
      </w:r>
    </w:p>
    <w:p w14:paraId="28DAB66E" w14:textId="77777777" w:rsidR="00BE500F" w:rsidRDefault="00000000">
      <w:pPr>
        <w:pStyle w:val="ImageCaption"/>
      </w:pPr>
      <w:r>
        <w:t>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bookmarkEnd w:id="124"/>
    </w:p>
    <w:sectPr w:rsidR="00BE500F">
      <w:footerReference w:type="even" r:id="rId90"/>
      <w:footerReference w:type="default" r:id="rId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E4AF" w14:textId="77777777" w:rsidR="00861808" w:rsidRDefault="00861808">
      <w:pPr>
        <w:spacing w:after="0"/>
      </w:pPr>
      <w:r>
        <w:separator/>
      </w:r>
    </w:p>
  </w:endnote>
  <w:endnote w:type="continuationSeparator" w:id="0">
    <w:p w14:paraId="403445EC" w14:textId="77777777" w:rsidR="00861808" w:rsidRDefault="008618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7CF842E0"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2A837C" w14:textId="77777777" w:rsidR="005E021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55029BC1" w14:textId="77777777" w:rsidR="005E021F" w:rsidRDefault="00000000"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E297B" w14:textId="77777777" w:rsidR="005E021F"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318D5" w14:textId="77777777" w:rsidR="00861808" w:rsidRDefault="00861808">
      <w:r>
        <w:separator/>
      </w:r>
    </w:p>
  </w:footnote>
  <w:footnote w:type="continuationSeparator" w:id="0">
    <w:p w14:paraId="51DEB7CA" w14:textId="77777777" w:rsidR="00861808" w:rsidRDefault="008618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86FF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71E45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00685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7C892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3234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5472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34D71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562B5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A85E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97609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8272B6C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9B50D9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2C1AE401"/>
    <w:multiLevelType w:val="multilevel"/>
    <w:tmpl w:val="A5FEA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41505960">
    <w:abstractNumId w:val="12"/>
  </w:num>
  <w:num w:numId="2" w16cid:durableId="1485972185">
    <w:abstractNumId w:val="0"/>
  </w:num>
  <w:num w:numId="3" w16cid:durableId="552665710">
    <w:abstractNumId w:val="1"/>
  </w:num>
  <w:num w:numId="4" w16cid:durableId="395738878">
    <w:abstractNumId w:val="2"/>
  </w:num>
  <w:num w:numId="5" w16cid:durableId="163204710">
    <w:abstractNumId w:val="3"/>
  </w:num>
  <w:num w:numId="6" w16cid:durableId="1417897693">
    <w:abstractNumId w:val="8"/>
  </w:num>
  <w:num w:numId="7" w16cid:durableId="650718524">
    <w:abstractNumId w:val="4"/>
  </w:num>
  <w:num w:numId="8" w16cid:durableId="139395401">
    <w:abstractNumId w:val="5"/>
  </w:num>
  <w:num w:numId="9" w16cid:durableId="2103138686">
    <w:abstractNumId w:val="6"/>
  </w:num>
  <w:num w:numId="10" w16cid:durableId="1819028114">
    <w:abstractNumId w:val="7"/>
  </w:num>
  <w:num w:numId="11" w16cid:durableId="1476334516">
    <w:abstractNumId w:val="9"/>
  </w:num>
  <w:num w:numId="12" w16cid:durableId="259027731">
    <w:abstractNumId w:val="12"/>
  </w:num>
  <w:num w:numId="13" w16cid:durableId="2144537097">
    <w:abstractNumId w:val="10"/>
  </w:num>
  <w:num w:numId="14" w16cid:durableId="2366705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00F"/>
    <w:rsid w:val="00861808"/>
    <w:rsid w:val="00BE500F"/>
    <w:rsid w:val="00F61C69"/>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3F8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5EE0"/>
    <w:rPr>
      <w:rFonts w:asciiTheme="majorBidi" w:hAnsiTheme="majorBidi"/>
    </w:rPr>
  </w:style>
  <w:style w:type="paragraph" w:styleId="Heading1">
    <w:name w:val="heading 1"/>
    <w:basedOn w:val="Normal"/>
    <w:next w:val="BodyText"/>
    <w:uiPriority w:val="9"/>
    <w:qFormat/>
    <w:rsid w:val="001656A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656A8"/>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1656A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7D2F"/>
    <w:pPr>
      <w:spacing w:after="0" w:line="480" w:lineRule="auto"/>
      <w:ind w:firstLine="720"/>
      <w:jc w:val="both"/>
    </w:pPr>
  </w:style>
  <w:style w:type="paragraph" w:customStyle="1" w:styleId="FirstParagraph">
    <w:name w:val="First Paragraph"/>
    <w:basedOn w:val="BodyText"/>
    <w:next w:val="BodyText"/>
    <w:qFormat/>
    <w:rsid w:val="001656A8"/>
    <w:pPr>
      <w:spacing w:before="180"/>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83790B"/>
    <w:pPr>
      <w:keepNext/>
      <w:keepLines/>
      <w:spacing w:before="480" w:after="240" w:line="48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F1D0B"/>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3F1D0B"/>
  </w:style>
  <w:style w:type="table" w:customStyle="1" w:styleId="Table">
    <w:name w:val="Table"/>
    <w:semiHidden/>
    <w:unhideWhenUsed/>
    <w:qFormat/>
    <w:rsid w:val="003E40C1"/>
    <w:pPr>
      <w:spacing w:after="0"/>
    </w:pPr>
    <w:rPr>
      <w:rFonts w:asciiTheme="majorBidi" w:hAnsiTheme="majorBidi"/>
      <w:sz w:val="22"/>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3F1D0B"/>
    <w:pPr>
      <w:keepNext/>
    </w:pPr>
  </w:style>
  <w:style w:type="paragraph" w:customStyle="1" w:styleId="ImageCaption">
    <w:name w:val="Image Caption"/>
    <w:basedOn w:val="Caption"/>
    <w:rsid w:val="003F1D0B"/>
    <w:rPr>
      <w:rFonts w:ascii="Times New Roman" w:hAnsi="Times New Roman"/>
    </w:rPr>
  </w:style>
  <w:style w:type="paragraph" w:customStyle="1" w:styleId="Figure">
    <w:name w:val="Figure"/>
    <w:basedOn w:val="Normal"/>
  </w:style>
  <w:style w:type="paragraph" w:customStyle="1" w:styleId="CaptionedFigure">
    <w:name w:val="Captioned Figure"/>
    <w:basedOn w:val="Figure"/>
    <w:rsid w:val="003F1D0B"/>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F1D0B"/>
    <w:rPr>
      <w:rFonts w:asciiTheme="majorBidi" w:hAnsiTheme="majorBidi"/>
      <w:shd w:val="clear" w:color="auto" w:fill="F8F8F8"/>
    </w:rPr>
  </w:style>
  <w:style w:type="character" w:customStyle="1" w:styleId="SectionNumber">
    <w:name w:val="Section Number"/>
    <w:basedOn w:val="CaptionChar"/>
  </w:style>
  <w:style w:type="character" w:styleId="FootnoteReference">
    <w:name w:val="footnote reference"/>
    <w:basedOn w:val="CaptionChar"/>
    <w:rsid w:val="003F1D0B"/>
    <w:rPr>
      <w:rFonts w:asciiTheme="majorBidi" w:hAnsiTheme="majorBidi"/>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3F1D0B"/>
    <w:pPr>
      <w:shd w:val="clear" w:color="auto" w:fill="F8F8F8"/>
      <w:wordWrap w:val="0"/>
    </w:pPr>
  </w:style>
  <w:style w:type="character" w:customStyle="1" w:styleId="KeywordTok">
    <w:name w:val="KeywordTok"/>
    <w:basedOn w:val="VerbatimChar"/>
    <w:rPr>
      <w:rFonts w:asciiTheme="majorBidi" w:hAnsiTheme="majorBidi"/>
      <w:b/>
      <w:color w:val="204A87"/>
      <w:shd w:val="clear" w:color="auto" w:fill="F8F8F8"/>
    </w:rPr>
  </w:style>
  <w:style w:type="character" w:customStyle="1" w:styleId="DataTypeTok">
    <w:name w:val="DataTypeTok"/>
    <w:basedOn w:val="VerbatimChar"/>
    <w:rPr>
      <w:rFonts w:asciiTheme="majorBidi" w:hAnsiTheme="majorBidi"/>
      <w:color w:val="204A87"/>
      <w:shd w:val="clear" w:color="auto" w:fill="F8F8F8"/>
    </w:rPr>
  </w:style>
  <w:style w:type="character" w:customStyle="1" w:styleId="DecValTok">
    <w:name w:val="DecValTok"/>
    <w:basedOn w:val="VerbatimChar"/>
    <w:rPr>
      <w:rFonts w:asciiTheme="majorBidi" w:hAnsiTheme="majorBidi"/>
      <w:color w:val="0000CF"/>
      <w:shd w:val="clear" w:color="auto" w:fill="F8F8F8"/>
    </w:rPr>
  </w:style>
  <w:style w:type="character" w:customStyle="1" w:styleId="BaseNTok">
    <w:name w:val="BaseNTok"/>
    <w:basedOn w:val="VerbatimChar"/>
    <w:rPr>
      <w:rFonts w:asciiTheme="majorBidi" w:hAnsiTheme="majorBidi"/>
      <w:color w:val="0000CF"/>
      <w:shd w:val="clear" w:color="auto" w:fill="F8F8F8"/>
    </w:rPr>
  </w:style>
  <w:style w:type="character" w:customStyle="1" w:styleId="FloatTok">
    <w:name w:val="FloatTok"/>
    <w:basedOn w:val="VerbatimChar"/>
    <w:rPr>
      <w:rFonts w:asciiTheme="majorBidi" w:hAnsiTheme="majorBidi"/>
      <w:color w:val="0000CF"/>
      <w:shd w:val="clear" w:color="auto" w:fill="F8F8F8"/>
    </w:rPr>
  </w:style>
  <w:style w:type="character" w:customStyle="1" w:styleId="ConstantTok">
    <w:name w:val="ConstantTok"/>
    <w:basedOn w:val="VerbatimChar"/>
    <w:rPr>
      <w:rFonts w:asciiTheme="majorBidi" w:hAnsiTheme="majorBidi"/>
      <w:color w:val="000000"/>
      <w:shd w:val="clear" w:color="auto" w:fill="F8F8F8"/>
    </w:rPr>
  </w:style>
  <w:style w:type="character" w:customStyle="1" w:styleId="CharTok">
    <w:name w:val="CharTok"/>
    <w:basedOn w:val="VerbatimChar"/>
    <w:rPr>
      <w:rFonts w:asciiTheme="majorBidi" w:hAnsiTheme="majorBidi"/>
      <w:color w:val="4E9A06"/>
      <w:shd w:val="clear" w:color="auto" w:fill="F8F8F8"/>
    </w:rPr>
  </w:style>
  <w:style w:type="character" w:customStyle="1" w:styleId="SpecialCharTok">
    <w:name w:val="SpecialCharTok"/>
    <w:basedOn w:val="VerbatimChar"/>
    <w:rPr>
      <w:rFonts w:asciiTheme="majorBidi" w:hAnsiTheme="majorBidi"/>
      <w:color w:val="000000"/>
      <w:shd w:val="clear" w:color="auto" w:fill="F8F8F8"/>
    </w:rPr>
  </w:style>
  <w:style w:type="character" w:customStyle="1" w:styleId="StringTok">
    <w:name w:val="StringTok"/>
    <w:basedOn w:val="VerbatimChar"/>
    <w:rPr>
      <w:rFonts w:asciiTheme="majorBidi" w:hAnsiTheme="majorBidi"/>
      <w:color w:val="4E9A06"/>
      <w:shd w:val="clear" w:color="auto" w:fill="F8F8F8"/>
    </w:rPr>
  </w:style>
  <w:style w:type="character" w:customStyle="1" w:styleId="VerbatimStringTok">
    <w:name w:val="VerbatimStringTok"/>
    <w:basedOn w:val="VerbatimChar"/>
    <w:rPr>
      <w:rFonts w:asciiTheme="majorBidi" w:hAnsiTheme="majorBidi"/>
      <w:color w:val="4E9A06"/>
      <w:shd w:val="clear" w:color="auto" w:fill="F8F8F8"/>
    </w:rPr>
  </w:style>
  <w:style w:type="character" w:customStyle="1" w:styleId="SpecialStringTok">
    <w:name w:val="SpecialStringTok"/>
    <w:basedOn w:val="VerbatimChar"/>
    <w:rPr>
      <w:rFonts w:asciiTheme="majorBidi" w:hAnsiTheme="majorBidi"/>
      <w:color w:val="4E9A06"/>
      <w:shd w:val="clear" w:color="auto" w:fill="F8F8F8"/>
    </w:rPr>
  </w:style>
  <w:style w:type="character" w:customStyle="1" w:styleId="ImportTok">
    <w:name w:val="ImportTok"/>
    <w:basedOn w:val="VerbatimChar"/>
    <w:rPr>
      <w:rFonts w:asciiTheme="majorBidi" w:hAnsiTheme="majorBidi"/>
      <w:shd w:val="clear" w:color="auto" w:fill="F8F8F8"/>
    </w:rPr>
  </w:style>
  <w:style w:type="character" w:customStyle="1" w:styleId="CommentTok">
    <w:name w:val="CommentTok"/>
    <w:basedOn w:val="VerbatimChar"/>
    <w:rPr>
      <w:rFonts w:asciiTheme="majorBidi" w:hAnsiTheme="majorBidi"/>
      <w:i/>
      <w:color w:val="8F5902"/>
      <w:shd w:val="clear" w:color="auto" w:fill="F8F8F8"/>
    </w:rPr>
  </w:style>
  <w:style w:type="character" w:customStyle="1" w:styleId="DocumentationTok">
    <w:name w:val="DocumentationTok"/>
    <w:basedOn w:val="VerbatimChar"/>
    <w:rPr>
      <w:rFonts w:asciiTheme="majorBidi" w:hAnsiTheme="majorBidi"/>
      <w:b/>
      <w:i/>
      <w:color w:val="8F5902"/>
      <w:shd w:val="clear" w:color="auto" w:fill="F8F8F8"/>
    </w:rPr>
  </w:style>
  <w:style w:type="character" w:customStyle="1" w:styleId="AnnotationTok">
    <w:name w:val="AnnotationTok"/>
    <w:basedOn w:val="VerbatimChar"/>
    <w:rPr>
      <w:rFonts w:asciiTheme="majorBidi" w:hAnsiTheme="majorBidi"/>
      <w:b/>
      <w:i/>
      <w:color w:val="8F5902"/>
      <w:shd w:val="clear" w:color="auto" w:fill="F8F8F8"/>
    </w:rPr>
  </w:style>
  <w:style w:type="character" w:customStyle="1" w:styleId="CommentVarTok">
    <w:name w:val="CommentVarTok"/>
    <w:basedOn w:val="VerbatimChar"/>
    <w:rPr>
      <w:rFonts w:asciiTheme="majorBidi" w:hAnsiTheme="majorBidi"/>
      <w:b/>
      <w:i/>
      <w:color w:val="8F5902"/>
      <w:shd w:val="clear" w:color="auto" w:fill="F8F8F8"/>
    </w:rPr>
  </w:style>
  <w:style w:type="character" w:customStyle="1" w:styleId="OtherTok">
    <w:name w:val="OtherTok"/>
    <w:basedOn w:val="VerbatimChar"/>
    <w:rPr>
      <w:rFonts w:asciiTheme="majorBidi" w:hAnsiTheme="majorBidi"/>
      <w:color w:val="8F5902"/>
      <w:shd w:val="clear" w:color="auto" w:fill="F8F8F8"/>
    </w:rPr>
  </w:style>
  <w:style w:type="character" w:customStyle="1" w:styleId="FunctionTok">
    <w:name w:val="FunctionTok"/>
    <w:basedOn w:val="VerbatimChar"/>
    <w:rPr>
      <w:rFonts w:asciiTheme="majorBidi" w:hAnsiTheme="majorBidi"/>
      <w:color w:val="000000"/>
      <w:shd w:val="clear" w:color="auto" w:fill="F8F8F8"/>
    </w:rPr>
  </w:style>
  <w:style w:type="character" w:customStyle="1" w:styleId="VariableTok">
    <w:name w:val="VariableTok"/>
    <w:basedOn w:val="VerbatimChar"/>
    <w:rPr>
      <w:rFonts w:asciiTheme="majorBidi" w:hAnsiTheme="majorBidi"/>
      <w:color w:val="000000"/>
      <w:shd w:val="clear" w:color="auto" w:fill="F8F8F8"/>
    </w:rPr>
  </w:style>
  <w:style w:type="character" w:customStyle="1" w:styleId="ControlFlowTok">
    <w:name w:val="ControlFlowTok"/>
    <w:basedOn w:val="VerbatimChar"/>
    <w:rPr>
      <w:rFonts w:asciiTheme="majorBidi" w:hAnsiTheme="majorBidi"/>
      <w:b/>
      <w:color w:val="204A87"/>
      <w:shd w:val="clear" w:color="auto" w:fill="F8F8F8"/>
    </w:rPr>
  </w:style>
  <w:style w:type="character" w:customStyle="1" w:styleId="OperatorTok">
    <w:name w:val="OperatorTok"/>
    <w:basedOn w:val="VerbatimChar"/>
    <w:rPr>
      <w:rFonts w:asciiTheme="majorBidi" w:hAnsiTheme="majorBidi"/>
      <w:b/>
      <w:color w:val="CE5C00"/>
      <w:shd w:val="clear" w:color="auto" w:fill="F8F8F8"/>
    </w:rPr>
  </w:style>
  <w:style w:type="character" w:customStyle="1" w:styleId="BuiltInTok">
    <w:name w:val="BuiltInTok"/>
    <w:basedOn w:val="VerbatimChar"/>
    <w:rPr>
      <w:rFonts w:asciiTheme="majorBidi" w:hAnsiTheme="majorBidi"/>
      <w:shd w:val="clear" w:color="auto" w:fill="F8F8F8"/>
    </w:rPr>
  </w:style>
  <w:style w:type="character" w:customStyle="1" w:styleId="ExtensionTok">
    <w:name w:val="ExtensionTok"/>
    <w:basedOn w:val="VerbatimChar"/>
    <w:rPr>
      <w:rFonts w:asciiTheme="majorBidi" w:hAnsiTheme="majorBidi"/>
      <w:shd w:val="clear" w:color="auto" w:fill="F8F8F8"/>
    </w:rPr>
  </w:style>
  <w:style w:type="character" w:customStyle="1" w:styleId="PreprocessorTok">
    <w:name w:val="PreprocessorTok"/>
    <w:basedOn w:val="VerbatimChar"/>
    <w:rPr>
      <w:rFonts w:asciiTheme="majorBidi" w:hAnsiTheme="majorBidi"/>
      <w:i/>
      <w:color w:val="8F5902"/>
      <w:shd w:val="clear" w:color="auto" w:fill="F8F8F8"/>
    </w:rPr>
  </w:style>
  <w:style w:type="character" w:customStyle="1" w:styleId="AttributeTok">
    <w:name w:val="AttributeTok"/>
    <w:basedOn w:val="VerbatimChar"/>
    <w:rPr>
      <w:rFonts w:asciiTheme="majorBidi" w:hAnsiTheme="majorBidi"/>
      <w:color w:val="C4A000"/>
      <w:shd w:val="clear" w:color="auto" w:fill="F8F8F8"/>
    </w:rPr>
  </w:style>
  <w:style w:type="character" w:customStyle="1" w:styleId="RegionMarkerTok">
    <w:name w:val="RegionMarkerTok"/>
    <w:basedOn w:val="VerbatimChar"/>
    <w:rPr>
      <w:rFonts w:asciiTheme="majorBidi" w:hAnsiTheme="majorBidi"/>
      <w:shd w:val="clear" w:color="auto" w:fill="F8F8F8"/>
    </w:rPr>
  </w:style>
  <w:style w:type="character" w:customStyle="1" w:styleId="InformationTok">
    <w:name w:val="InformationTok"/>
    <w:basedOn w:val="VerbatimChar"/>
    <w:rPr>
      <w:rFonts w:asciiTheme="majorBidi" w:hAnsiTheme="majorBidi"/>
      <w:b/>
      <w:i/>
      <w:color w:val="8F5902"/>
      <w:shd w:val="clear" w:color="auto" w:fill="F8F8F8"/>
    </w:rPr>
  </w:style>
  <w:style w:type="character" w:customStyle="1" w:styleId="WarningTok">
    <w:name w:val="WarningTok"/>
    <w:basedOn w:val="VerbatimChar"/>
    <w:rPr>
      <w:rFonts w:asciiTheme="majorBidi" w:hAnsiTheme="majorBidi"/>
      <w:b/>
      <w:i/>
      <w:color w:val="8F5902"/>
      <w:shd w:val="clear" w:color="auto" w:fill="F8F8F8"/>
    </w:rPr>
  </w:style>
  <w:style w:type="character" w:customStyle="1" w:styleId="AlertTok">
    <w:name w:val="AlertTok"/>
    <w:basedOn w:val="VerbatimChar"/>
    <w:rPr>
      <w:rFonts w:asciiTheme="majorBidi" w:hAnsiTheme="majorBidi"/>
      <w:color w:val="EF2929"/>
      <w:shd w:val="clear" w:color="auto" w:fill="F8F8F8"/>
    </w:rPr>
  </w:style>
  <w:style w:type="character" w:customStyle="1" w:styleId="ErrorTok">
    <w:name w:val="ErrorTok"/>
    <w:basedOn w:val="VerbatimChar"/>
    <w:rPr>
      <w:rFonts w:asciiTheme="majorBidi" w:hAnsiTheme="majorBidi"/>
      <w:b/>
      <w:color w:val="A40000"/>
      <w:shd w:val="clear" w:color="auto" w:fill="F8F8F8"/>
    </w:rPr>
  </w:style>
  <w:style w:type="character" w:customStyle="1" w:styleId="NormalTok">
    <w:name w:val="NormalTok"/>
    <w:basedOn w:val="VerbatimChar"/>
    <w:rPr>
      <w:rFonts w:asciiTheme="majorBidi" w:hAnsiTheme="majorBidi"/>
      <w:shd w:val="clear" w:color="auto" w:fill="F8F8F8"/>
    </w:rPr>
  </w:style>
  <w:style w:type="character" w:styleId="FollowedHyperlink">
    <w:name w:val="FollowedHyperlink"/>
    <w:basedOn w:val="DefaultParagraphFont"/>
    <w:semiHidden/>
    <w:unhideWhenUsed/>
    <w:rsid w:val="003F1D0B"/>
    <w:rPr>
      <w:color w:val="800080" w:themeColor="followedHyperlink"/>
      <w:u w:val="single"/>
    </w:rPr>
  </w:style>
  <w:style w:type="character" w:customStyle="1" w:styleId="BodyTextChar">
    <w:name w:val="Body Text Char"/>
    <w:basedOn w:val="DefaultParagraphFont"/>
    <w:link w:val="BodyText"/>
    <w:rsid w:val="00B27D2F"/>
    <w:rPr>
      <w:rFonts w:asciiTheme="majorBidi" w:hAnsiTheme="majorBidi"/>
    </w:rPr>
  </w:style>
  <w:style w:type="paragraph" w:styleId="Footer">
    <w:name w:val="footer"/>
    <w:basedOn w:val="Normal"/>
    <w:link w:val="FooterChar"/>
    <w:unhideWhenUsed/>
    <w:rsid w:val="005E021F"/>
    <w:pPr>
      <w:tabs>
        <w:tab w:val="center" w:pos="4680"/>
        <w:tab w:val="right" w:pos="9360"/>
      </w:tabs>
      <w:spacing w:after="0"/>
    </w:pPr>
  </w:style>
  <w:style w:type="character" w:customStyle="1" w:styleId="FooterChar">
    <w:name w:val="Footer Char"/>
    <w:basedOn w:val="DefaultParagraphFont"/>
    <w:link w:val="Footer"/>
    <w:rsid w:val="005E021F"/>
    <w:rPr>
      <w:rFonts w:asciiTheme="majorBidi" w:hAnsiTheme="majorBidi"/>
    </w:rPr>
  </w:style>
  <w:style w:type="character" w:styleId="PageNumber">
    <w:name w:val="page number"/>
    <w:basedOn w:val="DefaultParagraphFont"/>
    <w:semiHidden/>
    <w:unhideWhenUsed/>
    <w:rsid w:val="005E021F"/>
  </w:style>
  <w:style w:type="paragraph" w:styleId="Header">
    <w:name w:val="header"/>
    <w:basedOn w:val="Normal"/>
    <w:link w:val="HeaderChar"/>
    <w:unhideWhenUsed/>
    <w:rsid w:val="005E021F"/>
    <w:pPr>
      <w:tabs>
        <w:tab w:val="center" w:pos="4680"/>
        <w:tab w:val="right" w:pos="9360"/>
      </w:tabs>
      <w:spacing w:after="0"/>
    </w:pPr>
  </w:style>
  <w:style w:type="character" w:customStyle="1" w:styleId="HeaderCha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1369183X.2017.1420466" TargetMode="External"/><Relationship Id="rId21" Type="http://schemas.openxmlformats.org/officeDocument/2006/relationships/hyperlink" Target="https://doi.org/10.1177/1363460705050853" TargetMode="External"/><Relationship Id="rId42" Type="http://schemas.openxmlformats.org/officeDocument/2006/relationships/hyperlink" Target="https://doi.org/10.1111/taja.12415" TargetMode="External"/><Relationship Id="rId47" Type="http://schemas.openxmlformats.org/officeDocument/2006/relationships/hyperlink" Target="https://doi.org/10.1007/s13524-017-0633-8" TargetMode="External"/><Relationship Id="rId63" Type="http://schemas.openxmlformats.org/officeDocument/2006/relationships/hyperlink" Target="https://doi.org/10.1007/s12122-020-09305-4" TargetMode="External"/><Relationship Id="rId68" Type="http://schemas.openxmlformats.org/officeDocument/2006/relationships/hyperlink" Target="https://doi.org/10.4054/DemRes.2015.33.25" TargetMode="External"/><Relationship Id="rId84" Type="http://schemas.openxmlformats.org/officeDocument/2006/relationships/hyperlink" Target="https://doi.org/10.1007/s13524-015-0432-z" TargetMode="External"/><Relationship Id="rId89" Type="http://schemas.openxmlformats.org/officeDocument/2006/relationships/image" Target="media/image5.png"/><Relationship Id="rId16" Type="http://schemas.openxmlformats.org/officeDocument/2006/relationships/hyperlink" Target="https://doi.org/10.1111/j.1467-954X.2009.01864.x" TargetMode="External"/><Relationship Id="rId11" Type="http://schemas.openxmlformats.org/officeDocument/2006/relationships/hyperlink" Target="https://doi.org/10.1016/j.ssresearch.2009.01.002" TargetMode="External"/><Relationship Id="rId32" Type="http://schemas.openxmlformats.org/officeDocument/2006/relationships/hyperlink" Target="https://doi.org/10.1007/s13524-013-0267-4" TargetMode="External"/><Relationship Id="rId37" Type="http://schemas.openxmlformats.org/officeDocument/2006/relationships/hyperlink" Target="https://doi.org/10.1111/j.1540-4560.2011.01705.x" TargetMode="External"/><Relationship Id="rId53" Type="http://schemas.openxmlformats.org/officeDocument/2006/relationships/hyperlink" Target="https://doi.org/10.1002/psp.2088" TargetMode="External"/><Relationship Id="rId58" Type="http://schemas.openxmlformats.org/officeDocument/2006/relationships/hyperlink" Target="https://doi.org/10.1111/lapo.12032" TargetMode="External"/><Relationship Id="rId74" Type="http://schemas.openxmlformats.org/officeDocument/2006/relationships/hyperlink" Target="https://doi.org/10.1111/jomf.12617" TargetMode="External"/><Relationship Id="rId79" Type="http://schemas.openxmlformats.org/officeDocument/2006/relationships/hyperlink" Target="https://doi.org/10.1111/jomf.12155" TargetMode="External"/><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hyperlink" Target="https://doi.org/10.1080/1369183X.2019.1625137" TargetMode="External"/><Relationship Id="rId27" Type="http://schemas.openxmlformats.org/officeDocument/2006/relationships/hyperlink" Target="https://doi.org/10.1016/j.geoforum.2015.11.007" TargetMode="External"/><Relationship Id="rId43" Type="http://schemas.openxmlformats.org/officeDocument/2006/relationships/hyperlink" Target="https://doi.org/10.1007/s13178-013-0125-6" TargetMode="External"/><Relationship Id="rId48" Type="http://schemas.openxmlformats.org/officeDocument/2006/relationships/hyperlink" Target="https://doi.org/10.1080/00324720701571806" TargetMode="External"/><Relationship Id="rId64" Type="http://schemas.openxmlformats.org/officeDocument/2006/relationships/hyperlink" Target="https://doi.org/10.1177/0010414002035002004" TargetMode="External"/><Relationship Id="rId69" Type="http://schemas.openxmlformats.org/officeDocument/2006/relationships/hyperlink" Target="https://doi.org/10.31235/osf.io/mzuwe" TargetMode="External"/><Relationship Id="rId8" Type="http://schemas.openxmlformats.org/officeDocument/2006/relationships/hyperlink" Target="https://www.lgbtmap.org/" TargetMode="External"/><Relationship Id="rId51" Type="http://schemas.openxmlformats.org/officeDocument/2006/relationships/hyperlink" Target="https://doi.org/10.1007/s13524-019-00847-6" TargetMode="External"/><Relationship Id="rId72" Type="http://schemas.openxmlformats.org/officeDocument/2006/relationships/hyperlink" Target="https://doi.org/10.1080/19436149.2020.1704501" TargetMode="External"/><Relationship Id="rId80" Type="http://schemas.openxmlformats.org/officeDocument/2006/relationships/hyperlink" Target="https://doi.org/10.1080/1550428X.2020.1862012" TargetMode="External"/><Relationship Id="rId85" Type="http://schemas.openxmlformats.org/officeDocument/2006/relationships/image" Target="media/image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i.org/10.1080/0141987032000087361" TargetMode="External"/><Relationship Id="rId17" Type="http://schemas.openxmlformats.org/officeDocument/2006/relationships/hyperlink" Target="https://doi.org/10.1017/jlr.2021.6" TargetMode="External"/><Relationship Id="rId25" Type="http://schemas.openxmlformats.org/officeDocument/2006/relationships/hyperlink" Target="https://doi.org/10.1353/dem.0.0118" TargetMode="External"/><Relationship Id="rId33" Type="http://schemas.openxmlformats.org/officeDocument/2006/relationships/hyperlink" Target="https://doi.org/10.1111/jftr.12009" TargetMode="External"/><Relationship Id="rId38" Type="http://schemas.openxmlformats.org/officeDocument/2006/relationships/hyperlink" Target="https://doi.org/10.1007/s10680-014-9321-1" TargetMode="External"/><Relationship Id="rId46" Type="http://schemas.openxmlformats.org/officeDocument/2006/relationships/hyperlink" Target="https://doi.org/10.1353/dem.2002.0027" TargetMode="External"/><Relationship Id="rId59" Type="http://schemas.openxmlformats.org/officeDocument/2006/relationships/hyperlink" Target="https://doi.org/10.1215/10642684-2007-029" TargetMode="External"/><Relationship Id="rId67" Type="http://schemas.openxmlformats.org/officeDocument/2006/relationships/hyperlink" Target="https://doi.org/10.1093/ectj/utac010" TargetMode="External"/><Relationship Id="rId20" Type="http://schemas.openxmlformats.org/officeDocument/2006/relationships/hyperlink" Target="https://doi.org/10.1146/annurev.so.17.080191.001551" TargetMode="External"/><Relationship Id="rId41" Type="http://schemas.openxmlformats.org/officeDocument/2006/relationships/hyperlink" Target="https://doi.org/10.1080/00224490802645294" TargetMode="External"/><Relationship Id="rId54" Type="http://schemas.openxmlformats.org/officeDocument/2006/relationships/hyperlink" Target="https://doi.org/10.1017/S0003055409990050" TargetMode="External"/><Relationship Id="rId62" Type="http://schemas.openxmlformats.org/officeDocument/2006/relationships/hyperlink" Target="https://doi.org/10.1215/00703370-10181474" TargetMode="External"/><Relationship Id="rId70" Type="http://schemas.openxmlformats.org/officeDocument/2006/relationships/hyperlink" Target="https://doi.org/10.1177/000312240507000401" TargetMode="External"/><Relationship Id="rId75" Type="http://schemas.openxmlformats.org/officeDocument/2006/relationships/hyperlink" Target="https://doi.org/10.4054/DemRes.2009.21.28" TargetMode="External"/><Relationship Id="rId83" Type="http://schemas.openxmlformats.org/officeDocument/2006/relationships/hyperlink" Target="https://doi.org/10.1093/sf/soy070" TargetMode="External"/><Relationship Id="rId88" Type="http://schemas.openxmlformats.org/officeDocument/2006/relationships/image" Target="media/image4.png"/><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7/0192513X12464872" TargetMode="External"/><Relationship Id="rId23" Type="http://schemas.openxmlformats.org/officeDocument/2006/relationships/hyperlink" Target="https://doi.org/10.1080/21620555.2016.1199257" TargetMode="External"/><Relationship Id="rId28" Type="http://schemas.openxmlformats.org/officeDocument/2006/relationships/hyperlink" Target="https://doi.org/10.1111/laps.12034" TargetMode="External"/><Relationship Id="rId36" Type="http://schemas.openxmlformats.org/officeDocument/2006/relationships/hyperlink" Target="https://doi.org/10.2307/1911191" TargetMode="External"/><Relationship Id="rId49" Type="http://schemas.openxmlformats.org/officeDocument/2006/relationships/hyperlink" Target="https://doi.org/10.1353/dem.0.0103" TargetMode="External"/><Relationship Id="rId57" Type="http://schemas.openxmlformats.org/officeDocument/2006/relationships/hyperlink" Target="https://doi.org/10.1177/0002716215594614" TargetMode="External"/><Relationship Id="rId10" Type="http://schemas.openxmlformats.org/officeDocument/2006/relationships/hyperlink" Target="https://doi.org/10.1146/annurev-soc-073018-022332" TargetMode="External"/><Relationship Id="rId31" Type="http://schemas.openxmlformats.org/officeDocument/2006/relationships/hyperlink" Target="https://doi.org/10.1080/1369183X.2018.1500172" TargetMode="External"/><Relationship Id="rId44" Type="http://schemas.openxmlformats.org/officeDocument/2006/relationships/hyperlink" Target="https://doi.org/10.1111/j.1747-4469.2003.tb00210.x" TargetMode="External"/><Relationship Id="rId52" Type="http://schemas.openxmlformats.org/officeDocument/2006/relationships/hyperlink" Target="https://doi.org/10.4324/9780203849200" TargetMode="External"/><Relationship Id="rId60" Type="http://schemas.openxmlformats.org/officeDocument/2006/relationships/hyperlink" Target="https://doi.org/10.1300/J082v47n01_07" TargetMode="External"/><Relationship Id="rId65" Type="http://schemas.openxmlformats.org/officeDocument/2006/relationships/hyperlink" Target="https://doi.org/10.1080/10130950.2013.811014" TargetMode="External"/><Relationship Id="rId73" Type="http://schemas.openxmlformats.org/officeDocument/2006/relationships/hyperlink" Target="https://doi.org/10.1080/09518398.2015.1017858" TargetMode="External"/><Relationship Id="rId78" Type="http://schemas.openxmlformats.org/officeDocument/2006/relationships/hyperlink" Target="https://doi.org/10.4054/DemRes.2014.30.54" TargetMode="External"/><Relationship Id="rId81" Type="http://schemas.openxmlformats.org/officeDocument/2006/relationships/hyperlink" Target="https://doi.org/10.1111/j.1540-4560.2011.01701.x" TargetMode="External"/><Relationship Id="rId86"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177/0010414018797947" TargetMode="External"/><Relationship Id="rId13" Type="http://schemas.openxmlformats.org/officeDocument/2006/relationships/hyperlink" Target="https://doi.org/10.1080/1369183X.2016.1243050" TargetMode="External"/><Relationship Id="rId18" Type="http://schemas.openxmlformats.org/officeDocument/2006/relationships/hyperlink" Target="https://doi.org/10.1080/1070289X.2020.1737404" TargetMode="External"/><Relationship Id="rId39" Type="http://schemas.openxmlformats.org/officeDocument/2006/relationships/hyperlink" Target="https://doi.org/10.1016/j.irle.2013.01.002" TargetMode="External"/><Relationship Id="rId34" Type="http://schemas.openxmlformats.org/officeDocument/2006/relationships/hyperlink" Target="https://doi.org/10.1111/j.1741-3737.2012.00992.x" TargetMode="External"/><Relationship Id="rId50" Type="http://schemas.openxmlformats.org/officeDocument/2006/relationships/hyperlink" Target="https://doi.org/10.1080/00918369.2017.1423216" TargetMode="External"/><Relationship Id="rId55" Type="http://schemas.openxmlformats.org/officeDocument/2006/relationships/hyperlink" Target="https://doi.org/10.3138/jcfs.21.2.287" TargetMode="External"/><Relationship Id="rId76" Type="http://schemas.openxmlformats.org/officeDocument/2006/relationships/hyperlink" Target="https://doi.org/10.4054/DemRes.2009.21.7" TargetMode="External"/><Relationship Id="rId7" Type="http://schemas.openxmlformats.org/officeDocument/2006/relationships/hyperlink" Target="https://usa.ipums.org/usa/" TargetMode="External"/><Relationship Id="rId71" Type="http://schemas.openxmlformats.org/officeDocument/2006/relationships/hyperlink" Target="https://doi.org/10.3917/migra.150.0095"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doi.org/10.1177/0011392119850231" TargetMode="External"/><Relationship Id="rId24" Type="http://schemas.openxmlformats.org/officeDocument/2006/relationships/hyperlink" Target="https://doi.org/10.1177/00380385211073237" TargetMode="External"/><Relationship Id="rId40" Type="http://schemas.openxmlformats.org/officeDocument/2006/relationships/hyperlink" Target="https://doi.org/10.31235/osf.io/hxjkt" TargetMode="External"/><Relationship Id="rId45" Type="http://schemas.openxmlformats.org/officeDocument/2006/relationships/hyperlink" Target="https://doi.org/10.1093/sf/sox008" TargetMode="External"/><Relationship Id="rId66" Type="http://schemas.openxmlformats.org/officeDocument/2006/relationships/hyperlink" Target="https://www.jstor.org/stable/24469638" TargetMode="External"/><Relationship Id="rId87" Type="http://schemas.openxmlformats.org/officeDocument/2006/relationships/image" Target="media/image3.png"/><Relationship Id="rId61" Type="http://schemas.openxmlformats.org/officeDocument/2006/relationships/hyperlink" Target="https://doi.org/10.1007/s13524-016-0490-x" TargetMode="External"/><Relationship Id="rId82" Type="http://schemas.openxmlformats.org/officeDocument/2006/relationships/hyperlink" Target="https://doi.org/10.1093/sf/soy030" TargetMode="External"/><Relationship Id="rId19" Type="http://schemas.openxmlformats.org/officeDocument/2006/relationships/hyperlink" Target="https://doi.org/10.1002/jrsm.12" TargetMode="External"/><Relationship Id="rId14" Type="http://schemas.openxmlformats.org/officeDocument/2006/relationships/hyperlink" Target="https://doi.org/10.1086/658500" TargetMode="External"/><Relationship Id="rId30" Type="http://schemas.openxmlformats.org/officeDocument/2006/relationships/hyperlink" Target="https://doi.org/10.1177/0268580912466881" TargetMode="External"/><Relationship Id="rId35" Type="http://schemas.openxmlformats.org/officeDocument/2006/relationships/hyperlink" Target="https://doi.org/10.1111/j.1728-4457.2015.00045.x" TargetMode="External"/><Relationship Id="rId56" Type="http://schemas.openxmlformats.org/officeDocument/2006/relationships/hyperlink" Target="https://doi.org/10.1080/10538720.2020.1728461" TargetMode="External"/><Relationship Id="rId77" Type="http://schemas.openxmlformats.org/officeDocument/2006/relationships/hyperlink" Target="https://doi.org/10.1111/area.122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word-template.dotx</Template>
  <TotalTime>0</TotalTime>
  <Pages>35</Pages>
  <Words>12944</Words>
  <Characters>73782</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86553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Hoffmann, Nathan</dc:creator>
  <cp:keywords/>
  <cp:lastModifiedBy>Hoffmann, Nathan</cp:lastModifiedBy>
  <cp:revision>2</cp:revision>
  <dcterms:created xsi:type="dcterms:W3CDTF">2023-06-26T18:35:00Z</dcterms:created>
  <dcterms:modified xsi:type="dcterms:W3CDTF">2023-06-26T18:35:00Z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