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0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2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</w:p>
    <w:p>
      <w:pPr>
        <w:pStyle w:val="Subtitle"/>
      </w:pPr>
      <w:r>
        <w:t xml:space="preserve">The Geography of Immigrants in Same-Sex Couples in the United States</w:t>
      </w:r>
    </w:p>
    <w:p>
      <w:pPr>
        <w:pStyle w:val="Author"/>
      </w:pPr>
      <w:r>
        <w:t xml:space="preserve">Nathan I. Hoffmann, Department of Sociology, UCLA</w:t>
      </w:r>
    </w:p>
    <w:p>
      <w:pPr>
        <w:pStyle w:val="Author"/>
      </w:pPr>
      <w:r>
        <w:t xml:space="preserve">Kristopher Velasco, Department of Sociology, Princeton University</w:t>
      </w:r>
    </w:p>
    <w:p>
      <w:r>
        <w:br w:type="page"/>
      </w:r>
    </w:p>
    <w:bookmarkStart w:id="24" w:name="X0ff785bd73ca5626d92ae049ec61722480f9438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Maps of state-level proportions for subgroups</w:t>
      </w:r>
    </w:p>
    <w:p>
      <w:pPr>
        <w:pStyle w:val="CaptionedFigure"/>
      </w:pPr>
      <w:r>
        <w:drawing>
          <wp:inline>
            <wp:extent cx="5943600" cy="6537960"/>
            <wp:effectExtent b="0" l="0" r="0" t="0"/>
            <wp:docPr descr="Figure 1.1: Percentage of migrants in same-sex couples in each state consisting of particular subgroups, from ACS estimates that incorporate sampling weights (2008-2019 and 2021-2023)." title="" id="21" name="Picture"/>
            <a:graphic>
              <a:graphicData uri="http://schemas.openxmlformats.org/drawingml/2006/picture">
                <pic:pic>
                  <pic:nvPicPr>
                    <pic:cNvPr descr="ssimm_geo_appendix_files/figure-docx/subgroups-map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:subgroups-map"/>
      <w:bookmarkEnd w:id="23"/>
      <w:r>
        <w:t xml:space="preserve">Figure 1.1: Percentage of migrants in same-sex couples in each state consisting of particular subgroups, from ACS estimates that incorporate sampling weights (2008-2019 and 2021-2023).</w:t>
      </w:r>
    </w:p>
    <w:p>
      <w:r>
        <w:br w:type="page"/>
      </w:r>
    </w:p>
    <w:bookmarkEnd w:id="24"/>
    <w:bookmarkStart w:id="27" w:name="Xaabbf95f2c79e72506772309897a434dd956570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Characteristics of married people (beginning in 2012)</w:t>
      </w:r>
    </w:p>
    <w:p>
      <w:pPr>
        <w:pStyle w:val="TableCaption"/>
      </w:pPr>
      <w:bookmarkStart w:id="25" w:name="tab:desc-ind-married"/>
      <w:bookmarkEnd w:id="25"/>
      <w:r>
        <w:t xml:space="preserve">Table 2.1:</w:t>
      </w:r>
      <w:r>
        <w:t xml:space="preserve"> </w:t>
      </w:r>
      <w:r>
        <w:t xml:space="preserve">Married only: Mean values for individual variables for immigrants in different- or same-sex couples, 2012-2019 and 2021-2023. For same-sex couples, the married variable is coded as missing before 2012.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22"/>
        <w:gridCol w:w="1930"/>
        <w:gridCol w:w="1695"/>
        <w:gridCol w:w="1993"/>
      </w:tblGrid>
      <w:tr>
        <w:trPr>
          <w:trHeight w:val="611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Different-sex,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non-immigrant</w:t>
            </w:r>
          </w:p>
        </w:tc>
      </w:tr>
      <w:tr>
        <w:trPr>
          <w:trHeight w:val="61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Annual Gross Income (Thousands)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59.482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71.354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81.516</w:t>
            </w:r>
          </w:p>
        </w:tc>
      </w:tr>
      <w:tr>
        <w:trPr>
          <w:trHeight w:val="611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graduate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0.974</w:t>
            </w:r>
          </w:p>
        </w:tc>
      </w:tr>
      <w:tr>
        <w:trPr>
          <w:trHeight w:val="61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Four-year college graduate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0.512</w:t>
            </w:r>
          </w:p>
        </w:tc>
      </w:tr>
      <w:tr>
        <w:trPr>
          <w:trHeight w:val="56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Hauser and Warren Socioeconomic Index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43.473</w:t>
            </w:r>
          </w:p>
        </w:tc>
      </w:tr>
      <w:tr>
        <w:trPr>
          <w:trHeight w:val="566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Has children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0.275</w:t>
            </w:r>
          </w:p>
        </w:tc>
      </w:tr>
      <w:tr>
        <w:trPr>
          <w:trHeight w:val="56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children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0.469</w:t>
            </w:r>
          </w:p>
        </w:tc>
      </w:tr>
      <w:tr>
        <w:trPr>
          <w:trHeight w:val="60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45.979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43.920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44.997</w:t>
            </w:r>
          </w:p>
        </w:tc>
      </w:tr>
      <w:tr>
        <w:trPr>
          <w:trHeight w:val="56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White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0.771</w:t>
            </w:r>
          </w:p>
        </w:tc>
      </w:tr>
      <w:tr>
        <w:trPr>
          <w:trHeight w:val="56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Black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0.078</w:t>
            </w:r>
          </w:p>
        </w:tc>
      </w:tr>
      <w:tr>
        <w:trPr>
          <w:trHeight w:val="61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0.099</w:t>
            </w:r>
          </w:p>
        </w:tc>
      </w:tr>
      <w:tr>
        <w:trPr>
          <w:trHeight w:val="566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0.011</w:t>
            </w:r>
          </w:p>
        </w:tc>
      </w:tr>
      <w:tr>
        <w:trPr>
          <w:trHeight w:val="56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Multiracial or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0.041</w:t>
            </w:r>
          </w:p>
        </w:tc>
      </w:tr>
      <w:tr>
        <w:trPr>
          <w:trHeight w:val="56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0.573</w:t>
            </w:r>
          </w:p>
        </w:tc>
      </w:tr>
      <w:tr>
        <w:trPr>
          <w:trHeight w:val="566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0.427</w:t>
            </w:r>
          </w:p>
        </w:tc>
      </w:tr>
      <w:tr>
        <w:trPr>
          <w:trHeight w:val="596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1,183,925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9,121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76,263</w:t>
            </w:r>
          </w:p>
        </w:tc>
      </w:tr>
      <w:tr>
        <w:trPr>
          <w:trHeight w:val="611" w:hRule="auto"/>
        </w:trPr>
        body16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(weighted)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132,101,425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904,358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7,093,874</w:t>
            </w:r>
          </w:p>
        </w:tc>
      </w:tr>
    </w:tbl>
    <w:p>
      <w:r>
        <w:br w:type="page"/>
      </w:r>
    </w:p>
    <w:p>
      <w:pPr>
        <w:pStyle w:val="TableCaption"/>
      </w:pPr>
      <w:bookmarkStart w:id="26" w:name="tab:desc-geo-married"/>
      <w:bookmarkEnd w:id="26"/>
      <w:r>
        <w:t xml:space="preserve">Table 2.2:</w:t>
      </w:r>
      <w:r>
        <w:t xml:space="preserve"> </w:t>
      </w:r>
      <w:r>
        <w:t xml:space="preserve">Married only: Mean values for geographic variables for immigrants in different- or same-sex couples, 2008-2023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75"/>
        <w:gridCol w:w="1808"/>
        <w:gridCol w:w="1588"/>
        <w:gridCol w:w="1868"/>
      </w:tblGrid>
      <w:tr>
        <w:trPr>
          <w:trHeight w:val="611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Different-sex,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immigrant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Same-sex, non-immigrant</w:t>
            </w:r>
          </w:p>
        </w:tc>
      </w:tr>
      <w:tr>
        <w:trPr>
          <w:trHeight w:val="61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Annual personal income (thousands of 2023 USD)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54.08</w:t>
            </w:r>
          </w:p>
        </w:tc>
      </w:tr>
      <w:tr>
        <w:trPr>
          <w:trHeight w:val="611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Unemployed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1.99</w:t>
            </w:r>
          </w:p>
        </w:tc>
      </w:tr>
      <w:tr>
        <w:trPr>
          <w:trHeight w:val="61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HWSEI occupation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38.04</w:t>
            </w:r>
          </w:p>
        </w:tc>
      </w:tr>
      <w:tr>
        <w:trPr>
          <w:trHeight w:val="61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individual's value of home ($1000s)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562.46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515.77</w:t>
            </w:r>
          </w:p>
        </w:tc>
      </w:tr>
      <w:tr>
        <w:trPr>
          <w:trHeight w:val="61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Bachelor's degree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26.15</w:t>
            </w:r>
          </w:p>
        </w:tc>
      </w:tr>
      <w:tr>
        <w:trPr>
          <w:trHeight w:val="61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Black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12.16</w:t>
            </w:r>
          </w:p>
        </w:tc>
      </w:tr>
      <w:tr>
        <w:trPr>
          <w:trHeight w:val="61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Hispanic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16.60</w:t>
            </w:r>
          </w:p>
        </w:tc>
      </w:tr>
      <w:tr>
        <w:trPr>
          <w:trHeight w:val="611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13.74</w:t>
            </w:r>
          </w:p>
        </w:tc>
      </w:tr>
      <w:tr>
        <w:trPr>
          <w:trHeight w:val="611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Density (persons per sq. mile)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7,878.89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10,647.9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5,729.92</w:t>
            </w:r>
          </w:p>
        </w:tc>
      </w:tr>
      <w:tr>
        <w:trPr>
          <w:trHeight w:val="611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State LGB policy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3.85</w:t>
            </w:r>
          </w:p>
        </w:tc>
      </w:tr>
      <w:tr>
        <w:trPr>
          <w:trHeight w:val="61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number of LGBT nonprofits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</w:tr>
      <w:tr>
        <w:trPr>
          <w:trHeight w:val="61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number of immigrant nonprofits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</w:tr>
      <w:tr>
        <w:trPr>
          <w:trHeight w:val="59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1,183,925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9,121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76,263</w:t>
            </w:r>
          </w:p>
        </w:tc>
      </w:tr>
      <w:tr>
        <w:trPr>
          <w:trHeight w:val="611" w:hRule="auto"/>
        </w:trPr>
        body14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(weighted)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132,101,425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904,358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7,093,874</w:t>
            </w:r>
          </w:p>
        </w:tc>
      </w:tr>
    </w:tbl>
    <w:bookmarkEnd w:id="27"/>
    <w:sectPr w:rsidR="00BE500F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9306508"/>
      <w:docPartObj>
        <w:docPartGallery w:val="Page Numbers (Bottom of Page)"/>
        <w:docPartUnique/>
      </w:docPartObj>
    </w:sdtPr>
    <w:sdtContent>
      <w:p w14:paraId="7CF842E0" w14:textId="77777777" w:rsidR="005E021F" w:rsidRDefault="00000000" w:rsidP="009017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2A837C" w14:textId="77777777" w:rsidR="005E021F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34804782"/>
      <w:docPartObj>
        <w:docPartGallery w:val="Page Numbers (Bottom of Page)"/>
        <w:docPartUnique/>
      </w:docPartObj>
    </w:sdtPr>
    <w:sdtContent>
      <w:p w14:paraId="55029BC1" w14:textId="77777777" w:rsidR="005E021F" w:rsidRDefault="00000000" w:rsidP="009017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1E297B" w14:textId="77777777" w:rsidR="005E021F" w:rsidRDefault="00000000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9B86FFC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071E45D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006850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7C892A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63234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754727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A34D71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562B5A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CA85EB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97609B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8272B6C0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A99411"/>
    <w:multiLevelType w:val="multilevel"/>
    <w:tmpl w:val="9B50D94C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12">
    <w:nsid w:val="2C1AE401"/>
    <w:multiLevelType w:val="multilevel"/>
    <w:tmpl w:val="A5FEA04C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841505960" w:numId="1">
    <w:abstractNumId w:val="12"/>
  </w:num>
  <w:num w16cid:durableId="1485972185" w:numId="2">
    <w:abstractNumId w:val="0"/>
  </w:num>
  <w:num w16cid:durableId="552665710" w:numId="3">
    <w:abstractNumId w:val="1"/>
  </w:num>
  <w:num w16cid:durableId="395738878" w:numId="4">
    <w:abstractNumId w:val="2"/>
  </w:num>
  <w:num w16cid:durableId="163204710" w:numId="5">
    <w:abstractNumId w:val="3"/>
  </w:num>
  <w:num w16cid:durableId="1417897693" w:numId="6">
    <w:abstractNumId w:val="8"/>
  </w:num>
  <w:num w16cid:durableId="650718524" w:numId="7">
    <w:abstractNumId w:val="4"/>
  </w:num>
  <w:num w16cid:durableId="139395401" w:numId="8">
    <w:abstractNumId w:val="5"/>
  </w:num>
  <w:num w16cid:durableId="2103138686" w:numId="9">
    <w:abstractNumId w:val="6"/>
  </w:num>
  <w:num w16cid:durableId="1819028114" w:numId="10">
    <w:abstractNumId w:val="7"/>
  </w:num>
  <w:num w16cid:durableId="1476334516" w:numId="11">
    <w:abstractNumId w:val="9"/>
  </w:num>
  <w:num w16cid:durableId="259027731" w:numId="12">
    <w:abstractNumId w:val="12"/>
  </w:num>
  <w:num w16cid:durableId="2144537097" w:numId="13">
    <w:abstractNumId w:val="10"/>
  </w:num>
  <w:num w16cid:durableId="236670500"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5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0F"/>
    <w:rsid w:val="00861808"/>
    <w:rsid w:val="00BE500F"/>
    <w:rsid w:val="00F61C69"/>
  </w:rsids>
  <w:themeFontLang w:bidi="ar-SA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55EE0"/>
    <w:rPr>
      <w:rFonts w:asciiTheme="majorBidi" w:hAnsiTheme="majorBidi"/>
    </w:rPr>
  </w:style>
  <w:style w:styleId="Heading1" w:type="paragraph">
    <w:name w:val="heading 1"/>
    <w:basedOn w:val="Normal"/>
    <w:next w:val="BodyText"/>
    <w:uiPriority w:val="9"/>
    <w:qFormat/>
    <w:rsid w:val="001656A8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1656A8"/>
    <w:pPr>
      <w:keepNext/>
      <w:keepLines/>
      <w:spacing w:after="0" w:before="200"/>
      <w:outlineLvl w:val="1"/>
    </w:pPr>
    <w:rPr>
      <w:rFonts w:cstheme="majorBidi" w:eastAsiaTheme="majorEastAsia"/>
      <w:b/>
      <w:bCs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1656A8"/>
    <w:pPr>
      <w:keepNext/>
      <w:keepLines/>
      <w:spacing w:after="0" w:before="200"/>
      <w:outlineLvl w:val="2"/>
    </w:pPr>
    <w:rPr>
      <w:rFonts w:cstheme="majorBidi" w:eastAsiaTheme="majorEastAsia"/>
      <w:b/>
      <w:bCs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B27D2F"/>
    <w:pPr>
      <w:spacing w:after="0" w:line="480" w:lineRule="auto"/>
      <w:ind w:firstLine="720"/>
      <w:jc w:val="both"/>
    </w:pPr>
  </w:style>
  <w:style w:customStyle="1" w:styleId="FirstParagraph" w:type="paragraph">
    <w:name w:val="First Paragraph"/>
    <w:basedOn w:val="BodyText"/>
    <w:next w:val="BodyText"/>
    <w:qFormat/>
    <w:rsid w:val="001656A8"/>
    <w:pPr>
      <w:spacing w:before="180"/>
      <w:ind w:firstLine="0"/>
    </w:pPr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83790B"/>
    <w:pPr>
      <w:keepNext/>
      <w:keepLines/>
      <w:spacing w:after="240" w:before="480" w:line="480" w:lineRule="auto"/>
      <w:jc w:val="center"/>
    </w:pPr>
    <w:rPr>
      <w:rFonts w:cstheme="majorBidi" w:eastAsiaTheme="majorEastAsia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3F1D0B"/>
    <w:pPr>
      <w:spacing w:after="0" w:line="480" w:lineRule="auto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uiPriority w:val="9"/>
    <w:unhideWhenUsed/>
    <w:qFormat/>
    <w:rsid w:val="003F1D0B"/>
  </w:style>
  <w:style w:customStyle="1" w:styleId="Table" w:type="table">
    <w:name w:val="Table"/>
    <w:semiHidden/>
    <w:unhideWhenUsed/>
    <w:qFormat/>
    <w:rsid w:val="003E40C1"/>
    <w:pPr>
      <w:spacing w:after="0"/>
    </w:pPr>
    <w:rPr>
      <w:rFonts w:asciiTheme="majorBidi" w:hAnsiTheme="majorBidi"/>
      <w:sz w:val="22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3F1D0B"/>
    <w:pPr>
      <w:keepNext/>
    </w:pPr>
  </w:style>
  <w:style w:customStyle="1" w:styleId="ImageCaption" w:type="paragraph">
    <w:name w:val="Image Caption"/>
    <w:basedOn w:val="Caption"/>
    <w:rsid w:val="003F1D0B"/>
    <w:rPr>
      <w:rFonts w:ascii="Times New Roman" w:hAnsi="Times New Roman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3F1D0B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3F1D0B"/>
    <w:rPr>
      <w:rFonts w:asciiTheme="majorBidi" w:hAnsiTheme="majorBidi"/>
      <w:shd w:color="auto" w:fill="F8F8F8" w:val="clear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3F1D0B"/>
    <w:rPr>
      <w:rFonts w:asciiTheme="majorBidi" w:hAnsiTheme="majorBidi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rsid w:val="003F1D0B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Theme="majorBidi" w:hAnsiTheme="majorBidi"/>
      <w:b/>
      <w:color w:val="204A87"/>
      <w:shd w:color="auto" w:fill="F8F8F8" w:val="clear"/>
    </w:rPr>
  </w:style>
  <w:style w:customStyle="1" w:styleId="DataTypeTok" w:type="character">
    <w:name w:val="DataTypeTok"/>
    <w:basedOn w:val="VerbatimChar"/>
    <w:rPr>
      <w:rFonts w:asciiTheme="majorBidi" w:hAnsiTheme="majorBidi"/>
      <w:color w:val="204A87"/>
      <w:shd w:color="auto" w:fill="F8F8F8" w:val="clear"/>
    </w:rPr>
  </w:style>
  <w:style w:customStyle="1" w:styleId="DecValTok" w:type="character">
    <w:name w:val="DecVal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BaseNTok" w:type="character">
    <w:name w:val="BaseN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FloatTok" w:type="character">
    <w:name w:val="FloatTok"/>
    <w:basedOn w:val="VerbatimChar"/>
    <w:rPr>
      <w:rFonts w:asciiTheme="majorBidi" w:hAnsiTheme="majorBidi"/>
      <w:color w:val="0000CF"/>
      <w:shd w:color="auto" w:fill="F8F8F8" w:val="clear"/>
    </w:rPr>
  </w:style>
  <w:style w:customStyle="1" w:styleId="ConstantTok" w:type="character">
    <w:name w:val="Constant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CharTok" w:type="character">
    <w:name w:val="Char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SpecialCharTok" w:type="character">
    <w:name w:val="SpecialChar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StringTok" w:type="character">
    <w:name w:val="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Theme="majorBidi" w:hAnsiTheme="majorBidi"/>
      <w:color w:val="4E9A06"/>
      <w:shd w:color="auto" w:fill="F8F8F8" w:val="clear"/>
    </w:rPr>
  </w:style>
  <w:style w:customStyle="1" w:styleId="ImportTok" w:type="character">
    <w:name w:val="ImportTok"/>
    <w:basedOn w:val="VerbatimChar"/>
    <w:rPr>
      <w:rFonts w:asciiTheme="majorBidi" w:hAnsiTheme="majorBidi"/>
      <w:shd w:color="auto" w:fill="F8F8F8" w:val="clear"/>
    </w:rPr>
  </w:style>
  <w:style w:customStyle="1" w:styleId="CommentTok" w:type="character">
    <w:name w:val="CommentTok"/>
    <w:basedOn w:val="VerbatimChar"/>
    <w:rPr>
      <w:rFonts w:asciiTheme="majorBidi" w:hAnsiTheme="majorBidi"/>
      <w:i/>
      <w:color w:val="8F590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AnnotationTok" w:type="character">
    <w:name w:val="Annot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CommentVarTok" w:type="character">
    <w:name w:val="CommentVar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OtherTok" w:type="character">
    <w:name w:val="OtherTok"/>
    <w:basedOn w:val="VerbatimChar"/>
    <w:rPr>
      <w:rFonts w:asciiTheme="majorBidi" w:hAnsiTheme="majorBidi"/>
      <w:color w:val="8F5902"/>
      <w:shd w:color="auto" w:fill="F8F8F8" w:val="clear"/>
    </w:rPr>
  </w:style>
  <w:style w:customStyle="1" w:styleId="FunctionTok" w:type="character">
    <w:name w:val="Function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VariableTok" w:type="character">
    <w:name w:val="VariableTok"/>
    <w:basedOn w:val="VerbatimChar"/>
    <w:rPr>
      <w:rFonts w:asciiTheme="majorBidi" w:hAnsiTheme="majorBidi"/>
      <w:color w:val="000000"/>
      <w:shd w:color="auto" w:fill="F8F8F8" w:val="clear"/>
    </w:rPr>
  </w:style>
  <w:style w:customStyle="1" w:styleId="ControlFlowTok" w:type="character">
    <w:name w:val="ControlFlowTok"/>
    <w:basedOn w:val="VerbatimChar"/>
    <w:rPr>
      <w:rFonts w:asciiTheme="majorBidi" w:hAnsiTheme="majorBidi"/>
      <w:b/>
      <w:color w:val="204A87"/>
      <w:shd w:color="auto" w:fill="F8F8F8" w:val="clear"/>
    </w:rPr>
  </w:style>
  <w:style w:customStyle="1" w:styleId="OperatorTok" w:type="character">
    <w:name w:val="OperatorTok"/>
    <w:basedOn w:val="VerbatimChar"/>
    <w:rPr>
      <w:rFonts w:asciiTheme="majorBidi" w:hAnsiTheme="majorBidi"/>
      <w:b/>
      <w:color w:val="CE5C00"/>
      <w:shd w:color="auto" w:fill="F8F8F8" w:val="clear"/>
    </w:rPr>
  </w:style>
  <w:style w:customStyle="1" w:styleId="BuiltInTok" w:type="character">
    <w:name w:val="BuiltInTok"/>
    <w:basedOn w:val="VerbatimChar"/>
    <w:rPr>
      <w:rFonts w:asciiTheme="majorBidi" w:hAnsiTheme="majorBidi"/>
      <w:shd w:color="auto" w:fill="F8F8F8" w:val="clear"/>
    </w:rPr>
  </w:style>
  <w:style w:customStyle="1" w:styleId="ExtensionTok" w:type="character">
    <w:name w:val="ExtensionTok"/>
    <w:basedOn w:val="VerbatimChar"/>
    <w:rPr>
      <w:rFonts w:asciiTheme="majorBidi" w:hAnsiTheme="majorBidi"/>
      <w:shd w:color="auto" w:fill="F8F8F8" w:val="clear"/>
    </w:rPr>
  </w:style>
  <w:style w:customStyle="1" w:styleId="PreprocessorTok" w:type="character">
    <w:name w:val="PreprocessorTok"/>
    <w:basedOn w:val="VerbatimChar"/>
    <w:rPr>
      <w:rFonts w:asciiTheme="majorBidi" w:hAnsiTheme="majorBidi"/>
      <w:i/>
      <w:color w:val="8F5902"/>
      <w:shd w:color="auto" w:fill="F8F8F8" w:val="clear"/>
    </w:rPr>
  </w:style>
  <w:style w:customStyle="1" w:styleId="AttributeTok" w:type="character">
    <w:name w:val="AttributeTok"/>
    <w:basedOn w:val="VerbatimChar"/>
    <w:rPr>
      <w:rFonts w:asciiTheme="majorBidi" w:hAnsiTheme="majorBidi"/>
      <w:color w:val="C4A000"/>
      <w:shd w:color="auto" w:fill="F8F8F8" w:val="clear"/>
    </w:rPr>
  </w:style>
  <w:style w:customStyle="1" w:styleId="RegionMarkerTok" w:type="character">
    <w:name w:val="RegionMarkerTok"/>
    <w:basedOn w:val="VerbatimChar"/>
    <w:rPr>
      <w:rFonts w:asciiTheme="majorBidi" w:hAnsiTheme="majorBidi"/>
      <w:shd w:color="auto" w:fill="F8F8F8" w:val="clear"/>
    </w:rPr>
  </w:style>
  <w:style w:customStyle="1" w:styleId="InformationTok" w:type="character">
    <w:name w:val="Information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WarningTok" w:type="character">
    <w:name w:val="WarningTok"/>
    <w:basedOn w:val="VerbatimChar"/>
    <w:rPr>
      <w:rFonts w:asciiTheme="majorBidi" w:hAnsiTheme="majorBidi"/>
      <w:b/>
      <w:i/>
      <w:color w:val="8F5902"/>
      <w:shd w:color="auto" w:fill="F8F8F8" w:val="clear"/>
    </w:rPr>
  </w:style>
  <w:style w:customStyle="1" w:styleId="AlertTok" w:type="character">
    <w:name w:val="AlertTok"/>
    <w:basedOn w:val="VerbatimChar"/>
    <w:rPr>
      <w:rFonts w:asciiTheme="majorBidi" w:hAnsiTheme="majorBidi"/>
      <w:color w:val="EF2929"/>
      <w:shd w:color="auto" w:fill="F8F8F8" w:val="clear"/>
    </w:rPr>
  </w:style>
  <w:style w:customStyle="1" w:styleId="ErrorTok" w:type="character">
    <w:name w:val="ErrorTok"/>
    <w:basedOn w:val="VerbatimChar"/>
    <w:rPr>
      <w:rFonts w:asciiTheme="majorBidi" w:hAnsiTheme="majorBidi"/>
      <w:b/>
      <w:color w:val="A40000"/>
      <w:shd w:color="auto" w:fill="F8F8F8" w:val="clear"/>
    </w:rPr>
  </w:style>
  <w:style w:customStyle="1" w:styleId="NormalTok" w:type="character">
    <w:name w:val="NormalTok"/>
    <w:basedOn w:val="VerbatimChar"/>
    <w:rPr>
      <w:rFonts w:asciiTheme="majorBidi" w:hAnsiTheme="majorBidi"/>
      <w:shd w:color="auto" w:fill="F8F8F8" w:val="clear"/>
    </w:rPr>
  </w:style>
  <w:style w:styleId="FollowedHyperlink" w:type="character">
    <w:name w:val="FollowedHyperlink"/>
    <w:basedOn w:val="DefaultParagraphFont"/>
    <w:semiHidden/>
    <w:unhideWhenUsed/>
    <w:rsid w:val="003F1D0B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B27D2F"/>
    <w:rPr>
      <w:rFonts w:asciiTheme="majorBidi" w:hAnsiTheme="majorBidi"/>
    </w:rPr>
  </w:style>
  <w:style w:styleId="Footer" w:type="paragraph">
    <w:name w:val="footer"/>
    <w:basedOn w:val="Normal"/>
    <w:link w:val="FooterChar"/>
    <w:unhideWhenUsed/>
    <w:rsid w:val="005E021F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5E021F"/>
    <w:rPr>
      <w:rFonts w:asciiTheme="majorBidi" w:hAnsiTheme="majorBidi"/>
    </w:rPr>
  </w:style>
  <w:style w:styleId="PageNumber" w:type="character">
    <w:name w:val="page number"/>
    <w:basedOn w:val="DefaultParagraphFont"/>
    <w:semiHidden/>
    <w:unhideWhenUsed/>
    <w:rsid w:val="005E021F"/>
  </w:style>
  <w:style w:styleId="Header" w:type="paragraph">
    <w:name w:val="header"/>
    <w:basedOn w:val="Normal"/>
    <w:link w:val="HeaderChar"/>
    <w:unhideWhenUsed/>
    <w:rsid w:val="005E021F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5E021F"/>
    <w:rPr>
      <w:rFonts w:asciiTheme="majorBidi" w:hAnsi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word-template.dotx</Template>
  <TotalTime>0</TotalTime>
  <Pages>35</Pages>
  <Words>12944</Words>
  <Characters>73782</Characters>
  <Application>Microsoft Office Word</Application>
  <DocSecurity>0</DocSecurity>
  <Lines>614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Migration Sexy: How LGB Policies Influence International Migration</vt:lpstr>
    </vt:vector>
  </TitlesOfParts>
  <Company/>
  <LinksUpToDate>false</LinksUpToDate>
  <CharactersWithSpaces>86553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</dc:title>
  <dc:creator>Nathan I. Hoffmann, Department of Sociology, UCLA; Kristopher Velasco, Department of Sociology, Princeton University</dc:creator>
  <dc:language>en-US</dc:language>
  <cp:keywords/>
  <dcterms:created xsi:type="dcterms:W3CDTF">2025-10-11T16:27:17Z</dcterms:created>
  <dcterms:modified xsi:type="dcterms:W3CDTF">2025-10-11T16:27:17Z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citeproc">
    <vt:lpwstr>False</vt:lpwstr>
  </property>
  <property fmtid="{D5CDD505-2E9C-101B-9397-08002B2CF9AE}" pid="4" name="editor_options">
    <vt:lpwstr/>
  </property>
  <property fmtid="{D5CDD505-2E9C-101B-9397-08002B2CF9AE}" pid="5" name="fontfamily">
    <vt:lpwstr>mathpazo</vt:lpwstr>
  </property>
  <property fmtid="{D5CDD505-2E9C-101B-9397-08002B2CF9AE}" pid="6" name="fontsize">
    <vt:lpwstr>11pt</vt:lpwstr>
  </property>
  <property fmtid="{D5CDD505-2E9C-101B-9397-08002B2CF9AE}" pid="7" name="geometry">
    <vt:lpwstr>margin= 1in</vt:lpwstr>
  </property>
  <property fmtid="{D5CDD505-2E9C-101B-9397-08002B2CF9AE}" pid="8" name="header-includes">
    <vt:lpwstr/>
  </property>
  <property fmtid="{D5CDD505-2E9C-101B-9397-08002B2CF9AE}" pid="9" name="indent">
    <vt:lpwstr>True</vt:lpwstr>
  </property>
  <property fmtid="{D5CDD505-2E9C-101B-9397-08002B2CF9AE}" pid="10" name="link-citations">
    <vt:lpwstr>True</vt:lpwstr>
  </property>
  <property fmtid="{D5CDD505-2E9C-101B-9397-08002B2CF9AE}" pid="11" name="linkcolor">
    <vt:lpwstr>blue</vt:lpwstr>
  </property>
  <property fmtid="{D5CDD505-2E9C-101B-9397-08002B2CF9AE}" pid="12" name="output">
    <vt:lpwstr/>
  </property>
  <property fmtid="{D5CDD505-2E9C-101B-9397-08002B2CF9AE}" pid="13" name="subtitle">
    <vt:lpwstr>The Geography of Immigrants in Same-Sex Couples in the United States</vt:lpwstr>
  </property>
</Properties>
</file>