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Fuehres, and Gloor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r w:rsidRPr="00A84CA9">
        <w:rPr>
          <w:rFonts w:cs="Times New Roman"/>
        </w:rPr>
        <w:t xml:space="preserve">Meesad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which may perform under the circumstances, and will experiment in particular with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While fairly commonly utilised, this project had issues with customisation and implementation for this library,</w:t>
      </w:r>
      <w:r w:rsidR="009357B8">
        <w:t xml:space="preserve"> and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This project managed this issue by streamlining the time management IF statements, as well as retrieving part of the data initially to work on while running the program on a separate machine so as to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33B0913"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 xml:space="preserve">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w:t>
      </w:r>
      <w:r>
        <w:lastRenderedPageBreak/>
        <w:t>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0F8296FF"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0"/>
      <w:r>
        <w:t>emoji</w:t>
      </w:r>
      <w:commentRangeEnd w:id="0"/>
      <w:r>
        <w:rPr>
          <w:rStyle w:val="CommentReference"/>
        </w:rPr>
        <w:commentReference w:id="0"/>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w:t>
      </w:r>
      <w:r>
        <w:lastRenderedPageBreak/>
        <w:t xml:space="preserve">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w:t>
      </w:r>
      <w:r w:rsidR="00FB5527">
        <w:rPr>
          <w:rFonts w:cs="Times New Roman"/>
        </w:rPr>
        <w:lastRenderedPageBreak/>
        <w:t>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r w:rsidR="00334757">
        <w:fldChar w:fldCharType="begin"/>
      </w:r>
      <w:r w:rsidR="00334757">
        <w:instrText xml:space="preserve"> SEQ Figure \* ARABIC </w:instrText>
      </w:r>
      <w:r w:rsidR="00334757">
        <w:fldChar w:fldCharType="separate"/>
      </w:r>
      <w:r w:rsidR="004C411D">
        <w:rPr>
          <w:noProof/>
        </w:rPr>
        <w:t>1</w:t>
      </w:r>
      <w:r w:rsidR="00334757">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1BE397F3"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AC2759">
        <w:t xml:space="preserve"> </w:t>
      </w:r>
      <w:commentRangeStart w:id="3"/>
      <w:r w:rsidR="00AC2759">
        <w:t>WRITE MORE PLS</w:t>
      </w:r>
      <w:commentRangeEnd w:id="3"/>
      <w:r w:rsidR="00AC2759">
        <w:rPr>
          <w:rStyle w:val="CommentReference"/>
        </w:rPr>
        <w:commentReference w:id="3"/>
      </w:r>
    </w:p>
    <w:p w14:paraId="2F5F965F" w14:textId="57E84EDC" w:rsidR="00227113" w:rsidRDefault="00511F3D" w:rsidP="00227113">
      <w:r>
        <w:t>Learning Rate</w:t>
      </w:r>
      <w:r w:rsidR="00227113">
        <w:t xml:space="preserve"> </w:t>
      </w:r>
    </w:p>
    <w:p w14:paraId="0626243E" w14:textId="4CA03AA4" w:rsidR="00C22E99" w:rsidRDefault="00C22E99" w:rsidP="00227113">
      <w:r>
        <w:lastRenderedPageBreak/>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lastRenderedPageBreak/>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EA4B38"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may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w:t>
      </w:r>
      <w:r w:rsidR="00150DAD">
        <w:lastRenderedPageBreak/>
        <w:t>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compare results and review their 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BF73BFC"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 the lowest value tested.</w:t>
      </w:r>
      <w:r w:rsidR="00F97117">
        <w:t xml:space="preserve"> </w:t>
      </w:r>
      <w:commentRangeStart w:id="4"/>
      <w:r w:rsidR="00F97117">
        <w:t>PUT ALPHA RESULT HERE</w:t>
      </w:r>
      <w:commentRangeEnd w:id="4"/>
      <w:r w:rsidR="00F97117">
        <w:rPr>
          <w:rStyle w:val="CommentReference"/>
        </w:rPr>
        <w:commentReference w:id="4"/>
      </w:r>
    </w:p>
    <w:p w14:paraId="5B355834" w14:textId="5B40E3D4" w:rsidR="006800DB" w:rsidRDefault="006800DB" w:rsidP="00227113">
      <w:r>
        <w:t>Elastic Net</w:t>
      </w:r>
    </w:p>
    <w:p w14:paraId="6371128E" w14:textId="757A2B41" w:rsidR="006800DB" w:rsidRPr="00276CDA"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l1 ratio, which is the ratio of L1 to L2 regularisation this model utilised, with a</w:t>
      </w:r>
      <w:r w:rsidR="00276CDA">
        <w:t xml:space="preserve"> high value emphasising L1, and a lower value emphasising L2.</w:t>
      </w:r>
      <w:r w:rsidR="006B2DE2">
        <w:t xml:space="preserve"> </w:t>
      </w:r>
      <w:commentRangeStart w:id="5"/>
      <w:r w:rsidR="006B2DE2">
        <w:t>PUT RESULTS HERE</w:t>
      </w:r>
      <w:commentRangeEnd w:id="5"/>
      <w:r w:rsidR="006B2DE2">
        <w:rPr>
          <w:rStyle w:val="CommentReference"/>
        </w:rPr>
        <w:commentReference w:id="5"/>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lastRenderedPageBreak/>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Scipy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r>
        <w:t>In order to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6"/>
      <w:r>
        <w:t>Language</w:t>
      </w:r>
      <w:commentRangeEnd w:id="6"/>
      <w:r>
        <w:rPr>
          <w:rStyle w:val="CommentReference"/>
        </w:rPr>
        <w:commentReference w:id="6"/>
      </w:r>
      <w:r w:rsidR="007470F7">
        <w:t xml:space="preserve"> </w:t>
      </w:r>
    </w:p>
    <w:p w14:paraId="596EAC2E" w14:textId="5E67A654" w:rsidR="007470F7" w:rsidRDefault="007470F7" w:rsidP="0068721F">
      <w:r>
        <w:t>Twitter is a global company, and therefore has users from across the worl</w:t>
      </w:r>
      <w:r w:rsidR="001D6DE9">
        <w:t xml:space="preserve">d, speaking and using different languages with different scripts. Each language will have unique phrases and meanings </w:t>
      </w:r>
      <w:r w:rsidR="001D6DE9">
        <w:lastRenderedPageBreak/>
        <w:t>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7"/>
      <w:r>
        <w:t>Explain what they are</w:t>
      </w:r>
      <w:commentRangeEnd w:id="7"/>
      <w:r>
        <w:rPr>
          <w:rStyle w:val="CommentReference"/>
        </w:rPr>
        <w:commentReference w:id="7"/>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8"/>
      <w:r>
        <w:t>strong results.</w:t>
      </w:r>
      <w:commentRangeEnd w:id="8"/>
      <w:r>
        <w:rPr>
          <w:rStyle w:val="CommentReference"/>
        </w:rPr>
        <w:commentReference w:id="8"/>
      </w:r>
      <w:r w:rsidR="000F3D6F">
        <w:t xml:space="preserve"> </w:t>
      </w:r>
    </w:p>
    <w:p w14:paraId="0DF789A8" w14:textId="79D8ED7B"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6. This is a notably low learning rate considering the upper bound for values tested was 1</w:t>
      </w:r>
      <w:r w:rsidR="00DB0B84">
        <w:t xml:space="preserve">, and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7777777" w:rsidR="008C1E95" w:rsidRDefault="008C1E95" w:rsidP="008C1E95"/>
    <w:p w14:paraId="2C5DDB19" w14:textId="0CF7585E" w:rsidR="002312FD" w:rsidRDefault="002312FD" w:rsidP="002312FD">
      <w:pPr>
        <w:pStyle w:val="ListParagraph"/>
        <w:numPr>
          <w:ilvl w:val="1"/>
          <w:numId w:val="2"/>
        </w:numPr>
      </w:pPr>
      <w:r>
        <w:t>Multiple Regression</w:t>
      </w:r>
    </w:p>
    <w:p w14:paraId="0805C9DF" w14:textId="3DBA42DC" w:rsidR="00C82F4B" w:rsidRDefault="00C82F4B" w:rsidP="00C82F4B">
      <w:r>
        <w:t xml:space="preserve">This model’s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w:t>
      </w:r>
      <w:r>
        <w:lastRenderedPageBreak/>
        <w:t xml:space="preserve">initially returned </w:t>
      </w:r>
      <w:r w:rsidRPr="00C82F4B">
        <w:t>2.05</w:t>
      </w:r>
      <w:r>
        <w:t>, and optimisation of the alpha hyperparameter at 0.00001 returned a relatively superior value of 1.98.</w:t>
      </w:r>
      <w:r w:rsidR="00A53ECE">
        <w:t xml:space="preserve"> Elastic net regression initially returned a RMSE of 2.05</w:t>
      </w:r>
      <w:r w:rsidR="00201809">
        <w:t xml:space="preserve">, and optimisation of the hyperparameters alpha and l1-ratio returned a value </w:t>
      </w:r>
      <w:commentRangeStart w:id="9"/>
      <w:r w:rsidR="00201809">
        <w:t>of</w:t>
      </w:r>
      <w:commentRangeEnd w:id="9"/>
      <w:r w:rsidR="00201809">
        <w:rPr>
          <w:rStyle w:val="CommentReference"/>
        </w:rPr>
        <w:commentReference w:id="9"/>
      </w:r>
      <w:r w:rsidR="00201809">
        <w:t xml:space="preserve"> </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2CA608C" w:rsidR="00F52791" w:rsidRDefault="00F52791" w:rsidP="00F52791">
      <w:r>
        <w:t>Overall for the models trialled by this paper, the most superior with the lowest RMSE score was found to be the MLP.</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54BD346B"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0D15C511" w14:textId="152BA464" w:rsidR="005416B3" w:rsidRDefault="005416B3" w:rsidP="005416B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15BA7683" w:rsidR="00160B84" w:rsidRDefault="00160B84" w:rsidP="008F4A28">
      <w:r>
        <w:t xml:space="preserve">As can be seen from the table above, the model with the most promising results was the iteration modelling one day ahead of the tweets. </w:t>
      </w:r>
      <w:r w:rsidR="00EA4B38">
        <w:t>One can also see that of the six models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t>With regards to MLP optimisation,</w:t>
      </w:r>
      <w:r w:rsidR="002F4ADE">
        <w:t xml:space="preserve"> </w:t>
      </w:r>
      <w:r>
        <w:t xml:space="preserve">this paper </w:t>
      </w:r>
      <w:r w:rsidR="00C7468C">
        <w:t xml:space="preserve">notes that </w:t>
      </w:r>
      <w:r w:rsidR="00E0414E">
        <w:t xml:space="preserve">in order to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w:t>
      </w:r>
      <w:r w:rsidR="002F4ADE">
        <w:lastRenderedPageBreak/>
        <w:t>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3AB0B588"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Furthermore, as mentioned earlier, ReLU trains 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w:t>
      </w:r>
      <w:r w:rsidR="008F356A">
        <w:lastRenderedPageBreak/>
        <w:t xml:space="preserve">question </w:t>
      </w:r>
      <w:r w:rsidR="001519CA">
        <w:t xml:space="preserve">may require retraining on a </w:t>
      </w:r>
      <w:r w:rsidR="008F356A">
        <w:t xml:space="preserve">fairly common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24F95017" w14:textId="3F8C65F1" w:rsidR="00B75187" w:rsidRDefault="009E3A68" w:rsidP="009E3A68">
      <w:r>
        <w:t>As</w:t>
      </w:r>
      <w:r w:rsidR="007D5DAE">
        <w:t xml:space="preserve"> partially</w:t>
      </w:r>
      <w:r>
        <w:t xml:space="preserve"> expected from literature, the results from the multiple regression model were relatively poor</w:t>
      </w:r>
      <w:r w:rsidR="001D1655">
        <w:t xml:space="preserve">, with an RMSE of 2.06. </w:t>
      </w:r>
      <w:r w:rsidR="007D5DAE">
        <w:t xml:space="preserve">Given the context of the alternative models trialled by this paper, this 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630D5EB4"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the same approach as their last paper on the subject. This paper suggests that usage of a model with more depth like MLP may have provided different insights. Additionally, it is notable that this paper trialled Ridge, Lasso, and Elastic Net regression as well</w:t>
      </w:r>
      <w:r w:rsidR="00F2094A">
        <w:t xml:space="preserve">, and found a </w:t>
      </w:r>
      <w:commentRangeStart w:id="10"/>
      <w:r w:rsidR="00F2094A">
        <w:t xml:space="preserve">stronger RMSE for all these models </w:t>
      </w:r>
      <w:commentRangeEnd w:id="10"/>
      <w:r w:rsidR="00F2094A">
        <w:rPr>
          <w:rStyle w:val="CommentReference"/>
        </w:rPr>
        <w:commentReference w:id="10"/>
      </w:r>
      <w:r w:rsidR="00F2094A">
        <w:t>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lastRenderedPageBreak/>
        <w:t>Predicting days ahead</w:t>
      </w:r>
    </w:p>
    <w:p w14:paraId="47ED86BF" w14:textId="33B59989"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a number of days ahead yielded promising results. As mentioned earlier in the results section, the optimal period was found to be one day ahead. However, it is notable that the model’s RMSE performance was superior on all days ahead tested, when compared to on the day.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r w:rsidRPr="004C411D">
        <w:rPr>
          <w:noProof/>
        </w:rPr>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p>
    <w:p w14:paraId="7FF2519D" w14:textId="33750CCF" w:rsidR="004C411D" w:rsidRDefault="004C411D" w:rsidP="004C411D">
      <w:pPr>
        <w:pStyle w:val="Caption"/>
        <w:jc w:val="center"/>
      </w:pPr>
      <w:r>
        <w:t xml:space="preserve">Figure </w:t>
      </w:r>
      <w:r w:rsidR="00EA4B38">
        <w:fldChar w:fldCharType="begin"/>
      </w:r>
      <w:r w:rsidR="00EA4B38">
        <w:instrText xml:space="preserve"> SEQ Figure \* ARABIC </w:instrText>
      </w:r>
      <w:r w:rsidR="00EA4B38">
        <w:fldChar w:fldCharType="separate"/>
      </w:r>
      <w:r>
        <w:rPr>
          <w:noProof/>
        </w:rPr>
        <w:t>2</w:t>
      </w:r>
      <w:r w:rsidR="00EA4B38">
        <w:rPr>
          <w:noProof/>
        </w:rPr>
        <w:fldChar w:fldCharType="end"/>
      </w:r>
      <w:r>
        <w:t>: Graph showing the RMSE results of models predicting a number of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21FD9D07" w14:textId="58CFF03D" w:rsidR="00991159" w:rsidRDefault="007C4C76" w:rsidP="009E3A68">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w:t>
      </w:r>
    </w:p>
    <w:p w14:paraId="4126DCAA" w14:textId="0AEC3017" w:rsidR="00991159" w:rsidRDefault="007C4C76" w:rsidP="009E3A68">
      <w:r>
        <w:t>This 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w:t>
      </w:r>
      <w:r w:rsidR="00566D39">
        <w:t xml:space="preserve"> Therefore, this function would iterate initially through a list of the unique dates contained within the test set, and for each unique date, it would iterate through the test set, predictions, and dates contained iteratively as a tuple using the zip()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investment, and would then by multiplied by the real value of the day, noting that this real value is the overall change between opening and closing of that day.</w:t>
      </w:r>
      <w:r w:rsidR="00F24379">
        <w:t xml:space="preserve"> This returns the value change of the day, which is then added to a </w:t>
      </w:r>
      <w:r w:rsidR="00F24379">
        <w:lastRenderedPageBreak/>
        <w:t xml:space="preserve">profit metric. Further to this, if the summation of the day’s predictions matched the same sign as the real change, this was saved and accumulated across all the unique dates within the </w:t>
      </w:r>
      <w:r w:rsidR="00533446">
        <w:t xml:space="preserve">tested dataset. </w:t>
      </w:r>
    </w:p>
    <w:p w14:paraId="1E37E256" w14:textId="6DFD180E" w:rsidR="00FC1452" w:rsidRDefault="00533446" w:rsidP="009E3A68">
      <w:r>
        <w:t>From this, this paper is able to deduce the estimated profit, sum invested, and profitability. Furthermore, accuracy of a form can be determined using the sign matching criteria.</w:t>
      </w:r>
      <w:r w:rsidR="00991159">
        <w:t xml:space="preserve"> The interesting point is that while the accuracy was noted at </w:t>
      </w:r>
      <w:commentRangeStart w:id="11"/>
      <w:r w:rsidR="00991159">
        <w:t xml:space="preserve">72%, the profit margin was at 109.6%. </w:t>
      </w:r>
      <w:commentRangeEnd w:id="11"/>
      <w:r w:rsidR="00991159">
        <w:rPr>
          <w:rStyle w:val="CommentReference"/>
        </w:rPr>
        <w:commentReference w:id="11"/>
      </w:r>
      <w:r w:rsidR="00991159">
        <w:t>This paper can infer from this that while this model is only moderately proficient at determining whether sentiment is bullish or bearish, it is more capable of understanding when the price is likely to rise or fall a great degree, and therefore capitalises by investing more in the appropriate direction.</w:t>
      </w:r>
      <w:r w:rsidR="00A42E47">
        <w:t xml:space="preserve"> This paper suggests that this may be due to the sentiment analysis carried out, which may have clearer and more appropriate weights for stronger language which more clearly denotes sentiment, which may also have a similarly strong impact on the stock price.</w:t>
      </w:r>
      <w:r w:rsidR="00D12DC6">
        <w:t xml:space="preserve"> </w:t>
      </w:r>
      <w:r w:rsidR="00FC1452">
        <w:t xml:space="preserve">Similarly, when sentiment is relatively neutral and the stock price only moves only slightly up or down, </w:t>
      </w:r>
      <w:r w:rsidR="00586D25">
        <w:t>it could be suggested that it is difficult from a core perspective for a sentiment analysis to accurately pick up on whether the increase will likely be positive or negative.</w:t>
      </w:r>
    </w:p>
    <w:p w14:paraId="27E61673" w14:textId="4A62E7AB" w:rsidR="007C4C76" w:rsidRDefault="00374293" w:rsidP="009E3A68">
      <w:r>
        <w:t xml:space="preserve">With regards to this project’s driving business problem, understanding when the price is likely to move sharply in either direction is very important and can be </w:t>
      </w:r>
      <w:r w:rsidR="00F32A4B">
        <w:t>profited from</w:t>
      </w:r>
      <w:r>
        <w:t>.</w:t>
      </w:r>
      <w:r w:rsidR="00F32A4B">
        <w:t xml:space="preserve"> </w:t>
      </w:r>
      <w:r w:rsidR="00D12DC6">
        <w:t xml:space="preserve">This </w:t>
      </w:r>
      <w:r w:rsidR="005A014B">
        <w:t xml:space="preserve">also </w:t>
      </w:r>
      <w:r w:rsidR="00D12DC6">
        <w:t>has noteworthy implications for further research into classification against regression tasks in this field</w:t>
      </w:r>
      <w:r w:rsidR="00CE688E">
        <w:t>, as will be discussed later</w:t>
      </w:r>
      <w:r w:rsidR="00395A14">
        <w:t>, specifically about how TF-IDF performs within the scope of a regression problem with range to explore and exploit its capability to generate strong predictions across a range of possible results, maximising potential profit.</w:t>
      </w:r>
      <w:r w:rsidR="00586D25">
        <w:t xml:space="preserve">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w:t>
      </w:r>
      <w:r w:rsidR="006146E8">
        <w:t>neutral</w:t>
      </w:r>
      <w:r w:rsidR="00586D25">
        <w:t xml:space="preserve"> and only slightly moves up or down.</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textual information which are far more suited to classification tasks than regression. For example, SentiWordNet is highly optimal for classification tasks and therefore was not utilised for this project, but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w:t>
      </w:r>
      <w:r w:rsidR="00556EA8">
        <w:lastRenderedPageBreak/>
        <w:t>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market</w:t>
      </w:r>
      <w:r w:rsidR="00FA4E2C">
        <w:t xml:space="preserve"> as a whole.</w:t>
      </w:r>
    </w:p>
    <w:p w14:paraId="68F757F0" w14:textId="1D5AC7EC" w:rsidR="00263118"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4"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5"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6"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7"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8"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9" w:author="PG-Indrakumar, Nathan" w:date="2021-08-07T16:33:00Z" w:initials="PIN">
    <w:p w14:paraId="11431BB7" w14:textId="77777777" w:rsidR="00201809" w:rsidRDefault="00201809" w:rsidP="00E157B3">
      <w:pPr>
        <w:pStyle w:val="CommentText"/>
      </w:pPr>
      <w:r>
        <w:rPr>
          <w:rStyle w:val="CommentReference"/>
        </w:rPr>
        <w:annotationRef/>
      </w:r>
      <w:r>
        <w:t>Add Elastic Net Opt when its done</w:t>
      </w:r>
    </w:p>
  </w:comment>
  <w:comment w:id="10" w:author="PG-Indrakumar, Nathan" w:date="2021-08-02T12:48:00Z" w:initials="PIN">
    <w:p w14:paraId="404C0582" w14:textId="568AFE8A" w:rsidR="00F2094A" w:rsidRDefault="00F2094A" w:rsidP="00201809">
      <w:pPr>
        <w:pStyle w:val="CommentText"/>
      </w:pPr>
      <w:r>
        <w:rPr>
          <w:rStyle w:val="CommentReference"/>
        </w:rPr>
        <w:annotationRef/>
      </w:r>
      <w:r>
        <w:t>Validate this statement pls</w:t>
      </w:r>
    </w:p>
  </w:comment>
  <w:comment w:id="11" w:author="PG-Indrakumar, Nathan" w:date="2021-08-04T19:38:00Z" w:initials="PIN">
    <w:p w14:paraId="52D9F91F" w14:textId="77777777" w:rsidR="00991159" w:rsidRDefault="00991159" w:rsidP="00C90119">
      <w:pPr>
        <w:pStyle w:val="CommentText"/>
      </w:pPr>
      <w:r>
        <w:rPr>
          <w:rStyle w:val="CommentReference"/>
        </w:rPr>
        <w:annotationRef/>
      </w:r>
      <w:r>
        <w:t>Change these with final set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Ex w15:paraId="11431BB7" w15:done="0"/>
  <w15:commentEx w15:paraId="404C0582" w15:done="0"/>
  <w15:commentEx w15:paraId="52D9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93442" w16cex:dateUtc="2021-08-07T15:33:00Z"/>
  <w16cex:commentExtensible w16cex:durableId="24B26823" w16cex:dateUtc="2021-08-02T11:48:00Z"/>
  <w16cex:commentExtensible w16cex:durableId="24B56B2D" w16cex:dateUtc="2021-08-04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Id w16cid:paraId="11431BB7" w16cid:durableId="24B93442"/>
  <w16cid:commentId w16cid:paraId="404C0582" w16cid:durableId="24B26823"/>
  <w16cid:commentId w16cid:paraId="52D9F91F" w16cid:durableId="24B56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54D4F"/>
    <w:rsid w:val="00075F89"/>
    <w:rsid w:val="00091D84"/>
    <w:rsid w:val="00094E82"/>
    <w:rsid w:val="000957E5"/>
    <w:rsid w:val="00097936"/>
    <w:rsid w:val="000A0826"/>
    <w:rsid w:val="000A11FA"/>
    <w:rsid w:val="000A53C5"/>
    <w:rsid w:val="000E0C00"/>
    <w:rsid w:val="000F16F2"/>
    <w:rsid w:val="000F3D6F"/>
    <w:rsid w:val="000F75A0"/>
    <w:rsid w:val="00103EAA"/>
    <w:rsid w:val="0011211F"/>
    <w:rsid w:val="0012300B"/>
    <w:rsid w:val="00130092"/>
    <w:rsid w:val="00132AE0"/>
    <w:rsid w:val="00142AD9"/>
    <w:rsid w:val="00144252"/>
    <w:rsid w:val="00145283"/>
    <w:rsid w:val="00146BDA"/>
    <w:rsid w:val="00150DAD"/>
    <w:rsid w:val="001519CA"/>
    <w:rsid w:val="001571F8"/>
    <w:rsid w:val="00160B84"/>
    <w:rsid w:val="00162DB5"/>
    <w:rsid w:val="00171692"/>
    <w:rsid w:val="0017538F"/>
    <w:rsid w:val="001858F9"/>
    <w:rsid w:val="001869D1"/>
    <w:rsid w:val="0019291A"/>
    <w:rsid w:val="00194C02"/>
    <w:rsid w:val="001A6B1B"/>
    <w:rsid w:val="001B4982"/>
    <w:rsid w:val="001D1655"/>
    <w:rsid w:val="001D6DE9"/>
    <w:rsid w:val="001E1F29"/>
    <w:rsid w:val="00201809"/>
    <w:rsid w:val="00205FF0"/>
    <w:rsid w:val="00207236"/>
    <w:rsid w:val="00212785"/>
    <w:rsid w:val="002245D4"/>
    <w:rsid w:val="00227113"/>
    <w:rsid w:val="002312FD"/>
    <w:rsid w:val="00231BD8"/>
    <w:rsid w:val="00232611"/>
    <w:rsid w:val="0024002C"/>
    <w:rsid w:val="00246078"/>
    <w:rsid w:val="00252CA8"/>
    <w:rsid w:val="00263118"/>
    <w:rsid w:val="00267AAE"/>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6257"/>
    <w:rsid w:val="002D7947"/>
    <w:rsid w:val="002E3D01"/>
    <w:rsid w:val="002F28F1"/>
    <w:rsid w:val="002F4ADE"/>
    <w:rsid w:val="002F6803"/>
    <w:rsid w:val="003009AA"/>
    <w:rsid w:val="003011CA"/>
    <w:rsid w:val="00305139"/>
    <w:rsid w:val="00307034"/>
    <w:rsid w:val="00325039"/>
    <w:rsid w:val="00334757"/>
    <w:rsid w:val="00350733"/>
    <w:rsid w:val="00374293"/>
    <w:rsid w:val="00375AE2"/>
    <w:rsid w:val="00395A14"/>
    <w:rsid w:val="003A1787"/>
    <w:rsid w:val="003A5F6A"/>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A7FF9"/>
    <w:rsid w:val="004B6321"/>
    <w:rsid w:val="004C1560"/>
    <w:rsid w:val="004C411D"/>
    <w:rsid w:val="004D01F0"/>
    <w:rsid w:val="004E15DF"/>
    <w:rsid w:val="004E3F41"/>
    <w:rsid w:val="004F1CDC"/>
    <w:rsid w:val="00502499"/>
    <w:rsid w:val="00511F3D"/>
    <w:rsid w:val="0052099C"/>
    <w:rsid w:val="00527A7C"/>
    <w:rsid w:val="00533446"/>
    <w:rsid w:val="005416B3"/>
    <w:rsid w:val="00541AF1"/>
    <w:rsid w:val="00545C7A"/>
    <w:rsid w:val="005556CF"/>
    <w:rsid w:val="00556EA8"/>
    <w:rsid w:val="00557B4F"/>
    <w:rsid w:val="00560DDB"/>
    <w:rsid w:val="0056415B"/>
    <w:rsid w:val="00566D39"/>
    <w:rsid w:val="00586D25"/>
    <w:rsid w:val="00596852"/>
    <w:rsid w:val="005A014B"/>
    <w:rsid w:val="005A1E10"/>
    <w:rsid w:val="005B1EE5"/>
    <w:rsid w:val="005B2C37"/>
    <w:rsid w:val="005C0679"/>
    <w:rsid w:val="005C710C"/>
    <w:rsid w:val="005E07C7"/>
    <w:rsid w:val="005E29ED"/>
    <w:rsid w:val="005F6CC8"/>
    <w:rsid w:val="005F786E"/>
    <w:rsid w:val="00610353"/>
    <w:rsid w:val="006126A7"/>
    <w:rsid w:val="00613E2B"/>
    <w:rsid w:val="006146E8"/>
    <w:rsid w:val="00632F93"/>
    <w:rsid w:val="00636AFF"/>
    <w:rsid w:val="00646ED7"/>
    <w:rsid w:val="00651A51"/>
    <w:rsid w:val="0066288D"/>
    <w:rsid w:val="006800DB"/>
    <w:rsid w:val="0068721F"/>
    <w:rsid w:val="006942C7"/>
    <w:rsid w:val="006B2DE2"/>
    <w:rsid w:val="006B6296"/>
    <w:rsid w:val="006D579D"/>
    <w:rsid w:val="006E15F9"/>
    <w:rsid w:val="00700CA4"/>
    <w:rsid w:val="00704582"/>
    <w:rsid w:val="00704EF1"/>
    <w:rsid w:val="00707A86"/>
    <w:rsid w:val="007158BB"/>
    <w:rsid w:val="00722406"/>
    <w:rsid w:val="007229D5"/>
    <w:rsid w:val="00726FD4"/>
    <w:rsid w:val="007430A1"/>
    <w:rsid w:val="007431A5"/>
    <w:rsid w:val="007470F7"/>
    <w:rsid w:val="007569C3"/>
    <w:rsid w:val="00763854"/>
    <w:rsid w:val="00764014"/>
    <w:rsid w:val="00764863"/>
    <w:rsid w:val="00774DDB"/>
    <w:rsid w:val="00776D6B"/>
    <w:rsid w:val="007831C9"/>
    <w:rsid w:val="00792A8C"/>
    <w:rsid w:val="00797AC9"/>
    <w:rsid w:val="007A184F"/>
    <w:rsid w:val="007C4C76"/>
    <w:rsid w:val="007D2AE8"/>
    <w:rsid w:val="007D5DAE"/>
    <w:rsid w:val="007E1B68"/>
    <w:rsid w:val="007F146D"/>
    <w:rsid w:val="007F24D4"/>
    <w:rsid w:val="007F5ACC"/>
    <w:rsid w:val="00813FD4"/>
    <w:rsid w:val="00821535"/>
    <w:rsid w:val="008248B1"/>
    <w:rsid w:val="00830972"/>
    <w:rsid w:val="00844EBA"/>
    <w:rsid w:val="00854807"/>
    <w:rsid w:val="00883DE2"/>
    <w:rsid w:val="0089496D"/>
    <w:rsid w:val="008A2D67"/>
    <w:rsid w:val="008C1E95"/>
    <w:rsid w:val="008D7C6C"/>
    <w:rsid w:val="008E3EB0"/>
    <w:rsid w:val="008E65E3"/>
    <w:rsid w:val="008F356A"/>
    <w:rsid w:val="008F4A28"/>
    <w:rsid w:val="008F7704"/>
    <w:rsid w:val="00902197"/>
    <w:rsid w:val="00905CE2"/>
    <w:rsid w:val="009068D5"/>
    <w:rsid w:val="00916148"/>
    <w:rsid w:val="009204FB"/>
    <w:rsid w:val="009267BC"/>
    <w:rsid w:val="00932849"/>
    <w:rsid w:val="00933465"/>
    <w:rsid w:val="00933EBF"/>
    <w:rsid w:val="00934D26"/>
    <w:rsid w:val="009357B8"/>
    <w:rsid w:val="00940B27"/>
    <w:rsid w:val="00945DDD"/>
    <w:rsid w:val="009542A3"/>
    <w:rsid w:val="00962013"/>
    <w:rsid w:val="009657FB"/>
    <w:rsid w:val="00977E13"/>
    <w:rsid w:val="009864AF"/>
    <w:rsid w:val="00987099"/>
    <w:rsid w:val="00991159"/>
    <w:rsid w:val="00997BE3"/>
    <w:rsid w:val="009A212F"/>
    <w:rsid w:val="009B1754"/>
    <w:rsid w:val="009D120B"/>
    <w:rsid w:val="009E3255"/>
    <w:rsid w:val="009E3A68"/>
    <w:rsid w:val="009F240D"/>
    <w:rsid w:val="00A10D39"/>
    <w:rsid w:val="00A15433"/>
    <w:rsid w:val="00A42E47"/>
    <w:rsid w:val="00A46273"/>
    <w:rsid w:val="00A53ECE"/>
    <w:rsid w:val="00A73BB9"/>
    <w:rsid w:val="00A74866"/>
    <w:rsid w:val="00A753A3"/>
    <w:rsid w:val="00A76788"/>
    <w:rsid w:val="00A85081"/>
    <w:rsid w:val="00A85404"/>
    <w:rsid w:val="00A9773D"/>
    <w:rsid w:val="00AA09F3"/>
    <w:rsid w:val="00AA65E9"/>
    <w:rsid w:val="00AB3B3B"/>
    <w:rsid w:val="00AC2759"/>
    <w:rsid w:val="00AD2F40"/>
    <w:rsid w:val="00AE47C8"/>
    <w:rsid w:val="00AF008D"/>
    <w:rsid w:val="00B02FAE"/>
    <w:rsid w:val="00B144A6"/>
    <w:rsid w:val="00B32AA0"/>
    <w:rsid w:val="00B34575"/>
    <w:rsid w:val="00B357CF"/>
    <w:rsid w:val="00B43958"/>
    <w:rsid w:val="00B50B7B"/>
    <w:rsid w:val="00B516DE"/>
    <w:rsid w:val="00B66CFF"/>
    <w:rsid w:val="00B75187"/>
    <w:rsid w:val="00B87EEE"/>
    <w:rsid w:val="00B936C1"/>
    <w:rsid w:val="00BB4D6D"/>
    <w:rsid w:val="00BB67A4"/>
    <w:rsid w:val="00BC2112"/>
    <w:rsid w:val="00BD514C"/>
    <w:rsid w:val="00BD722B"/>
    <w:rsid w:val="00C01333"/>
    <w:rsid w:val="00C0168B"/>
    <w:rsid w:val="00C16563"/>
    <w:rsid w:val="00C22E99"/>
    <w:rsid w:val="00C24CC9"/>
    <w:rsid w:val="00C27551"/>
    <w:rsid w:val="00C40E90"/>
    <w:rsid w:val="00C41610"/>
    <w:rsid w:val="00C41ABB"/>
    <w:rsid w:val="00C57ACE"/>
    <w:rsid w:val="00C70985"/>
    <w:rsid w:val="00C717C8"/>
    <w:rsid w:val="00C73B49"/>
    <w:rsid w:val="00C7468C"/>
    <w:rsid w:val="00C80C51"/>
    <w:rsid w:val="00C82F4B"/>
    <w:rsid w:val="00CA05D9"/>
    <w:rsid w:val="00CB3D78"/>
    <w:rsid w:val="00CB76B1"/>
    <w:rsid w:val="00CC22A1"/>
    <w:rsid w:val="00CD27AC"/>
    <w:rsid w:val="00CE688E"/>
    <w:rsid w:val="00CF1845"/>
    <w:rsid w:val="00CF5443"/>
    <w:rsid w:val="00CF5AB3"/>
    <w:rsid w:val="00D06F4F"/>
    <w:rsid w:val="00D12DC6"/>
    <w:rsid w:val="00D160AE"/>
    <w:rsid w:val="00D21E37"/>
    <w:rsid w:val="00D2524C"/>
    <w:rsid w:val="00D325C8"/>
    <w:rsid w:val="00D50B55"/>
    <w:rsid w:val="00D56BB7"/>
    <w:rsid w:val="00D573C4"/>
    <w:rsid w:val="00D66CD1"/>
    <w:rsid w:val="00D6739E"/>
    <w:rsid w:val="00DB0B84"/>
    <w:rsid w:val="00DC10F0"/>
    <w:rsid w:val="00DD27DA"/>
    <w:rsid w:val="00DD7AB0"/>
    <w:rsid w:val="00DE5010"/>
    <w:rsid w:val="00DE63DE"/>
    <w:rsid w:val="00E023A2"/>
    <w:rsid w:val="00E0414E"/>
    <w:rsid w:val="00E1378C"/>
    <w:rsid w:val="00E3458D"/>
    <w:rsid w:val="00E47396"/>
    <w:rsid w:val="00E64570"/>
    <w:rsid w:val="00E65187"/>
    <w:rsid w:val="00E76107"/>
    <w:rsid w:val="00E87164"/>
    <w:rsid w:val="00E91204"/>
    <w:rsid w:val="00E97AEB"/>
    <w:rsid w:val="00EA465B"/>
    <w:rsid w:val="00EA4B38"/>
    <w:rsid w:val="00EC1E39"/>
    <w:rsid w:val="00EE694F"/>
    <w:rsid w:val="00EE6B02"/>
    <w:rsid w:val="00EE7452"/>
    <w:rsid w:val="00F0337C"/>
    <w:rsid w:val="00F11DD0"/>
    <w:rsid w:val="00F13D3D"/>
    <w:rsid w:val="00F2094A"/>
    <w:rsid w:val="00F24379"/>
    <w:rsid w:val="00F32A4B"/>
    <w:rsid w:val="00F35516"/>
    <w:rsid w:val="00F46788"/>
    <w:rsid w:val="00F52791"/>
    <w:rsid w:val="00F75136"/>
    <w:rsid w:val="00F766F9"/>
    <w:rsid w:val="00F94B48"/>
    <w:rsid w:val="00F97117"/>
    <w:rsid w:val="00FA4E2C"/>
    <w:rsid w:val="00FB2574"/>
    <w:rsid w:val="00FB5527"/>
    <w:rsid w:val="00FB7F65"/>
    <w:rsid w:val="00FC1452"/>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19</Pages>
  <Words>9625</Words>
  <Characters>54864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295</cp:revision>
  <dcterms:created xsi:type="dcterms:W3CDTF">2021-07-21T18:23:00Z</dcterms:created>
  <dcterms:modified xsi:type="dcterms:W3CDTF">2021-08-07T19:26:00Z</dcterms:modified>
</cp:coreProperties>
</file>