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0C6" w:rsidRPr="00973B0A" w:rsidRDefault="00973B0A">
      <w:pPr>
        <w:rPr>
          <w:b/>
        </w:rPr>
      </w:pPr>
      <w:r w:rsidRPr="00973B0A">
        <w:rPr>
          <w:b/>
        </w:rPr>
        <w:t>Background</w:t>
      </w:r>
    </w:p>
    <w:p w:rsidR="00973B0A" w:rsidRDefault="00973B0A">
      <w:r>
        <w:t>In the Categorical OEL framework, initial groups of materials are created based on the potency estimates (e.g. benchmark doses) from many different materials.  Thus, many dose-response relationships must be modeled in order to derive the many potency estimates.</w:t>
      </w:r>
    </w:p>
    <w:p w:rsidR="00973B0A" w:rsidRDefault="00973B0A">
      <w:r>
        <w:t>For dichotomous (quantal) responses, EPA’s Benchmark Dose Software (BMDS) can be used to fit multiple model shapes to a single dose-response relationship.  Using the Dose Response Session feature, every model of interest can be fit to a dataset sequentially with a single run of the session.  While this feature speeds up the model fitting process, there is still a requirement to modify the input dataset of the session for a new relationship.  When many relationships need to be modeled, this can take a significant amount of time.</w:t>
      </w:r>
    </w:p>
    <w:p w:rsidR="00973B0A" w:rsidRDefault="00973B0A">
      <w:r>
        <w:t>Other software, such as SAS or R, allow for custom scripts to be written to repeat, or loop, a process for many datasets.  These software also allow for the fitting of user-defined models to a relationship.</w:t>
      </w:r>
    </w:p>
    <w:p w:rsidR="00417984" w:rsidRDefault="00417984">
      <w:r>
        <w:t>The next step currently in evaluating the Categorical OEL quantitative framework is to evaluate the NTP histopathology data, namely lung inflammation.  The current subset of interest is approximately 100 dose-response relationships, and a BMD estimate is required for each.  SAS was chosen as the software in which EPA BMDS will be replicated and modified, namely to automatically fit models to an arbitrary number of relationships.  This effort builds upon the paper by Matt Wheeler (Wheeler 2005).</w:t>
      </w:r>
    </w:p>
    <w:p w:rsidR="00417984" w:rsidRDefault="00417984">
      <w:r>
        <w:t xml:space="preserve">In addition, </w:t>
      </w:r>
      <w:r w:rsidR="00636945">
        <w:t>EPA BMDS does not enable model averaging.  Separate software is available (MADr), but also requires additional effort to allow for model averaging in many different relationships.  This process can translated into SAS and included with the replicated BMDS output.</w:t>
      </w:r>
    </w:p>
    <w:p w:rsidR="00417984" w:rsidRDefault="00417984">
      <w:r>
        <w:t>There are pros and cons to this endeavor:</w:t>
      </w:r>
    </w:p>
    <w:p w:rsidR="00417984" w:rsidRDefault="00417984" w:rsidP="00417984">
      <w:pPr>
        <w:pStyle w:val="ListParagraph"/>
        <w:numPr>
          <w:ilvl w:val="0"/>
          <w:numId w:val="1"/>
        </w:numPr>
      </w:pPr>
      <w:r>
        <w:t>Benefits of replicating EPA BMDS (dichotomous models) in SAS</w:t>
      </w:r>
    </w:p>
    <w:p w:rsidR="00417984" w:rsidRDefault="00417984" w:rsidP="00417984">
      <w:pPr>
        <w:pStyle w:val="ListParagraph"/>
        <w:numPr>
          <w:ilvl w:val="1"/>
          <w:numId w:val="1"/>
        </w:numPr>
      </w:pPr>
      <w:r>
        <w:t>Allows for the modeling of an arbitrary number of dose-response relationships quickly</w:t>
      </w:r>
    </w:p>
    <w:p w:rsidR="00417984" w:rsidRDefault="00417984" w:rsidP="00417984">
      <w:pPr>
        <w:pStyle w:val="ListParagraph"/>
        <w:numPr>
          <w:ilvl w:val="1"/>
          <w:numId w:val="1"/>
        </w:numPr>
      </w:pPr>
      <w:r>
        <w:t>Customizable output</w:t>
      </w:r>
    </w:p>
    <w:p w:rsidR="00417984" w:rsidRDefault="00417984" w:rsidP="00417984">
      <w:pPr>
        <w:pStyle w:val="ListParagraph"/>
        <w:numPr>
          <w:ilvl w:val="1"/>
          <w:numId w:val="1"/>
        </w:numPr>
      </w:pPr>
      <w:r>
        <w:t>More detailed modeling diagnostics available</w:t>
      </w:r>
    </w:p>
    <w:p w:rsidR="00417984" w:rsidRDefault="00417984" w:rsidP="00417984">
      <w:pPr>
        <w:pStyle w:val="ListParagraph"/>
        <w:numPr>
          <w:ilvl w:val="1"/>
          <w:numId w:val="1"/>
        </w:numPr>
      </w:pPr>
      <w:r>
        <w:t>May be able to estimate a benchmark dose when BMDS could not (Wheeler 2005)</w:t>
      </w:r>
    </w:p>
    <w:p w:rsidR="00636945" w:rsidRDefault="00636945" w:rsidP="00417984">
      <w:pPr>
        <w:pStyle w:val="ListParagraph"/>
        <w:numPr>
          <w:ilvl w:val="1"/>
          <w:numId w:val="1"/>
        </w:numPr>
      </w:pPr>
      <w:r>
        <w:t>Can include model averaging</w:t>
      </w:r>
    </w:p>
    <w:p w:rsidR="00417984" w:rsidRDefault="00417984" w:rsidP="00417984">
      <w:pPr>
        <w:pStyle w:val="ListParagraph"/>
        <w:numPr>
          <w:ilvl w:val="0"/>
          <w:numId w:val="1"/>
        </w:numPr>
      </w:pPr>
      <w:r>
        <w:t>Disadvantages of replication</w:t>
      </w:r>
    </w:p>
    <w:p w:rsidR="00417984" w:rsidRDefault="00417984" w:rsidP="00417984">
      <w:pPr>
        <w:pStyle w:val="ListParagraph"/>
        <w:numPr>
          <w:ilvl w:val="1"/>
          <w:numId w:val="1"/>
        </w:numPr>
      </w:pPr>
      <w:r>
        <w:t>Each nonlinear model must be manually coded in SAS</w:t>
      </w:r>
    </w:p>
    <w:p w:rsidR="00417984" w:rsidRDefault="00417984" w:rsidP="00417984">
      <w:pPr>
        <w:pStyle w:val="ListParagraph"/>
        <w:numPr>
          <w:ilvl w:val="1"/>
          <w:numId w:val="1"/>
        </w:numPr>
      </w:pPr>
      <w:r>
        <w:t>BMD and BMDL estimations must be coded, which may require numeric analysis methods due to the nonlinear model forms</w:t>
      </w:r>
    </w:p>
    <w:p w:rsidR="00417984" w:rsidRDefault="00417984" w:rsidP="00417984">
      <w:pPr>
        <w:pStyle w:val="ListParagraph"/>
        <w:numPr>
          <w:ilvl w:val="1"/>
          <w:numId w:val="1"/>
        </w:numPr>
      </w:pPr>
      <w:r>
        <w:t>Diagnostic output must be either manually created or captured</w:t>
      </w:r>
    </w:p>
    <w:p w:rsidR="00417984" w:rsidRDefault="00417984" w:rsidP="00417984">
      <w:pPr>
        <w:pStyle w:val="ListParagraph"/>
        <w:numPr>
          <w:ilvl w:val="1"/>
          <w:numId w:val="1"/>
        </w:numPr>
      </w:pPr>
      <w:r>
        <w:t>Plots must be manually created</w:t>
      </w:r>
    </w:p>
    <w:p w:rsidR="00636945" w:rsidRDefault="00636945" w:rsidP="00417984">
      <w:pPr>
        <w:pStyle w:val="ListParagraph"/>
        <w:numPr>
          <w:ilvl w:val="1"/>
          <w:numId w:val="1"/>
        </w:numPr>
      </w:pPr>
      <w:r>
        <w:t>BMDS is user friendly, including graphical user interfaces</w:t>
      </w:r>
    </w:p>
    <w:p w:rsidR="00636945" w:rsidRDefault="00636945" w:rsidP="00636945">
      <w:pPr>
        <w:rPr>
          <w:b/>
        </w:rPr>
      </w:pPr>
      <w:r w:rsidRPr="00636945">
        <w:rPr>
          <w:b/>
        </w:rPr>
        <w:t>Methods</w:t>
      </w:r>
    </w:p>
    <w:p w:rsidR="00636945" w:rsidRPr="00636945" w:rsidRDefault="00636945" w:rsidP="00636945">
      <w:r w:rsidRPr="00636945">
        <w:t xml:space="preserve">The </w:t>
      </w:r>
      <w:r>
        <w:t>code provided in Wheeler 2005 shows the BMD and BMDL estimation for the Weibull model.  As shown below, 8 other model forms are available in BMDS</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Logistic: </w:t>
      </w:r>
    </w:p>
    <w:p w:rsidR="00636945" w:rsidRDefault="00636945" w:rsidP="00636945">
      <w:pPr>
        <w:autoSpaceDE w:val="0"/>
        <w:autoSpaceDN w:val="0"/>
        <w:adjustRightInd w:val="0"/>
        <w:spacing w:after="0" w:line="240" w:lineRule="auto"/>
        <w:rPr>
          <w:rFonts w:ascii="TimesTen-Roman" w:hAnsi="TimesTen-Roman" w:cs="TimesTen-Roman"/>
          <w:sz w:val="20"/>
          <w:szCs w:val="20"/>
        </w:rPr>
      </w:pPr>
      <w:proofErr w:type="gramStart"/>
      <w:r>
        <w:rPr>
          <w:rFonts w:ascii="RMTMI" w:hAnsi="RMTMI" w:cs="RMTMI"/>
          <w:i/>
          <w:iCs/>
          <w:sz w:val="20"/>
          <w:szCs w:val="20"/>
        </w:rPr>
        <w:t>π</w:t>
      </w:r>
      <w:r>
        <w:rPr>
          <w:rFonts w:ascii="TimesTen-Roman" w:hAnsi="TimesTen-Roman" w:cs="TimesTen-Roman"/>
          <w:sz w:val="14"/>
          <w:szCs w:val="14"/>
        </w:rPr>
        <w:t>1</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TimesTen-Roman" w:hAnsi="TimesTen-Roman" w:cs="TimesTen-Roman"/>
          <w:sz w:val="20"/>
          <w:szCs w:val="20"/>
        </w:rPr>
        <w:t xml:space="preserve">1 / (1 </w:t>
      </w:r>
      <w:r>
        <w:rPr>
          <w:rFonts w:ascii="MTSY" w:eastAsia="MTSY" w:hAnsi="TimesTen-Roman" w:cs="MTSY"/>
          <w:sz w:val="20"/>
          <w:szCs w:val="20"/>
        </w:rPr>
        <w:t xml:space="preserve">+ </w:t>
      </w:r>
      <w:proofErr w:type="spellStart"/>
      <w:r>
        <w:rPr>
          <w:rFonts w:ascii="TimesTen-Roman" w:hAnsi="TimesTen-Roman" w:cs="TimesTen-Roman"/>
          <w:sz w:val="20"/>
          <w:szCs w:val="20"/>
        </w:rPr>
        <w:t>exp</w:t>
      </w:r>
      <w:proofErr w:type="spellEnd"/>
      <w:r>
        <w:rPr>
          <w:rFonts w:ascii="TimesTen-Roman" w:hAnsi="TimesTen-Roman" w:cs="TimesTen-Roman"/>
          <w:sz w:val="20"/>
          <w:szCs w:val="20"/>
        </w:rPr>
        <w:t>[</w:t>
      </w:r>
      <w:r>
        <w:rPr>
          <w:rFonts w:ascii="MTSY" w:eastAsia="MTSY" w:hAnsi="TimesTen-Roman" w:cs="MTSY" w:hint="eastAsia"/>
          <w:sz w:val="20"/>
          <w:szCs w:val="20"/>
        </w:rPr>
        <w:t>−</w:t>
      </w:r>
      <w:r>
        <w:rPr>
          <w:rFonts w:ascii="TimesTen-Roman" w:hAnsi="TimesTen-Roman" w:cs="TimesTen-Roman"/>
          <w:sz w:val="20"/>
          <w:szCs w:val="20"/>
        </w:rPr>
        <w:t>(</w:t>
      </w:r>
      <w:r>
        <w:rPr>
          <w:rFonts w:ascii="RMTMI" w:hAnsi="RMTMI" w:cs="RMTMI"/>
          <w:i/>
          <w:iCs/>
          <w:sz w:val="20"/>
          <w:szCs w:val="20"/>
        </w:rPr>
        <w:t xml:space="preserve">α </w:t>
      </w:r>
      <w:r>
        <w:rPr>
          <w:rFonts w:ascii="MTSY" w:eastAsia="MTSY" w:hAnsi="TimesTen-Roman" w:cs="MTSY"/>
          <w:sz w:val="20"/>
          <w:szCs w:val="20"/>
        </w:rPr>
        <w:t xml:space="preserve">+ </w:t>
      </w:r>
      <w:r>
        <w:rPr>
          <w:rFonts w:ascii="RMTMI" w:hAnsi="RMTMI" w:cs="RMTMI"/>
          <w:i/>
          <w:iCs/>
          <w:sz w:val="20"/>
          <w:szCs w:val="20"/>
        </w:rPr>
        <w:t>β</w:t>
      </w:r>
      <w:r>
        <w:rPr>
          <w:rFonts w:ascii="TimesTen-Italic" w:hAnsi="TimesTen-Italic" w:cs="TimesTen-Italic"/>
          <w:i/>
          <w:iCs/>
          <w:sz w:val="20"/>
          <w:szCs w:val="20"/>
        </w:rPr>
        <w:t>d</w:t>
      </w:r>
      <w:r>
        <w:rPr>
          <w:rFonts w:ascii="TimesTen-Roman" w:hAnsi="TimesTen-Roman" w:cs="TimesTen-Roman"/>
          <w:sz w:val="20"/>
          <w:szCs w:val="20"/>
        </w:rPr>
        <w:t>)])</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(2.1.1)</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Log-logistic:</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 </w:t>
      </w:r>
      <w:proofErr w:type="gramStart"/>
      <w:r>
        <w:rPr>
          <w:rFonts w:ascii="RMTMI" w:hAnsi="RMTMI" w:cs="RMTMI"/>
          <w:i/>
          <w:iCs/>
          <w:sz w:val="20"/>
          <w:szCs w:val="20"/>
        </w:rPr>
        <w:t>π</w:t>
      </w:r>
      <w:r>
        <w:rPr>
          <w:rFonts w:ascii="TimesTen-Roman" w:hAnsi="TimesTen-Roman" w:cs="TimesTen-Roman"/>
          <w:sz w:val="14"/>
          <w:szCs w:val="14"/>
        </w:rPr>
        <w:t>2</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 xml:space="preserve">) / (1 </w:t>
      </w:r>
      <w:r>
        <w:rPr>
          <w:rFonts w:ascii="MTSY" w:eastAsia="MTSY" w:hAnsi="TimesTen-Roman" w:cs="MTSY"/>
          <w:sz w:val="20"/>
          <w:szCs w:val="20"/>
        </w:rPr>
        <w:t xml:space="preserve">+ </w:t>
      </w:r>
      <w:proofErr w:type="spellStart"/>
      <w:r>
        <w:rPr>
          <w:rFonts w:ascii="TimesTen-Roman" w:hAnsi="TimesTen-Roman" w:cs="TimesTen-Roman"/>
          <w:sz w:val="20"/>
          <w:szCs w:val="20"/>
        </w:rPr>
        <w:t>exp</w:t>
      </w:r>
      <w:proofErr w:type="spellEnd"/>
      <w:r>
        <w:rPr>
          <w:rFonts w:ascii="TimesTen-Roman" w:hAnsi="TimesTen-Roman" w:cs="TimesTen-Roman"/>
          <w:sz w:val="20"/>
          <w:szCs w:val="20"/>
        </w:rPr>
        <w:t>[</w:t>
      </w:r>
      <w:r>
        <w:rPr>
          <w:rFonts w:ascii="MTSY" w:eastAsia="MTSY" w:hAnsi="TimesTen-Roman" w:cs="MTSY" w:hint="eastAsia"/>
          <w:sz w:val="20"/>
          <w:szCs w:val="20"/>
        </w:rPr>
        <w:t>−</w:t>
      </w:r>
      <w:r>
        <w:rPr>
          <w:rFonts w:ascii="TimesTen-Roman" w:hAnsi="TimesTen-Roman" w:cs="TimesTen-Roman"/>
          <w:sz w:val="20"/>
          <w:szCs w:val="20"/>
        </w:rPr>
        <w:t>(</w:t>
      </w:r>
      <w:r>
        <w:rPr>
          <w:rFonts w:ascii="RMTMI" w:hAnsi="RMTMI" w:cs="RMTMI"/>
          <w:i/>
          <w:iCs/>
          <w:sz w:val="20"/>
          <w:szCs w:val="20"/>
        </w:rPr>
        <w:t xml:space="preserve">α </w:t>
      </w:r>
      <w:r>
        <w:rPr>
          <w:rFonts w:ascii="MTSY" w:eastAsia="MTSY" w:hAnsi="TimesTen-Roman" w:cs="MTSY"/>
          <w:sz w:val="20"/>
          <w:szCs w:val="20"/>
        </w:rPr>
        <w:t xml:space="preserve">+ </w:t>
      </w:r>
      <w:r>
        <w:rPr>
          <w:rFonts w:ascii="RMTMI" w:hAnsi="RMTMI" w:cs="RMTMI"/>
          <w:i/>
          <w:iCs/>
          <w:sz w:val="20"/>
          <w:szCs w:val="20"/>
        </w:rPr>
        <w:t xml:space="preserve">β </w:t>
      </w:r>
      <w:r>
        <w:rPr>
          <w:rFonts w:ascii="TimesTen-Roman" w:hAnsi="TimesTen-Roman" w:cs="TimesTen-Roman"/>
          <w:sz w:val="20"/>
          <w:szCs w:val="20"/>
        </w:rPr>
        <w:t>ln(</w:t>
      </w:r>
      <w:r>
        <w:rPr>
          <w:rFonts w:ascii="TimesTen-Italic" w:hAnsi="TimesTen-Italic" w:cs="TimesTen-Italic"/>
          <w:i/>
          <w:iCs/>
          <w:sz w:val="20"/>
          <w:szCs w:val="20"/>
        </w:rPr>
        <w:t>d</w:t>
      </w:r>
      <w:r>
        <w:rPr>
          <w:rFonts w:ascii="TimesTen-Roman" w:hAnsi="TimesTen-Roman" w:cs="TimesTen-Roman"/>
          <w:sz w:val="20"/>
          <w:szCs w:val="20"/>
        </w:rPr>
        <w:t>))] )</w:t>
      </w:r>
      <w:r>
        <w:rPr>
          <w:rFonts w:ascii="RMTMI" w:hAnsi="RMTMI" w:cs="RMTMI"/>
          <w:i/>
          <w:iCs/>
          <w:sz w:val="20"/>
          <w:szCs w:val="20"/>
        </w:rPr>
        <w:t>,</w:t>
      </w:r>
      <w:r>
        <w:rPr>
          <w:rFonts w:ascii="TimesTen-Roman" w:hAnsi="TimesTen-Roman" w:cs="TimesTen-Roman"/>
          <w:sz w:val="20"/>
          <w:szCs w:val="20"/>
        </w:rPr>
        <w:t xml:space="preserve"> </w:t>
      </w:r>
    </w:p>
    <w:p w:rsidR="00636945" w:rsidRDefault="00636945" w:rsidP="00636945">
      <w:pPr>
        <w:autoSpaceDE w:val="0"/>
        <w:autoSpaceDN w:val="0"/>
        <w:adjustRightInd w:val="0"/>
        <w:spacing w:after="0" w:line="240" w:lineRule="auto"/>
        <w:ind w:left="720" w:firstLine="720"/>
        <w:rPr>
          <w:rFonts w:ascii="TimesTen-Roman" w:hAnsi="TimesTen-Roman" w:cs="TimesTen-Roman"/>
          <w:sz w:val="20"/>
          <w:szCs w:val="20"/>
        </w:rPr>
      </w:pPr>
      <w:r>
        <w:rPr>
          <w:rFonts w:ascii="TimesTen-Roman" w:hAnsi="TimesTen-Roman" w:cs="TimesTen-Roman"/>
          <w:sz w:val="20"/>
          <w:szCs w:val="20"/>
        </w:rPr>
        <w:lastRenderedPageBreak/>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1</w:t>
      </w:r>
      <w:r>
        <w:rPr>
          <w:rFonts w:ascii="RMTMI" w:hAnsi="RMTMI" w:cs="RMTMI"/>
          <w:i/>
          <w:iCs/>
          <w:sz w:val="20"/>
          <w:szCs w:val="20"/>
        </w:rPr>
        <w:t>, β</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(2.1.2)</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Gamma: </w:t>
      </w:r>
    </w:p>
    <w:p w:rsidR="00636945" w:rsidRDefault="00636945" w:rsidP="00636945">
      <w:pPr>
        <w:autoSpaceDE w:val="0"/>
        <w:autoSpaceDN w:val="0"/>
        <w:adjustRightInd w:val="0"/>
        <w:spacing w:after="0" w:line="240" w:lineRule="auto"/>
        <w:rPr>
          <w:rFonts w:ascii="RMTMI" w:hAnsi="RMTMI" w:cs="RMTMI"/>
          <w:i/>
          <w:iCs/>
          <w:sz w:val="20"/>
          <w:szCs w:val="20"/>
        </w:rPr>
      </w:pPr>
      <w:proofErr w:type="gramStart"/>
      <w:r>
        <w:rPr>
          <w:rFonts w:ascii="RMTMI" w:hAnsi="RMTMI" w:cs="RMTMI"/>
          <w:i/>
          <w:iCs/>
          <w:sz w:val="20"/>
          <w:szCs w:val="20"/>
        </w:rPr>
        <w:t>π</w:t>
      </w:r>
      <w:r>
        <w:rPr>
          <w:rFonts w:ascii="TimesTen-Roman" w:hAnsi="TimesTen-Roman" w:cs="TimesTen-Roman"/>
          <w:sz w:val="14"/>
          <w:szCs w:val="14"/>
        </w:rPr>
        <w:t>3</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 (1/</w:t>
      </w:r>
      <w:r>
        <w:rPr>
          <w:rFonts w:ascii="Times New Roman" w:hAnsi="Times New Roman" w:cs="Times New Roman"/>
          <w:i/>
          <w:iCs/>
          <w:sz w:val="20"/>
          <w:szCs w:val="20"/>
        </w:rPr>
        <w:t>Γ</w:t>
      </w:r>
      <w:r>
        <w:rPr>
          <w:rFonts w:ascii="TimesTen-Roman" w:hAnsi="TimesTen-Roman" w:cs="TimesTen-Roman"/>
          <w:sz w:val="20"/>
          <w:szCs w:val="20"/>
        </w:rPr>
        <w:t>(</w:t>
      </w:r>
      <w:r>
        <w:rPr>
          <w:rFonts w:ascii="RMTMI" w:hAnsi="RMTMI" w:cs="RMTMI"/>
          <w:i/>
          <w:iCs/>
          <w:sz w:val="20"/>
          <w:szCs w:val="20"/>
        </w:rPr>
        <w:t>α</w:t>
      </w:r>
      <w:r>
        <w:rPr>
          <w:rFonts w:ascii="TimesTen-Roman" w:hAnsi="TimesTen-Roman" w:cs="TimesTen-Roman"/>
          <w:sz w:val="20"/>
          <w:szCs w:val="20"/>
        </w:rPr>
        <w:t>)</w:t>
      </w:r>
      <w:r>
        <w:rPr>
          <w:rFonts w:ascii="MTEX" w:hAnsi="MTEX" w:cs="MTEX"/>
          <w:sz w:val="20"/>
          <w:szCs w:val="20"/>
        </w:rPr>
        <w:t>)</w:t>
      </w:r>
      <m:oMath>
        <m:nary>
          <m:naryPr>
            <m:limLoc m:val="subSup"/>
            <m:ctrlPr>
              <w:rPr>
                <w:rFonts w:ascii="Cambria Math" w:hAnsi="Cambria Math" w:cs="MTEX"/>
                <w:i/>
                <w:sz w:val="20"/>
                <w:szCs w:val="20"/>
              </w:rPr>
            </m:ctrlPr>
          </m:naryPr>
          <m:sub>
            <m:r>
              <w:rPr>
                <w:rFonts w:ascii="Cambria Math" w:hAnsi="Cambria Math" w:cs="MTEX"/>
                <w:sz w:val="20"/>
                <w:szCs w:val="20"/>
              </w:rPr>
              <m:t>0</m:t>
            </m:r>
          </m:sub>
          <m:sup>
            <m:r>
              <w:rPr>
                <w:rFonts w:ascii="Cambria Math" w:hAnsi="Cambria Math" w:cs="RMTMI"/>
                <w:sz w:val="14"/>
                <w:szCs w:val="14"/>
              </w:rPr>
              <m:t>β</m:t>
            </m:r>
            <m:r>
              <w:rPr>
                <w:rFonts w:ascii="Cambria Math" w:hAnsi="Cambria Math" w:cs="TimesTen-Italic"/>
                <w:sz w:val="14"/>
                <w:szCs w:val="14"/>
              </w:rPr>
              <m:t>d</m:t>
            </m:r>
          </m:sup>
          <m:e>
            <m:sSup>
              <m:sSupPr>
                <m:ctrlPr>
                  <w:rPr>
                    <w:rFonts w:ascii="Cambria Math" w:hAnsi="Cambria Math" w:cs="MTEX"/>
                    <w:i/>
                    <w:sz w:val="20"/>
                    <w:szCs w:val="20"/>
                  </w:rPr>
                </m:ctrlPr>
              </m:sSupPr>
              <m:e>
                <m:r>
                  <w:rPr>
                    <w:rFonts w:ascii="Cambria Math" w:hAnsi="Cambria Math" w:cs="MTEX"/>
                    <w:sz w:val="20"/>
                    <w:szCs w:val="20"/>
                  </w:rPr>
                  <m:t>t</m:t>
                </m:r>
              </m:e>
              <m:sup>
                <m:r>
                  <w:rPr>
                    <w:rFonts w:ascii="Cambria Math" w:hAnsi="Cambria Math" w:cs="MTEX"/>
                    <w:sz w:val="20"/>
                    <w:szCs w:val="20"/>
                  </w:rPr>
                  <m:t>α-1</m:t>
                </m:r>
              </m:sup>
            </m:sSup>
            <m:sSup>
              <m:sSupPr>
                <m:ctrlPr>
                  <w:rPr>
                    <w:rFonts w:ascii="Cambria Math" w:hAnsi="Cambria Math" w:cs="MTEX"/>
                    <w:i/>
                    <w:sz w:val="20"/>
                    <w:szCs w:val="20"/>
                  </w:rPr>
                </m:ctrlPr>
              </m:sSupPr>
              <m:e>
                <m:r>
                  <w:rPr>
                    <w:rFonts w:ascii="Cambria Math" w:hAnsi="Cambria Math" w:cs="MTEX"/>
                    <w:sz w:val="20"/>
                    <w:szCs w:val="20"/>
                  </w:rPr>
                  <m:t>e</m:t>
                </m:r>
              </m:e>
              <m:sup>
                <m:r>
                  <w:rPr>
                    <w:rFonts w:ascii="Cambria Math" w:hAnsi="Cambria Math" w:cs="MTEX"/>
                    <w:sz w:val="20"/>
                    <w:szCs w:val="20"/>
                  </w:rPr>
                  <m:t>-t</m:t>
                </m:r>
              </m:sup>
            </m:sSup>
          </m:e>
        </m:nary>
      </m:oMath>
      <w:proofErr w:type="spellStart"/>
      <w:r>
        <w:rPr>
          <w:rFonts w:ascii="TimesTen-Italic" w:hAnsi="TimesTen-Italic" w:cs="TimesTen-Italic"/>
          <w:i/>
          <w:iCs/>
          <w:sz w:val="20"/>
          <w:szCs w:val="20"/>
        </w:rPr>
        <w:t>dt</w:t>
      </w:r>
      <w:proofErr w:type="spellEnd"/>
      <w:r>
        <w:rPr>
          <w:rFonts w:ascii="RMTMI" w:hAnsi="RMTMI" w:cs="RMTMI"/>
          <w:i/>
          <w:iCs/>
          <w:sz w:val="20"/>
          <w:szCs w:val="20"/>
        </w:rPr>
        <w:t>,</w:t>
      </w:r>
    </w:p>
    <w:p w:rsidR="00636945" w:rsidRDefault="00636945" w:rsidP="00636945">
      <w:pPr>
        <w:autoSpaceDE w:val="0"/>
        <w:autoSpaceDN w:val="0"/>
        <w:adjustRightInd w:val="0"/>
        <w:spacing w:after="0" w:line="240" w:lineRule="auto"/>
        <w:ind w:left="720" w:firstLine="720"/>
        <w:rPr>
          <w:rFonts w:ascii="TimesTen-Roman" w:hAnsi="TimesTen-Roman" w:cs="TimesTen-Roman"/>
          <w:sz w:val="20"/>
          <w:szCs w:val="20"/>
        </w:rPr>
      </w:pPr>
      <w:r>
        <w:rPr>
          <w:rFonts w:ascii="RMTMI" w:hAnsi="RMTMI" w:cs="RMTMI"/>
          <w:i/>
          <w:iCs/>
          <w:sz w:val="20"/>
          <w:szCs w:val="20"/>
        </w:rPr>
        <w:t xml:space="preserve"> </w:t>
      </w:r>
      <w:r>
        <w:rPr>
          <w:rFonts w:ascii="TimesTen-Roman" w:hAnsi="TimesTen-Roman" w:cs="TimesTen-Roman"/>
          <w:sz w:val="20"/>
          <w:szCs w:val="20"/>
        </w:rPr>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 xml:space="preserve">1 </w:t>
      </w:r>
      <w:r>
        <w:rPr>
          <w:rFonts w:ascii="RMTMI" w:hAnsi="RMTMI" w:cs="RMTMI"/>
          <w:i/>
          <w:iCs/>
          <w:sz w:val="20"/>
          <w:szCs w:val="20"/>
        </w:rPr>
        <w:t xml:space="preserve">α </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1</w:t>
      </w:r>
      <w:r>
        <w:rPr>
          <w:rFonts w:ascii="RMTMI" w:hAnsi="RMTMI" w:cs="RMTMI"/>
          <w:i/>
          <w:iCs/>
          <w:sz w:val="20"/>
          <w:szCs w:val="20"/>
        </w:rPr>
        <w:t>, β</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 xml:space="preserve">0 </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(2.1.3)</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Multistage: </w:t>
      </w:r>
    </w:p>
    <w:p w:rsidR="00636945" w:rsidRPr="00636945" w:rsidRDefault="00636945" w:rsidP="00636945">
      <w:pPr>
        <w:autoSpaceDE w:val="0"/>
        <w:autoSpaceDN w:val="0"/>
        <w:adjustRightInd w:val="0"/>
        <w:spacing w:after="0" w:line="240" w:lineRule="auto"/>
        <w:rPr>
          <w:rFonts w:ascii="TimesTen-Roman" w:hAnsi="TimesTen-Roman" w:cs="TimesTen-Roman"/>
          <w:sz w:val="20"/>
          <w:szCs w:val="20"/>
        </w:rPr>
      </w:pPr>
      <w:proofErr w:type="gramStart"/>
      <w:r>
        <w:rPr>
          <w:rFonts w:ascii="RMTMI" w:hAnsi="RMTMI" w:cs="RMTMI"/>
          <w:i/>
          <w:iCs/>
          <w:sz w:val="20"/>
          <w:szCs w:val="20"/>
        </w:rPr>
        <w:t>π</w:t>
      </w:r>
      <w:r>
        <w:rPr>
          <w:rFonts w:ascii="TimesTen-Roman" w:hAnsi="TimesTen-Roman" w:cs="TimesTen-Roman"/>
          <w:sz w:val="14"/>
          <w:szCs w:val="14"/>
        </w:rPr>
        <w:t>4</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proofErr w:type="spellStart"/>
      <w:r>
        <w:rPr>
          <w:rFonts w:ascii="TimesTen-Roman" w:hAnsi="TimesTen-Roman" w:cs="TimesTen-Roman"/>
          <w:sz w:val="20"/>
          <w:szCs w:val="20"/>
        </w:rPr>
        <w:t>exp</w:t>
      </w:r>
      <w:proofErr w:type="spellEnd"/>
      <w:r>
        <w:rPr>
          <w:rFonts w:ascii="TimesTen-Roman" w:hAnsi="TimesTen-Roman" w:cs="TimesTen-Roman"/>
          <w:sz w:val="20"/>
          <w:szCs w:val="20"/>
        </w:rPr>
        <w:t>(</w:t>
      </w:r>
      <w:r>
        <w:rPr>
          <w:rFonts w:ascii="MTSY" w:eastAsia="MTSY" w:hAnsi="TimesTen-Roman" w:cs="MTSY" w:hint="eastAsia"/>
          <w:sz w:val="20"/>
          <w:szCs w:val="20"/>
        </w:rPr>
        <w:t>−</w:t>
      </w:r>
      <w:r>
        <w:rPr>
          <w:rFonts w:ascii="RMTMI" w:hAnsi="RMTMI" w:cs="RMTMI"/>
          <w:i/>
          <w:iCs/>
          <w:sz w:val="20"/>
          <w:szCs w:val="20"/>
        </w:rPr>
        <w:t>θ</w:t>
      </w:r>
      <w:r>
        <w:rPr>
          <w:rFonts w:ascii="TimesTen-Roman" w:hAnsi="TimesTen-Roman" w:cs="TimesTen-Roman"/>
          <w:sz w:val="14"/>
          <w:szCs w:val="14"/>
        </w:rPr>
        <w:t>1</w:t>
      </w:r>
      <w:r>
        <w:rPr>
          <w:rFonts w:ascii="TimesTen-Italic" w:hAnsi="TimesTen-Italic" w:cs="TimesTen-Italic"/>
          <w:i/>
          <w:iCs/>
          <w:sz w:val="20"/>
          <w:szCs w:val="20"/>
        </w:rPr>
        <w:t xml:space="preserve">d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θ</w:t>
      </w:r>
      <w:r>
        <w:rPr>
          <w:rFonts w:ascii="TimesTen-Roman" w:hAnsi="TimesTen-Roman" w:cs="TimesTen-Roman"/>
          <w:sz w:val="14"/>
          <w:szCs w:val="14"/>
        </w:rPr>
        <w:t>2</w:t>
      </w:r>
      <w:r>
        <w:rPr>
          <w:rFonts w:ascii="TimesTen-Italic" w:hAnsi="TimesTen-Italic" w:cs="TimesTen-Italic"/>
          <w:i/>
          <w:iCs/>
          <w:sz w:val="20"/>
          <w:szCs w:val="20"/>
        </w:rPr>
        <w:t>d</w:t>
      </w:r>
      <w:r w:rsidRPr="00636945">
        <w:rPr>
          <w:rFonts w:ascii="TimesTen-Roman" w:hAnsi="TimesTen-Roman" w:cs="TimesTen-Roman"/>
          <w:sz w:val="18"/>
          <w:szCs w:val="14"/>
          <w:vertAlign w:val="superscript"/>
        </w:rPr>
        <w:t>2</w:t>
      </w:r>
      <w:r>
        <w:rPr>
          <w:rFonts w:ascii="TimesTen-Roman" w:hAnsi="TimesTen-Roman" w:cs="TimesTen-Roman"/>
          <w:sz w:val="14"/>
          <w:szCs w:val="14"/>
        </w:rPr>
        <w:t xml:space="preserve"> </w:t>
      </w:r>
      <w:r>
        <w:rPr>
          <w:rFonts w:ascii="RMTMI" w:hAnsi="RMTMI" w:cs="RMTMI"/>
          <w:i/>
          <w:iCs/>
          <w:sz w:val="20"/>
          <w:szCs w:val="20"/>
        </w:rPr>
        <w:t>. . .</w:t>
      </w:r>
      <w:r>
        <w:rPr>
          <w:rFonts w:ascii="TimesTen-Roman" w:hAnsi="TimesTen-Roman" w:cs="TimesTen-Roman"/>
          <w:sz w:val="20"/>
          <w:szCs w:val="20"/>
        </w:rPr>
        <w:t>)]</w:t>
      </w:r>
      <w:r>
        <w:rPr>
          <w:rFonts w:ascii="RMTMI" w:hAnsi="RMTMI" w:cs="RMTMI"/>
          <w:i/>
          <w:iCs/>
          <w:sz w:val="20"/>
          <w:szCs w:val="20"/>
        </w:rPr>
        <w:t>,</w:t>
      </w:r>
    </w:p>
    <w:p w:rsidR="00636945" w:rsidRPr="00636945" w:rsidRDefault="00636945" w:rsidP="00636945">
      <w:pPr>
        <w:autoSpaceDE w:val="0"/>
        <w:autoSpaceDN w:val="0"/>
        <w:adjustRightInd w:val="0"/>
        <w:spacing w:after="0" w:line="240" w:lineRule="auto"/>
        <w:ind w:left="720" w:firstLine="720"/>
        <w:rPr>
          <w:rFonts w:ascii="RMTMI" w:hAnsi="RMTMI" w:cs="RMTMI"/>
          <w:i/>
          <w:iCs/>
          <w:sz w:val="20"/>
          <w:szCs w:val="20"/>
        </w:rPr>
      </w:pPr>
      <w:r>
        <w:rPr>
          <w:rFonts w:ascii="TimesTen-Roman" w:hAnsi="TimesTen-Roman" w:cs="TimesTen-Roman"/>
          <w:sz w:val="20"/>
          <w:szCs w:val="20"/>
        </w:rPr>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 xml:space="preserve">1 </w:t>
      </w:r>
      <w:r>
        <w:rPr>
          <w:rFonts w:ascii="RMTMI" w:hAnsi="RMTMI" w:cs="RMTMI"/>
          <w:i/>
          <w:iCs/>
          <w:sz w:val="20"/>
          <w:szCs w:val="20"/>
        </w:rPr>
        <w:t>θ</w:t>
      </w:r>
      <w:r>
        <w:rPr>
          <w:rFonts w:ascii="TimesTen-Roman" w:hAnsi="TimesTen-Roman" w:cs="TimesTen-Roman"/>
          <w:sz w:val="14"/>
          <w:szCs w:val="14"/>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0</w:t>
      </w:r>
      <w:r>
        <w:rPr>
          <w:rFonts w:ascii="RMTMI" w:hAnsi="RMTMI" w:cs="RMTMI"/>
          <w:i/>
          <w:iCs/>
          <w:sz w:val="20"/>
          <w:szCs w:val="20"/>
        </w:rPr>
        <w:t>, θ</w:t>
      </w:r>
      <w:r>
        <w:rPr>
          <w:rFonts w:ascii="TimesTen-Roman" w:hAnsi="TimesTen-Roman" w:cs="TimesTen-Roman"/>
          <w:sz w:val="14"/>
          <w:szCs w:val="14"/>
        </w:rPr>
        <w:t xml:space="preserve">2 </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 xml:space="preserve">0 </w:t>
      </w:r>
      <w:r>
        <w:rPr>
          <w:rFonts w:ascii="RMTMI" w:hAnsi="RMTMI" w:cs="RMTMI"/>
          <w:i/>
          <w:iCs/>
          <w:sz w:val="20"/>
          <w:szCs w:val="20"/>
        </w:rPr>
        <w:t xml:space="preserve">. . . </w:t>
      </w:r>
      <w:r>
        <w:rPr>
          <w:rFonts w:ascii="RMTMI" w:hAnsi="RMTMI" w:cs="RMTMI"/>
          <w:i/>
          <w:iCs/>
          <w:sz w:val="20"/>
          <w:szCs w:val="20"/>
        </w:rPr>
        <w:tab/>
      </w:r>
      <w:r>
        <w:rPr>
          <w:rFonts w:ascii="RMTMI" w:hAnsi="RMTMI" w:cs="RMTMI"/>
          <w:i/>
          <w:iCs/>
          <w:sz w:val="20"/>
          <w:szCs w:val="20"/>
        </w:rPr>
        <w:tab/>
      </w:r>
      <w:r>
        <w:rPr>
          <w:rFonts w:ascii="RMTMI" w:hAnsi="RMTMI" w:cs="RMTMI"/>
          <w:i/>
          <w:iCs/>
          <w:sz w:val="20"/>
          <w:szCs w:val="20"/>
        </w:rPr>
        <w:tab/>
      </w:r>
      <w:r>
        <w:rPr>
          <w:rFonts w:ascii="TimesTen-Roman" w:hAnsi="TimesTen-Roman" w:cs="TimesTen-Roman"/>
          <w:sz w:val="20"/>
          <w:szCs w:val="20"/>
        </w:rPr>
        <w:t>(2.1.4)</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Probit: </w:t>
      </w:r>
    </w:p>
    <w:p w:rsidR="00636945" w:rsidRDefault="00636945" w:rsidP="00636945">
      <w:pPr>
        <w:autoSpaceDE w:val="0"/>
        <w:autoSpaceDN w:val="0"/>
        <w:adjustRightInd w:val="0"/>
        <w:spacing w:after="0" w:line="240" w:lineRule="auto"/>
        <w:rPr>
          <w:rFonts w:ascii="TimesTen-Roman" w:hAnsi="TimesTen-Roman" w:cs="TimesTen-Roman"/>
          <w:sz w:val="20"/>
          <w:szCs w:val="20"/>
        </w:rPr>
      </w:pPr>
      <w:proofErr w:type="gramStart"/>
      <w:r>
        <w:rPr>
          <w:rFonts w:ascii="RMTMI" w:hAnsi="RMTMI" w:cs="RMTMI"/>
          <w:i/>
          <w:iCs/>
          <w:sz w:val="20"/>
          <w:szCs w:val="20"/>
        </w:rPr>
        <w:t>π</w:t>
      </w:r>
      <w:r>
        <w:rPr>
          <w:rFonts w:ascii="TimesTen-Roman" w:hAnsi="TimesTen-Roman" w:cs="TimesTen-Roman"/>
          <w:sz w:val="14"/>
          <w:szCs w:val="14"/>
        </w:rPr>
        <w:t>5</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Times New Roman" w:hAnsi="Times New Roman" w:cs="Times New Roman"/>
          <w:i/>
          <w:iCs/>
          <w:sz w:val="20"/>
          <w:szCs w:val="20"/>
        </w:rPr>
        <w:t>Φ</w:t>
      </w:r>
      <w:r>
        <w:rPr>
          <w:rFonts w:ascii="TimesTen-Roman" w:hAnsi="TimesTen-Roman" w:cs="TimesTen-Roman"/>
          <w:sz w:val="20"/>
          <w:szCs w:val="20"/>
        </w:rPr>
        <w:t>(</w:t>
      </w:r>
      <w:r>
        <w:rPr>
          <w:rFonts w:ascii="TimesTen-Italic" w:hAnsi="TimesTen-Italic" w:cs="TimesTen-Italic"/>
          <w:i/>
          <w:iCs/>
          <w:sz w:val="20"/>
          <w:szCs w:val="20"/>
        </w:rPr>
        <w:t xml:space="preserve">a </w:t>
      </w:r>
      <w:r>
        <w:rPr>
          <w:rFonts w:ascii="MTSY" w:eastAsia="MTSY" w:hAnsi="TimesTen-Roman" w:cs="MTSY"/>
          <w:sz w:val="20"/>
          <w:szCs w:val="20"/>
        </w:rPr>
        <w:t xml:space="preserve">+ </w:t>
      </w:r>
      <w:r>
        <w:rPr>
          <w:rFonts w:ascii="RMTMI" w:hAnsi="RMTMI" w:cs="RMTMI"/>
          <w:i/>
          <w:iCs/>
          <w:sz w:val="20"/>
          <w:szCs w:val="20"/>
        </w:rPr>
        <w:t>β</w:t>
      </w:r>
      <w:r>
        <w:rPr>
          <w:rFonts w:ascii="TimesTen-Italic" w:hAnsi="TimesTen-Italic" w:cs="TimesTen-Italic"/>
          <w:i/>
          <w:iCs/>
          <w:sz w:val="20"/>
          <w:szCs w:val="20"/>
        </w:rPr>
        <w:t>d</w:t>
      </w:r>
      <w:r>
        <w:rPr>
          <w:rFonts w:ascii="TimesTen-Roman" w:hAnsi="TimesTen-Roman" w:cs="TimesTen-Roman"/>
          <w:sz w:val="20"/>
          <w:szCs w:val="20"/>
        </w:rPr>
        <w:t xml:space="preserve">) </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(2.1.5)</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Log-probit: </w:t>
      </w:r>
    </w:p>
    <w:p w:rsidR="00636945" w:rsidRPr="00636945" w:rsidRDefault="00636945" w:rsidP="00636945">
      <w:pPr>
        <w:autoSpaceDE w:val="0"/>
        <w:autoSpaceDN w:val="0"/>
        <w:adjustRightInd w:val="0"/>
        <w:spacing w:after="0" w:line="240" w:lineRule="auto"/>
        <w:rPr>
          <w:rFonts w:ascii="TimesTen-Roman" w:hAnsi="TimesTen-Roman" w:cs="TimesTen-Roman"/>
          <w:sz w:val="20"/>
          <w:szCs w:val="20"/>
        </w:rPr>
      </w:pPr>
      <w:proofErr w:type="gramStart"/>
      <w:r>
        <w:rPr>
          <w:rFonts w:ascii="RMTMI" w:hAnsi="RMTMI" w:cs="RMTMI"/>
          <w:i/>
          <w:iCs/>
          <w:sz w:val="20"/>
          <w:szCs w:val="20"/>
        </w:rPr>
        <w:t>π</w:t>
      </w:r>
      <w:r>
        <w:rPr>
          <w:rFonts w:ascii="TimesTen-Roman" w:hAnsi="TimesTen-Roman" w:cs="TimesTen-Roman"/>
          <w:sz w:val="14"/>
          <w:szCs w:val="14"/>
        </w:rPr>
        <w:t>6</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w:t>
      </w:r>
      <w:r w:rsidRPr="00636945">
        <w:rPr>
          <w:rFonts w:ascii="Times New Roman" w:hAnsi="Times New Roman" w:cs="Times New Roman"/>
          <w:i/>
          <w:iCs/>
          <w:sz w:val="20"/>
          <w:szCs w:val="20"/>
        </w:rPr>
        <w:t xml:space="preserve"> </w:t>
      </w:r>
      <w:r>
        <w:rPr>
          <w:rFonts w:ascii="Times New Roman" w:hAnsi="Times New Roman" w:cs="Times New Roman"/>
          <w:i/>
          <w:iCs/>
          <w:sz w:val="20"/>
          <w:szCs w:val="20"/>
        </w:rPr>
        <w:t>Φ</w:t>
      </w:r>
      <w:r>
        <w:rPr>
          <w:rFonts w:ascii="TimesTen-Roman" w:hAnsi="TimesTen-Roman" w:cs="TimesTen-Roman"/>
          <w:sz w:val="20"/>
          <w:szCs w:val="20"/>
        </w:rPr>
        <w:t xml:space="preserve"> [</w:t>
      </w:r>
      <w:r>
        <w:rPr>
          <w:rFonts w:ascii="TimesTen-Italic" w:hAnsi="TimesTen-Italic" w:cs="TimesTen-Italic"/>
          <w:i/>
          <w:iCs/>
          <w:sz w:val="20"/>
          <w:szCs w:val="20"/>
        </w:rPr>
        <w:t xml:space="preserve">a </w:t>
      </w:r>
      <w:r>
        <w:rPr>
          <w:rFonts w:ascii="MTSY" w:eastAsia="MTSY" w:hAnsi="TimesTen-Roman" w:cs="MTSY"/>
          <w:sz w:val="20"/>
          <w:szCs w:val="20"/>
        </w:rPr>
        <w:t xml:space="preserve">+ </w:t>
      </w:r>
      <w:r>
        <w:rPr>
          <w:rFonts w:ascii="RMTMI" w:hAnsi="RMTMI" w:cs="RMTMI"/>
          <w:i/>
          <w:iCs/>
          <w:sz w:val="20"/>
          <w:szCs w:val="20"/>
        </w:rPr>
        <w:t xml:space="preserve">β </w:t>
      </w:r>
      <w:r>
        <w:rPr>
          <w:rFonts w:ascii="TimesTen-Roman" w:hAnsi="TimesTen-Roman" w:cs="TimesTen-Roman"/>
          <w:sz w:val="20"/>
          <w:szCs w:val="20"/>
        </w:rPr>
        <w:t xml:space="preserve">ln </w:t>
      </w:r>
      <w:r>
        <w:rPr>
          <w:rFonts w:ascii="TimesTen-Italic" w:hAnsi="TimesTen-Italic" w:cs="TimesTen-Italic"/>
          <w:i/>
          <w:iCs/>
          <w:sz w:val="20"/>
          <w:szCs w:val="20"/>
        </w:rPr>
        <w:t>d</w:t>
      </w:r>
      <w:r>
        <w:rPr>
          <w:rFonts w:ascii="TimesTen-Roman" w:hAnsi="TimesTen-Roman" w:cs="TimesTen-Roman"/>
          <w:sz w:val="20"/>
          <w:szCs w:val="20"/>
        </w:rPr>
        <w:t>]</w:t>
      </w:r>
      <w:r>
        <w:rPr>
          <w:rFonts w:ascii="RMTMI" w:hAnsi="RMTMI" w:cs="RMTMI"/>
          <w:i/>
          <w:iCs/>
          <w:sz w:val="20"/>
          <w:szCs w:val="20"/>
        </w:rPr>
        <w:t>,</w:t>
      </w:r>
    </w:p>
    <w:p w:rsidR="00636945" w:rsidRDefault="00636945" w:rsidP="00636945">
      <w:pPr>
        <w:autoSpaceDE w:val="0"/>
        <w:autoSpaceDN w:val="0"/>
        <w:adjustRightInd w:val="0"/>
        <w:spacing w:after="0" w:line="240" w:lineRule="auto"/>
        <w:ind w:left="720" w:firstLine="720"/>
        <w:rPr>
          <w:rFonts w:ascii="TimesTen-Roman" w:hAnsi="TimesTen-Roman" w:cs="TimesTen-Roman"/>
          <w:sz w:val="20"/>
          <w:szCs w:val="20"/>
        </w:rPr>
      </w:pPr>
      <w:r>
        <w:rPr>
          <w:rFonts w:ascii="TimesTen-Roman" w:hAnsi="TimesTen-Roman" w:cs="TimesTen-Roman"/>
          <w:sz w:val="20"/>
          <w:szCs w:val="20"/>
        </w:rPr>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 xml:space="preserve">1 </w:t>
      </w:r>
      <w:r>
        <w:rPr>
          <w:rFonts w:ascii="RMTMI" w:hAnsi="RMTMI" w:cs="RMTMI"/>
          <w:i/>
          <w:iCs/>
          <w:sz w:val="20"/>
          <w:szCs w:val="20"/>
        </w:rPr>
        <w:t xml:space="preserve">β </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0</w:t>
      </w:r>
      <w:r>
        <w:rPr>
          <w:rFonts w:ascii="RMTMI" w:hAnsi="RMTMI" w:cs="RMTMI"/>
          <w:i/>
          <w:iCs/>
          <w:sz w:val="20"/>
          <w:szCs w:val="20"/>
        </w:rPr>
        <w:t>.</w:t>
      </w:r>
      <w:r>
        <w:rPr>
          <w:rFonts w:ascii="TimesTen-Roman" w:hAnsi="TimesTen-Roman" w:cs="TimesTen-Roman"/>
          <w:sz w:val="20"/>
          <w:szCs w:val="20"/>
        </w:rPr>
        <w:t xml:space="preserve">5 </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(2.1.6)</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Quantal-linear:</w:t>
      </w:r>
    </w:p>
    <w:p w:rsidR="00636945" w:rsidRDefault="00636945" w:rsidP="00636945">
      <w:pPr>
        <w:autoSpaceDE w:val="0"/>
        <w:autoSpaceDN w:val="0"/>
        <w:adjustRightInd w:val="0"/>
        <w:spacing w:after="0" w:line="240" w:lineRule="auto"/>
        <w:rPr>
          <w:rFonts w:ascii="RMTMI" w:hAnsi="RMTMI" w:cs="RMTMI"/>
          <w:i/>
          <w:iCs/>
          <w:sz w:val="20"/>
          <w:szCs w:val="20"/>
        </w:rPr>
      </w:pPr>
      <w:proofErr w:type="gramStart"/>
      <w:r>
        <w:rPr>
          <w:rFonts w:ascii="RMTMI" w:hAnsi="RMTMI" w:cs="RMTMI"/>
          <w:i/>
          <w:iCs/>
          <w:sz w:val="20"/>
          <w:szCs w:val="20"/>
        </w:rPr>
        <w:t>π</w:t>
      </w:r>
      <w:r>
        <w:rPr>
          <w:rFonts w:ascii="TimesTen-Roman" w:hAnsi="TimesTen-Roman" w:cs="TimesTen-Roman"/>
          <w:sz w:val="14"/>
          <w:szCs w:val="14"/>
        </w:rPr>
        <w:t>7</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proofErr w:type="spellStart"/>
      <w:r>
        <w:rPr>
          <w:rFonts w:ascii="TimesTen-Roman" w:hAnsi="TimesTen-Roman" w:cs="TimesTen-Roman"/>
          <w:sz w:val="20"/>
          <w:szCs w:val="20"/>
        </w:rPr>
        <w:t>exp</w:t>
      </w:r>
      <w:proofErr w:type="spellEnd"/>
      <w:r>
        <w:rPr>
          <w:rFonts w:ascii="TimesTen-Roman" w:hAnsi="TimesTen-Roman" w:cs="TimesTen-Roman"/>
          <w:sz w:val="20"/>
          <w:szCs w:val="20"/>
        </w:rPr>
        <w:t>(</w:t>
      </w:r>
      <w:r>
        <w:rPr>
          <w:rFonts w:ascii="MTSY" w:eastAsia="MTSY" w:hAnsi="TimesTen-Roman" w:cs="MTSY" w:hint="eastAsia"/>
          <w:sz w:val="20"/>
          <w:szCs w:val="20"/>
        </w:rPr>
        <w:t>−</w:t>
      </w:r>
      <w:r>
        <w:rPr>
          <w:rFonts w:ascii="RMTMI" w:hAnsi="RMTMI" w:cs="RMTMI"/>
          <w:i/>
          <w:iCs/>
          <w:sz w:val="20"/>
          <w:szCs w:val="20"/>
        </w:rPr>
        <w:t>β</w:t>
      </w:r>
      <w:r>
        <w:rPr>
          <w:rFonts w:ascii="TimesTen-Italic" w:hAnsi="TimesTen-Italic" w:cs="TimesTen-Italic"/>
          <w:i/>
          <w:iCs/>
          <w:sz w:val="20"/>
          <w:szCs w:val="20"/>
        </w:rPr>
        <w:t>d</w:t>
      </w:r>
      <w:r>
        <w:rPr>
          <w:rFonts w:ascii="TimesTen-Roman" w:hAnsi="TimesTen-Roman" w:cs="TimesTen-Roman"/>
          <w:sz w:val="20"/>
          <w:szCs w:val="20"/>
        </w:rPr>
        <w:t>)]</w:t>
      </w:r>
      <w:r>
        <w:rPr>
          <w:rFonts w:ascii="RMTMI" w:hAnsi="RMTMI" w:cs="RMTMI"/>
          <w:i/>
          <w:iCs/>
          <w:sz w:val="20"/>
          <w:szCs w:val="20"/>
        </w:rPr>
        <w:t>,</w:t>
      </w:r>
    </w:p>
    <w:p w:rsidR="00636945" w:rsidRDefault="00636945" w:rsidP="00636945">
      <w:pPr>
        <w:autoSpaceDE w:val="0"/>
        <w:autoSpaceDN w:val="0"/>
        <w:adjustRightInd w:val="0"/>
        <w:spacing w:after="0" w:line="240" w:lineRule="auto"/>
        <w:ind w:left="720" w:firstLine="720"/>
        <w:rPr>
          <w:rFonts w:ascii="TimesTen-Roman" w:hAnsi="TimesTen-Roman" w:cs="TimesTen-Roman"/>
          <w:sz w:val="20"/>
          <w:szCs w:val="20"/>
        </w:rPr>
      </w:pPr>
      <w:r>
        <w:rPr>
          <w:rFonts w:ascii="TimesTen-Roman" w:hAnsi="TimesTen-Roman" w:cs="TimesTen-Roman"/>
          <w:sz w:val="20"/>
          <w:szCs w:val="20"/>
        </w:rPr>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1</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 xml:space="preserve"> (2.1.7)</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Quantal-quadratic</w:t>
      </w:r>
    </w:p>
    <w:p w:rsidR="00636945" w:rsidRDefault="00636945" w:rsidP="00636945">
      <w:pPr>
        <w:autoSpaceDE w:val="0"/>
        <w:autoSpaceDN w:val="0"/>
        <w:adjustRightInd w:val="0"/>
        <w:spacing w:after="0" w:line="240" w:lineRule="auto"/>
        <w:rPr>
          <w:rFonts w:ascii="RMTMI" w:hAnsi="RMTMI" w:cs="RMTMI"/>
          <w:i/>
          <w:iCs/>
          <w:sz w:val="20"/>
          <w:szCs w:val="20"/>
        </w:rPr>
      </w:pPr>
      <w:proofErr w:type="gramStart"/>
      <w:r>
        <w:rPr>
          <w:rFonts w:ascii="RMTMI" w:hAnsi="RMTMI" w:cs="RMTMI"/>
          <w:i/>
          <w:iCs/>
          <w:sz w:val="20"/>
          <w:szCs w:val="20"/>
        </w:rPr>
        <w:t>π</w:t>
      </w:r>
      <w:r>
        <w:rPr>
          <w:rFonts w:ascii="TimesTen-Roman" w:hAnsi="TimesTen-Roman" w:cs="TimesTen-Roman"/>
          <w:sz w:val="14"/>
          <w:szCs w:val="14"/>
        </w:rPr>
        <w:t>8</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proofErr w:type="spellStart"/>
      <w:r>
        <w:rPr>
          <w:rFonts w:ascii="TimesTen-Roman" w:hAnsi="TimesTen-Roman" w:cs="TimesTen-Roman"/>
          <w:sz w:val="20"/>
          <w:szCs w:val="20"/>
        </w:rPr>
        <w:t>exp</w:t>
      </w:r>
      <w:proofErr w:type="spellEnd"/>
      <w:r>
        <w:rPr>
          <w:rFonts w:ascii="TimesTen-Roman" w:hAnsi="TimesTen-Roman" w:cs="TimesTen-Roman"/>
          <w:sz w:val="20"/>
          <w:szCs w:val="20"/>
        </w:rPr>
        <w:t>(</w:t>
      </w:r>
      <w:r>
        <w:rPr>
          <w:rFonts w:ascii="MTSY" w:eastAsia="MTSY" w:hAnsi="TimesTen-Roman" w:cs="MTSY" w:hint="eastAsia"/>
          <w:sz w:val="20"/>
          <w:szCs w:val="20"/>
        </w:rPr>
        <w:t>−</w:t>
      </w:r>
      <w:r>
        <w:rPr>
          <w:rFonts w:ascii="RMTMI" w:hAnsi="RMTMI" w:cs="RMTMI"/>
          <w:i/>
          <w:iCs/>
          <w:sz w:val="20"/>
          <w:szCs w:val="20"/>
        </w:rPr>
        <w:t>β</w:t>
      </w:r>
      <w:r>
        <w:rPr>
          <w:rFonts w:ascii="TimesTen-Italic" w:hAnsi="TimesTen-Italic" w:cs="TimesTen-Italic"/>
          <w:i/>
          <w:iCs/>
          <w:sz w:val="20"/>
          <w:szCs w:val="20"/>
        </w:rPr>
        <w:t>d</w:t>
      </w:r>
      <w:r w:rsidRPr="00636945">
        <w:rPr>
          <w:rFonts w:ascii="TimesTen-Roman" w:hAnsi="TimesTen-Roman" w:cs="TimesTen-Roman"/>
          <w:sz w:val="18"/>
          <w:szCs w:val="14"/>
          <w:vertAlign w:val="superscript"/>
        </w:rPr>
        <w:t>2</w:t>
      </w:r>
      <w:r>
        <w:rPr>
          <w:rFonts w:ascii="TimesTen-Roman" w:hAnsi="TimesTen-Roman" w:cs="TimesTen-Roman"/>
          <w:sz w:val="20"/>
          <w:szCs w:val="20"/>
        </w:rPr>
        <w:t>)]</w:t>
      </w:r>
      <w:r>
        <w:rPr>
          <w:rFonts w:ascii="RMTMI" w:hAnsi="RMTMI" w:cs="RMTMI"/>
          <w:i/>
          <w:iCs/>
          <w:sz w:val="20"/>
          <w:szCs w:val="20"/>
        </w:rPr>
        <w:t>,</w:t>
      </w:r>
    </w:p>
    <w:p w:rsidR="00636945" w:rsidRDefault="00636945" w:rsidP="00636945">
      <w:pPr>
        <w:autoSpaceDE w:val="0"/>
        <w:autoSpaceDN w:val="0"/>
        <w:adjustRightInd w:val="0"/>
        <w:spacing w:after="0" w:line="240" w:lineRule="auto"/>
        <w:ind w:left="720" w:firstLine="720"/>
        <w:rPr>
          <w:rFonts w:ascii="TimesTen-Roman" w:hAnsi="TimesTen-Roman" w:cs="TimesTen-Roman"/>
          <w:sz w:val="20"/>
          <w:szCs w:val="20"/>
        </w:rPr>
      </w:pPr>
      <w:r>
        <w:rPr>
          <w:rFonts w:ascii="TimesTen-Roman" w:hAnsi="TimesTen-Roman" w:cs="TimesTen-Roman"/>
          <w:sz w:val="20"/>
          <w:szCs w:val="20"/>
        </w:rPr>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 xml:space="preserve">1 </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(2.1.8)</w:t>
      </w:r>
    </w:p>
    <w:p w:rsidR="00636945" w:rsidRDefault="00636945" w:rsidP="00636945">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Weibull</w:t>
      </w:r>
    </w:p>
    <w:p w:rsidR="00636945" w:rsidRDefault="00636945" w:rsidP="00636945">
      <w:pPr>
        <w:autoSpaceDE w:val="0"/>
        <w:autoSpaceDN w:val="0"/>
        <w:adjustRightInd w:val="0"/>
        <w:spacing w:after="0" w:line="240" w:lineRule="auto"/>
        <w:rPr>
          <w:rFonts w:ascii="RMTMI" w:hAnsi="RMTMI" w:cs="RMTMI"/>
          <w:i/>
          <w:iCs/>
          <w:sz w:val="20"/>
          <w:szCs w:val="20"/>
        </w:rPr>
      </w:pPr>
      <w:proofErr w:type="gramStart"/>
      <w:r>
        <w:rPr>
          <w:rFonts w:ascii="RMTMI" w:hAnsi="RMTMI" w:cs="RMTMI"/>
          <w:i/>
          <w:iCs/>
          <w:sz w:val="20"/>
          <w:szCs w:val="20"/>
        </w:rPr>
        <w:t>π</w:t>
      </w:r>
      <w:r>
        <w:rPr>
          <w:rFonts w:ascii="TimesTen-Roman" w:hAnsi="TimesTen-Roman" w:cs="TimesTen-Roman"/>
          <w:sz w:val="14"/>
          <w:szCs w:val="14"/>
        </w:rPr>
        <w:t>9</w:t>
      </w:r>
      <w:r>
        <w:rPr>
          <w:rFonts w:ascii="TimesTen-Roman" w:hAnsi="TimesTen-Roman" w:cs="TimesTen-Roman"/>
          <w:sz w:val="20"/>
          <w:szCs w:val="20"/>
        </w:rPr>
        <w:t>(</w:t>
      </w:r>
      <w:proofErr w:type="gramEnd"/>
      <w:r>
        <w:rPr>
          <w:rFonts w:ascii="TimesTen-Italic" w:hAnsi="TimesTen-Italic" w:cs="TimesTen-Italic"/>
          <w:i/>
          <w:iCs/>
          <w:sz w:val="20"/>
          <w:szCs w:val="20"/>
        </w:rPr>
        <w:t>d</w:t>
      </w:r>
      <w:r>
        <w:rPr>
          <w:rFonts w:ascii="TimesTen-Roman" w:hAnsi="TimesTen-Roman" w:cs="TimesTen-Roman"/>
          <w:sz w:val="20"/>
          <w:szCs w:val="20"/>
        </w:rPr>
        <w:t xml:space="preserve">) </w:t>
      </w:r>
      <w:r>
        <w:rPr>
          <w:rFonts w:ascii="MTSY" w:eastAsia="MTSY" w:hAnsi="TimesTen-Roman" w:cs="MTSY"/>
          <w:sz w:val="20"/>
          <w:szCs w:val="20"/>
        </w:rPr>
        <w:t xml:space="preserve">= </w:t>
      </w:r>
      <w:r>
        <w:rPr>
          <w:rFonts w:ascii="RMTMI" w:hAnsi="RMTMI" w:cs="RMTMI"/>
          <w:i/>
          <w:iCs/>
          <w:sz w:val="20"/>
          <w:szCs w:val="20"/>
        </w:rPr>
        <w:t xml:space="preserve">γ </w:t>
      </w:r>
      <w:r>
        <w:rPr>
          <w:rFonts w:ascii="MTSY" w:eastAsia="MTSY" w:hAnsi="TimesTen-Roman" w:cs="MTSY"/>
          <w:sz w:val="20"/>
          <w:szCs w:val="20"/>
        </w:rPr>
        <w:t xml:space="preserve">+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w:t>
      </w:r>
      <w:r>
        <w:rPr>
          <w:rFonts w:ascii="TimesTen-Roman" w:hAnsi="TimesTen-Roman" w:cs="TimesTen-Roman"/>
          <w:sz w:val="20"/>
          <w:szCs w:val="20"/>
        </w:rPr>
        <w:t xml:space="preserve">)[1 </w:t>
      </w:r>
      <w:r>
        <w:rPr>
          <w:rFonts w:ascii="MTSY" w:eastAsia="MTSY" w:hAnsi="TimesTen-Roman" w:cs="MTSY" w:hint="eastAsia"/>
          <w:sz w:val="20"/>
          <w:szCs w:val="20"/>
        </w:rPr>
        <w:t>−</w:t>
      </w:r>
      <w:r>
        <w:rPr>
          <w:rFonts w:ascii="MTSY" w:eastAsia="MTSY" w:hAnsi="TimesTen-Roman" w:cs="MTSY"/>
          <w:sz w:val="20"/>
          <w:szCs w:val="20"/>
        </w:rPr>
        <w:t xml:space="preserve"> </w:t>
      </w:r>
      <w:proofErr w:type="spellStart"/>
      <w:r>
        <w:rPr>
          <w:rFonts w:ascii="TimesTen-Roman" w:hAnsi="TimesTen-Roman" w:cs="TimesTen-Roman"/>
          <w:sz w:val="20"/>
          <w:szCs w:val="20"/>
        </w:rPr>
        <w:t>exp</w:t>
      </w:r>
      <w:proofErr w:type="spellEnd"/>
      <w:r>
        <w:rPr>
          <w:rFonts w:ascii="TimesTen-Roman" w:hAnsi="TimesTen-Roman" w:cs="TimesTen-Roman"/>
          <w:sz w:val="20"/>
          <w:szCs w:val="20"/>
        </w:rPr>
        <w:t>(</w:t>
      </w:r>
      <w:r>
        <w:rPr>
          <w:rFonts w:ascii="MTSY" w:eastAsia="MTSY" w:hAnsi="TimesTen-Roman" w:cs="MTSY" w:hint="eastAsia"/>
          <w:sz w:val="20"/>
          <w:szCs w:val="20"/>
        </w:rPr>
        <w:t>−</w:t>
      </w:r>
      <w:r>
        <w:rPr>
          <w:rFonts w:ascii="RMTMI" w:hAnsi="RMTMI" w:cs="RMTMI"/>
          <w:i/>
          <w:iCs/>
          <w:sz w:val="20"/>
          <w:szCs w:val="20"/>
        </w:rPr>
        <w:t>β</w:t>
      </w:r>
      <w:r>
        <w:rPr>
          <w:rFonts w:ascii="TimesTen-Italic" w:hAnsi="TimesTen-Italic" w:cs="TimesTen-Italic"/>
          <w:i/>
          <w:iCs/>
          <w:sz w:val="20"/>
          <w:szCs w:val="20"/>
        </w:rPr>
        <w:t>d</w:t>
      </w:r>
      <w:r w:rsidRPr="00636945">
        <w:rPr>
          <w:rFonts w:ascii="RMTMI" w:hAnsi="RMTMI" w:cs="RMTMI"/>
          <w:i/>
          <w:iCs/>
          <w:szCs w:val="14"/>
          <w:vertAlign w:val="superscript"/>
        </w:rPr>
        <w:t>α</w:t>
      </w:r>
      <w:r>
        <w:rPr>
          <w:rFonts w:ascii="TimesTen-Roman" w:hAnsi="TimesTen-Roman" w:cs="TimesTen-Roman"/>
          <w:sz w:val="20"/>
          <w:szCs w:val="20"/>
        </w:rPr>
        <w:t>)]</w:t>
      </w:r>
      <w:r>
        <w:rPr>
          <w:rFonts w:ascii="RMTMI" w:hAnsi="RMTMI" w:cs="RMTMI"/>
          <w:i/>
          <w:iCs/>
          <w:sz w:val="20"/>
          <w:szCs w:val="20"/>
        </w:rPr>
        <w:t>,</w:t>
      </w:r>
    </w:p>
    <w:p w:rsidR="00636945" w:rsidRPr="00636945" w:rsidRDefault="00636945" w:rsidP="00636945">
      <w:pPr>
        <w:ind w:left="720" w:firstLine="720"/>
        <w:rPr>
          <w:b/>
        </w:rPr>
      </w:pPr>
      <w:r>
        <w:rPr>
          <w:rFonts w:ascii="TimesTen-Roman" w:hAnsi="TimesTen-Roman" w:cs="TimesTen-Roman"/>
          <w:sz w:val="20"/>
          <w:szCs w:val="20"/>
        </w:rPr>
        <w:t xml:space="preserve">0 </w:t>
      </w:r>
      <w:r>
        <w:rPr>
          <w:rFonts w:ascii="MTSY" w:eastAsia="MTSY" w:hAnsi="TimesTen-Roman" w:cs="MTSY" w:hint="eastAsia"/>
          <w:sz w:val="20"/>
          <w:szCs w:val="20"/>
        </w:rPr>
        <w:t>≤</w:t>
      </w:r>
      <w:r>
        <w:rPr>
          <w:rFonts w:ascii="MTSY" w:eastAsia="MTSY" w:hAnsi="TimesTen-Roman" w:cs="MTSY"/>
          <w:sz w:val="20"/>
          <w:szCs w:val="20"/>
        </w:rPr>
        <w:t xml:space="preserve"> </w:t>
      </w:r>
      <w:r>
        <w:rPr>
          <w:rFonts w:ascii="RMTMI" w:hAnsi="RMTMI" w:cs="RMTMI"/>
          <w:i/>
          <w:iCs/>
          <w:sz w:val="20"/>
          <w:szCs w:val="20"/>
        </w:rPr>
        <w:t xml:space="preserve">γ &lt; </w:t>
      </w:r>
      <w:r>
        <w:rPr>
          <w:rFonts w:ascii="TimesTen-Roman" w:hAnsi="TimesTen-Roman" w:cs="TimesTen-Roman"/>
          <w:sz w:val="20"/>
          <w:szCs w:val="20"/>
        </w:rPr>
        <w:t xml:space="preserve">1 </w:t>
      </w:r>
      <w:r>
        <w:rPr>
          <w:rFonts w:ascii="RMTMI" w:hAnsi="RMTMI" w:cs="RMTMI"/>
          <w:i/>
          <w:iCs/>
          <w:sz w:val="20"/>
          <w:szCs w:val="20"/>
        </w:rPr>
        <w:t xml:space="preserve">α </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0</w:t>
      </w:r>
      <w:r>
        <w:rPr>
          <w:rFonts w:ascii="RMTMI" w:hAnsi="RMTMI" w:cs="RMTMI"/>
          <w:i/>
          <w:iCs/>
          <w:sz w:val="20"/>
          <w:szCs w:val="20"/>
        </w:rPr>
        <w:t>.</w:t>
      </w:r>
      <w:r>
        <w:rPr>
          <w:rFonts w:ascii="TimesTen-Roman" w:hAnsi="TimesTen-Roman" w:cs="TimesTen-Roman"/>
          <w:sz w:val="20"/>
          <w:szCs w:val="20"/>
        </w:rPr>
        <w:t>5</w:t>
      </w:r>
      <w:r>
        <w:rPr>
          <w:rFonts w:ascii="RMTMI" w:hAnsi="RMTMI" w:cs="RMTMI"/>
          <w:i/>
          <w:iCs/>
          <w:sz w:val="20"/>
          <w:szCs w:val="20"/>
        </w:rPr>
        <w:t>, β</w:t>
      </w:r>
      <w:r>
        <w:rPr>
          <w:rFonts w:ascii="MTSY" w:eastAsia="MTSY" w:hAnsi="TimesTen-Roman" w:cs="MTSY" w:hint="eastAsia"/>
          <w:sz w:val="20"/>
          <w:szCs w:val="20"/>
        </w:rPr>
        <w:t>≥</w:t>
      </w:r>
      <w:r>
        <w:rPr>
          <w:rFonts w:ascii="MTSY" w:eastAsia="MTSY" w:hAnsi="TimesTen-Roman" w:cs="MTSY"/>
          <w:sz w:val="20"/>
          <w:szCs w:val="20"/>
        </w:rPr>
        <w:t xml:space="preserve"> </w:t>
      </w:r>
      <w:r>
        <w:rPr>
          <w:rFonts w:ascii="TimesTen-Roman" w:hAnsi="TimesTen-Roman" w:cs="TimesTen-Roman"/>
          <w:sz w:val="20"/>
          <w:szCs w:val="20"/>
        </w:rPr>
        <w:t>0</w:t>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r>
      <w:r>
        <w:rPr>
          <w:rFonts w:ascii="TimesTen-Roman" w:hAnsi="TimesTen-Roman" w:cs="TimesTen-Roman"/>
          <w:sz w:val="20"/>
          <w:szCs w:val="20"/>
        </w:rPr>
        <w:tab/>
        <w:t xml:space="preserve"> (2.1.9)</w:t>
      </w:r>
    </w:p>
    <w:p w:rsidR="00291843" w:rsidRDefault="004B2FBB">
      <w:r>
        <w:rPr>
          <w:b/>
        </w:rPr>
        <w:br/>
      </w:r>
      <w:r>
        <w:t xml:space="preserve">For each of the models, </w:t>
      </w:r>
      <w:r w:rsidR="00291843">
        <w:t>the BMD</w:t>
      </w:r>
      <w:r w:rsidR="001F62AC">
        <w:t xml:space="preserve"> (Crump 1984)</w:t>
      </w:r>
      <w:r w:rsidR="00291843">
        <w:t xml:space="preserve"> represents the dose associated with a given probability of response called the benchmark response (BMR).  The BMR represents a level of risk.</w:t>
      </w:r>
    </w:p>
    <w:p w:rsidR="00291843" w:rsidRDefault="00291843">
      <w:r>
        <w:t>There are two types of BMR available, Extra or Added risk.</w:t>
      </w:r>
    </w:p>
    <w:p w:rsidR="00291843" w:rsidRPr="00291843" w:rsidRDefault="00291843">
      <w:pPr>
        <w:rPr>
          <w:rFonts w:eastAsiaTheme="minorEastAsia"/>
        </w:rPr>
      </w:pPr>
      <m:oMathPara>
        <m:oMath>
          <m:r>
            <w:rPr>
              <w:rFonts w:ascii="Cambria Math" w:hAnsi="Cambria Math"/>
            </w:rPr>
            <m:t xml:space="preserve">Extra:BMR= </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BMD</m:t>
                  </m:r>
                </m:e>
              </m:d>
              <m:r>
                <w:rPr>
                  <w:rFonts w:ascii="Cambria Math" w:hAnsi="Cambria Math"/>
                </w:rPr>
                <m:t>- π(0)</m:t>
              </m:r>
            </m:num>
            <m:den>
              <m:r>
                <w:rPr>
                  <w:rFonts w:ascii="Cambria Math" w:hAnsi="Cambria Math"/>
                </w:rPr>
                <m:t>1- π(0)</m:t>
              </m:r>
            </m:den>
          </m:f>
        </m:oMath>
      </m:oMathPara>
    </w:p>
    <w:p w:rsidR="00291843" w:rsidRPr="00291843" w:rsidRDefault="00291843">
      <w:pPr>
        <w:rPr>
          <w:rFonts w:eastAsiaTheme="minorEastAsia"/>
        </w:rPr>
      </w:pPr>
      <m:oMathPara>
        <m:oMath>
          <m:r>
            <w:rPr>
              <w:rFonts w:ascii="Cambria Math" w:hAnsi="Cambria Math"/>
            </w:rPr>
            <m:t>Added:BMR= π</m:t>
          </m:r>
          <m:d>
            <m:dPr>
              <m:ctrlPr>
                <w:rPr>
                  <w:rFonts w:ascii="Cambria Math" w:hAnsi="Cambria Math"/>
                  <w:i/>
                </w:rPr>
              </m:ctrlPr>
            </m:dPr>
            <m:e>
              <m:r>
                <w:rPr>
                  <w:rFonts w:ascii="Cambria Math" w:hAnsi="Cambria Math"/>
                </w:rPr>
                <m:t>BMD</m:t>
              </m:r>
            </m:e>
          </m:d>
          <m:r>
            <w:rPr>
              <w:rFonts w:ascii="Cambria Math" w:hAnsi="Cambria Math"/>
            </w:rPr>
            <m:t>- π(0)</m:t>
          </m:r>
        </m:oMath>
      </m:oMathPara>
    </w:p>
    <w:p w:rsidR="00291843" w:rsidRPr="00291843" w:rsidRDefault="00291843">
      <w:pPr>
        <w:rPr>
          <w:rFonts w:eastAsiaTheme="minorEastAsia"/>
        </w:rPr>
      </w:pPr>
      <m:oMathPara>
        <m:oMath>
          <m:r>
            <w:rPr>
              <w:rFonts w:ascii="Cambria Math" w:hAnsi="Cambria Math"/>
            </w:rPr>
            <m:t>π</m:t>
          </m:r>
          <m:d>
            <m:dPr>
              <m:ctrlPr>
                <w:rPr>
                  <w:rFonts w:ascii="Cambria Math" w:hAnsi="Cambria Math"/>
                  <w:i/>
                </w:rPr>
              </m:ctrlPr>
            </m:dPr>
            <m:e>
              <m:r>
                <w:rPr>
                  <w:rFonts w:ascii="Cambria Math" w:hAnsi="Cambria Math"/>
                </w:rPr>
                <m:t>BMD</m:t>
              </m:r>
            </m:e>
          </m:d>
          <m:r>
            <w:rPr>
              <w:rFonts w:ascii="Cambria Math" w:hAnsi="Cambria Math"/>
            </w:rPr>
            <m:t xml:space="preserve"> is the estimated probability of a response at dose=BMD</m:t>
          </m:r>
        </m:oMath>
      </m:oMathPara>
    </w:p>
    <w:p w:rsidR="00291843" w:rsidRPr="00291843" w:rsidRDefault="00291843">
      <w:pPr>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is the estimated probability of a response at background, or dose=0</m:t>
          </m:r>
        </m:oMath>
      </m:oMathPara>
    </w:p>
    <w:p w:rsidR="00291843" w:rsidRDefault="00291843"/>
    <w:p w:rsidR="004B2FBB" w:rsidRDefault="00291843">
      <w:r>
        <w:t>Thus, for each model, the BMD estimate can be found analytically or numerically by solving the chosen BMR equation for the BMD.</w:t>
      </w:r>
    </w:p>
    <w:p w:rsidR="00291843" w:rsidRDefault="00291843">
      <w:r>
        <w:t>For example, in the Quantal Linear model with Added Risk:</w:t>
      </w:r>
    </w:p>
    <w:p w:rsidR="00291843" w:rsidRPr="00291843" w:rsidRDefault="00291843">
      <w:pPr>
        <w:rPr>
          <w:rFonts w:eastAsiaTheme="minorEastAsia"/>
        </w:rPr>
      </w:pPr>
      <m:oMathPara>
        <m:oMath>
          <m:r>
            <w:rPr>
              <w:rFonts w:ascii="Cambria Math" w:hAnsi="Cambria Math"/>
            </w:rPr>
            <w:lastRenderedPageBreak/>
            <m:t>BMR=</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γ</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γ</m:t>
                      </m:r>
                    </m:e>
                  </m:acc>
                </m:e>
              </m:d>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w:rPr>
                              <w:rFonts w:ascii="Cambria Math" w:hAnsi="Cambria Math"/>
                            </w:rPr>
                            <m:t>BMD</m:t>
                          </m:r>
                        </m:e>
                      </m:acc>
                    </m:sup>
                  </m:sSup>
                </m:e>
              </m:d>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γ</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γ</m:t>
                      </m:r>
                    </m:e>
                  </m:acc>
                </m:e>
              </m:d>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*0</m:t>
                      </m:r>
                    </m:sup>
                  </m:sSup>
                </m:e>
              </m:d>
            </m:e>
          </m:d>
          <m:r>
            <w:rPr>
              <w:rFonts w:ascii="Cambria Math" w:hAnsi="Cambria Math"/>
            </w:rPr>
            <m:t xml:space="preserve"> </m:t>
          </m:r>
        </m:oMath>
      </m:oMathPara>
    </w:p>
    <w:p w:rsidR="00291843" w:rsidRPr="00291843" w:rsidRDefault="00291843">
      <w:pPr>
        <w:rPr>
          <w:rFonts w:eastAsiaTheme="minorEastAsia"/>
        </w:rPr>
      </w:pPr>
      <m:oMathPara>
        <m:oMath>
          <m:r>
            <w:rPr>
              <w:rFonts w:ascii="Cambria Math" w:hAnsi="Cambria Math"/>
            </w:rPr>
            <m:t xml:space="preserve">BMR= </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γ</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γ</m:t>
                      </m:r>
                    </m:e>
                  </m:acc>
                </m:e>
              </m:d>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w:rPr>
                              <w:rFonts w:ascii="Cambria Math" w:hAnsi="Cambria Math"/>
                            </w:rPr>
                            <m:t>BMD</m:t>
                          </m:r>
                        </m:e>
                      </m:acc>
                    </m:sup>
                  </m:sSup>
                </m:e>
              </m:d>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γ</m:t>
                  </m:r>
                </m:e>
              </m:acc>
            </m:e>
          </m:d>
        </m:oMath>
      </m:oMathPara>
    </w:p>
    <w:p w:rsidR="00291843" w:rsidRPr="00291843" w:rsidRDefault="00291843">
      <w:pPr>
        <w:rPr>
          <w:rFonts w:eastAsiaTheme="minorEastAsia"/>
        </w:rPr>
      </w:pPr>
      <m:oMathPara>
        <m:oMath>
          <m:r>
            <w:rPr>
              <w:rFonts w:ascii="Cambria Math" w:eastAsiaTheme="minorEastAsia" w:hAnsi="Cambria Math"/>
            </w:rPr>
            <m:t>BMR=</m:t>
          </m:r>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γ</m:t>
                  </m:r>
                </m:e>
              </m:acc>
            </m:e>
          </m:d>
          <m:r>
            <w:rPr>
              <w:rFonts w:ascii="Cambria Math" w:eastAsiaTheme="minorEastAsia"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w:rPr>
                          <w:rFonts w:ascii="Cambria Math" w:hAnsi="Cambria Math"/>
                        </w:rPr>
                        <m:t>BMD</m:t>
                      </m:r>
                    </m:e>
                  </m:acc>
                </m:sup>
              </m:sSup>
            </m:e>
          </m:d>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BMR</m:t>
              </m:r>
            </m:num>
            <m:den>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γ</m:t>
                      </m:r>
                    </m:e>
                  </m:acc>
                </m:e>
              </m:d>
            </m:den>
          </m:f>
          <m:r>
            <w:rPr>
              <w:rFonts w:ascii="Cambria Math" w:eastAsiaTheme="minorEastAsia" w:hAnsi="Cambria Math"/>
            </w:rPr>
            <m:t>=</m:t>
          </m:r>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w:rPr>
                      <w:rFonts w:ascii="Cambria Math" w:hAnsi="Cambria Math"/>
                    </w:rPr>
                    <m:t>BMD</m:t>
                  </m:r>
                </m:e>
              </m:acc>
            </m:sup>
          </m:sSup>
          <m:r>
            <m:rPr>
              <m:sty m:val="p"/>
            </m:rPr>
            <w:rPr>
              <w:rFonts w:ascii="Cambria Math" w:hAnsi="Cambria Math"/>
            </w:rPr>
            <w:br/>
          </m:r>
        </m:oMath>
        <m:oMath>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acc>
                <m:accPr>
                  <m:ctrlPr>
                    <w:rPr>
                      <w:rFonts w:ascii="Cambria Math" w:hAnsi="Cambria Math"/>
                      <w:i/>
                    </w:rPr>
                  </m:ctrlPr>
                </m:accPr>
                <m:e>
                  <m:r>
                    <w:rPr>
                      <w:rFonts w:ascii="Cambria Math" w:hAnsi="Cambria Math"/>
                    </w:rPr>
                    <m:t>BMD</m:t>
                  </m:r>
                </m:e>
              </m:acc>
            </m:sup>
          </m:sSup>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BMR</m:t>
              </m:r>
            </m:num>
            <m:den>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γ</m:t>
                      </m:r>
                    </m:e>
                  </m:acc>
                </m:e>
              </m:d>
            </m:den>
          </m:f>
          <m:r>
            <m:rPr>
              <m:sty m:val="p"/>
            </m:rPr>
            <w:rPr>
              <w:rFonts w:ascii="Cambria Math" w:eastAsiaTheme="minorEastAsia" w:hAnsi="Cambria Math"/>
            </w:rPr>
            <w:br/>
          </m:r>
        </m:oMath>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BMD</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BMR</m:t>
                      </m:r>
                    </m:num>
                    <m:den>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γ</m:t>
                              </m:r>
                            </m:e>
                          </m:acc>
                        </m:e>
                      </m:d>
                    </m:den>
                  </m:f>
                </m:e>
              </m:d>
            </m:e>
          </m:func>
          <m:r>
            <m:rPr>
              <m:sty m:val="p"/>
            </m:rPr>
            <w:rPr>
              <w:rFonts w:ascii="Cambria Math" w:eastAsiaTheme="minorEastAsia" w:hAnsi="Cambria Math"/>
            </w:rPr>
            <w:br/>
          </m:r>
        </m:oMath>
        <m:oMath>
          <m:acc>
            <m:accPr>
              <m:ctrlPr>
                <w:rPr>
                  <w:rFonts w:ascii="Cambria Math" w:eastAsiaTheme="minorEastAsia" w:hAnsi="Cambria Math"/>
                  <w:i/>
                </w:rPr>
              </m:ctrlPr>
            </m:accPr>
            <m:e>
              <m:r>
                <w:rPr>
                  <w:rFonts w:ascii="Cambria Math" w:eastAsiaTheme="minorEastAsia" w:hAnsi="Cambria Math"/>
                </w:rPr>
                <m:t>BMD</m:t>
              </m:r>
            </m:e>
          </m:acc>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BMR</m:t>
                          </m:r>
                        </m:num>
                        <m:den>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γ</m:t>
                                  </m:r>
                                </m:e>
                              </m:acc>
                            </m:e>
                          </m:d>
                        </m:den>
                      </m:f>
                    </m:e>
                  </m:d>
                </m:e>
              </m:func>
            </m:num>
            <m:den>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en>
          </m:f>
        </m:oMath>
      </m:oMathPara>
    </w:p>
    <w:p w:rsidR="00291843" w:rsidRDefault="00B144F8">
      <w:pPr>
        <w:rPr>
          <w:rFonts w:eastAsiaTheme="minorEastAsia"/>
        </w:rPr>
      </w:pPr>
      <w:r>
        <w:rPr>
          <w:rFonts w:eastAsiaTheme="minorEastAsia"/>
        </w:rPr>
        <w:t xml:space="preserve">That is, the </w:t>
      </w:r>
      <w:r w:rsidR="001F62AC">
        <w:rPr>
          <w:rFonts w:eastAsiaTheme="minorEastAsia"/>
        </w:rPr>
        <w:t xml:space="preserve">BMD can be </w:t>
      </w:r>
      <w:proofErr w:type="spellStart"/>
      <w:r w:rsidR="001F62AC">
        <w:rPr>
          <w:rFonts w:eastAsiaTheme="minorEastAsia"/>
        </w:rPr>
        <w:t>reparameterized</w:t>
      </w:r>
      <w:proofErr w:type="spellEnd"/>
      <w:r w:rsidR="001F62AC">
        <w:rPr>
          <w:rFonts w:eastAsiaTheme="minorEastAsia"/>
        </w:rPr>
        <w:t xml:space="preserve"> as a function of the BMR and maximum likelihood estimates of the other parameters in the model.  There </w:t>
      </w:r>
      <w:proofErr w:type="spellStart"/>
      <w:r w:rsidR="001F62AC">
        <w:rPr>
          <w:rFonts w:eastAsiaTheme="minorEastAsia"/>
        </w:rPr>
        <w:t>reparamaterizations</w:t>
      </w:r>
      <w:proofErr w:type="spellEnd"/>
      <w:r w:rsidR="001F62AC">
        <w:rPr>
          <w:rFonts w:eastAsiaTheme="minorEastAsia"/>
        </w:rPr>
        <w:t xml:space="preserve"> are shown in the User’s Manual (EPA).</w:t>
      </w:r>
    </w:p>
    <w:p w:rsidR="001F62AC" w:rsidRDefault="001F62AC">
      <w:pPr>
        <w:rPr>
          <w:rFonts w:eastAsiaTheme="minorEastAsia"/>
        </w:rPr>
      </w:pPr>
      <w:r>
        <w:rPr>
          <w:rFonts w:eastAsiaTheme="minorEastAsia"/>
        </w:rPr>
        <w:t xml:space="preserve">For the multistage models (degree 2 or 3 only considered here), the BMD cannot be </w:t>
      </w:r>
      <w:proofErr w:type="spellStart"/>
      <w:r>
        <w:rPr>
          <w:rFonts w:eastAsiaTheme="minorEastAsia"/>
        </w:rPr>
        <w:t>reparameterized</w:t>
      </w:r>
      <w:proofErr w:type="spellEnd"/>
      <w:r>
        <w:rPr>
          <w:rFonts w:eastAsiaTheme="minorEastAsia"/>
        </w:rPr>
        <w:t xml:space="preserve">.  Instead, the BMD is the root of polynomial function, so Newton’s Method was used to numerically identify the BMD estimate.  </w:t>
      </w:r>
    </w:p>
    <w:p w:rsidR="001F62AC" w:rsidRPr="00291843" w:rsidRDefault="001F62AC">
      <w:pPr>
        <w:rPr>
          <w:rFonts w:eastAsiaTheme="minorEastAsia"/>
        </w:rPr>
      </w:pPr>
      <m:oMathPara>
        <m:oMath>
          <m:r>
            <w:rPr>
              <w:rFonts w:ascii="Cambria Math" w:eastAsiaTheme="minorEastAsia" w:hAnsi="Cambria Math"/>
            </w:rPr>
            <m:t>Multistage 2 BMD, Extra Risk:Find the root of the equation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*BMD+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BMD</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1-BMR</m:t>
                  </m:r>
                </m:e>
              </m:d>
            </m:e>
          </m:func>
          <m:r>
            <w:rPr>
              <w:rFonts w:ascii="Cambria Math" w:eastAsiaTheme="minorEastAsia" w:hAnsi="Cambria Math"/>
            </w:rPr>
            <m:t>=0</m:t>
          </m:r>
        </m:oMath>
      </m:oMathPara>
    </w:p>
    <w:p w:rsidR="00291843" w:rsidRDefault="00291843">
      <w:pPr>
        <w:rPr>
          <w:b/>
        </w:rPr>
      </w:pPr>
    </w:p>
    <w:p w:rsidR="001F62AC" w:rsidRDefault="001F62AC">
      <w:r>
        <w:t>Once the maximum likelihood estimate of the BMD is obtained, an iterative procedure is used to estimate the BMDL via the profile likelihood method proposed by Crump and Howe 1985.</w:t>
      </w:r>
    </w:p>
    <w:p w:rsidR="004F06ED" w:rsidRDefault="004F06ED">
      <w:r>
        <w:t>Wheeler 2005 illustrated that SAS can obtain BMD and BMDL estimates that match those from EPA BMDS to three significant figures; they are not exactly the same due to differences in numerical algorithms and convergence criteria.</w:t>
      </w:r>
      <w:r w:rsidR="000168F0">
        <w:t xml:space="preserve">  While useful, it isn’t clear at this point which model best fits the data, if any.</w:t>
      </w:r>
    </w:p>
    <w:p w:rsidR="000168F0" w:rsidRDefault="000168F0">
      <w:r>
        <w:t>EPA BMDS provides two diagnostic criteria and corresponding guidance.  First, a Chi-square goodness-of-fit test is conducted, which evaluates how close the observed proportion of responders is to the expected proportion from a given model.  If the p-value is greater than 10%, this indicates the model fits the data.  Second, of all models which adequately fit the data, the best model is chosen as the one with the smallest Akaike Information Criterion (AIC), which is a penalized function (based on number of parameters) of the model’s log likelihood.  Thus, the best model is that which fits the observed data and is parsimonious.</w:t>
      </w:r>
    </w:p>
    <w:p w:rsidR="000168F0" w:rsidRDefault="000168F0">
      <w:r>
        <w:t>This output was manually created in SAS.</w:t>
      </w:r>
    </w:p>
    <w:p w:rsidR="000168F0" w:rsidRDefault="000168F0">
      <w:r>
        <w:t>EPA BMDS also provides graphs of the dose response relationships.  These are not created by default in SAS.  First, the model has to be visualized by generating “doses” from the minimum to the maximum in small increments, then plugging those doses into the model equation with the maximum likelihood estimates for each parameter.</w:t>
      </w:r>
    </w:p>
    <w:p w:rsidR="000168F0" w:rsidRDefault="000168F0">
      <w:pPr>
        <w:rPr>
          <w:b/>
        </w:rPr>
      </w:pPr>
      <w:r w:rsidRPr="000168F0">
        <w:rPr>
          <w:b/>
        </w:rPr>
        <w:t>Results</w:t>
      </w:r>
    </w:p>
    <w:p w:rsidR="000168F0" w:rsidRDefault="000168F0">
      <w:r>
        <w:t>In approximately 1 minute, the following output is generated in the current version of BMDS in SAS:</w:t>
      </w:r>
    </w:p>
    <w:tbl>
      <w:tblPr>
        <w:tblStyle w:val="TableGrid"/>
        <w:tblW w:w="0" w:type="auto"/>
        <w:tblLook w:val="04A0" w:firstRow="1" w:lastRow="0" w:firstColumn="1" w:lastColumn="0" w:noHBand="0" w:noVBand="1"/>
        <w:tblDescription w:val="Procedure Print: Data Set WORK.OUT_ALL2"/>
      </w:tblPr>
      <w:tblGrid>
        <w:gridCol w:w="527"/>
        <w:gridCol w:w="1251"/>
        <w:gridCol w:w="1251"/>
        <w:gridCol w:w="1251"/>
        <w:gridCol w:w="636"/>
        <w:gridCol w:w="1251"/>
        <w:gridCol w:w="1251"/>
        <w:gridCol w:w="1791"/>
        <w:gridCol w:w="816"/>
      </w:tblGrid>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proofErr w:type="spellStart"/>
            <w:r w:rsidRPr="000168F0">
              <w:rPr>
                <w:rFonts w:ascii="Times New Roman" w:eastAsia="Times New Roman" w:hAnsi="Times New Roman" w:cs="Times New Roman"/>
                <w:b/>
                <w:bCs/>
                <w:sz w:val="18"/>
                <w:szCs w:val="24"/>
              </w:rPr>
              <w:lastRenderedPageBreak/>
              <w:t>Obs</w:t>
            </w:r>
            <w:proofErr w:type="spellEnd"/>
          </w:p>
        </w:tc>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proofErr w:type="spellStart"/>
            <w:r w:rsidRPr="000168F0">
              <w:rPr>
                <w:rFonts w:ascii="Times New Roman" w:eastAsia="Times New Roman" w:hAnsi="Times New Roman" w:cs="Times New Roman"/>
                <w:b/>
                <w:bCs/>
                <w:sz w:val="18"/>
                <w:szCs w:val="24"/>
              </w:rPr>
              <w:t>ChiSq</w:t>
            </w:r>
            <w:proofErr w:type="spellEnd"/>
          </w:p>
        </w:tc>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proofErr w:type="spellStart"/>
            <w:r w:rsidRPr="000168F0">
              <w:rPr>
                <w:rFonts w:ascii="Times New Roman" w:eastAsia="Times New Roman" w:hAnsi="Times New Roman" w:cs="Times New Roman"/>
                <w:b/>
                <w:bCs/>
                <w:sz w:val="18"/>
                <w:szCs w:val="24"/>
              </w:rPr>
              <w:t>GoF_pvalue</w:t>
            </w:r>
            <w:proofErr w:type="spellEnd"/>
          </w:p>
        </w:tc>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AIC</w:t>
            </w:r>
          </w:p>
        </w:tc>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BMR</w:t>
            </w:r>
          </w:p>
        </w:tc>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BMD</w:t>
            </w:r>
          </w:p>
        </w:tc>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BMDL</w:t>
            </w:r>
          </w:p>
        </w:tc>
        <w:tc>
          <w:tcPr>
            <w:tcW w:w="0" w:type="auto"/>
            <w:hideMark/>
          </w:tcPr>
          <w:p w:rsidR="000168F0" w:rsidRPr="000168F0" w:rsidRDefault="000168F0" w:rsidP="000168F0">
            <w:pPr>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Model</w:t>
            </w:r>
          </w:p>
        </w:tc>
        <w:tc>
          <w:tcPr>
            <w:tcW w:w="0" w:type="auto"/>
            <w:hideMark/>
          </w:tcPr>
          <w:p w:rsidR="000168F0" w:rsidRPr="000168F0" w:rsidRDefault="000168F0" w:rsidP="000168F0">
            <w:pPr>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Risk</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0.9635503902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0.8100707008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16.823549045</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0.5855120269</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0.3988698946</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LOGISTIC</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1.0465388662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0.7899928999</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16.913425316</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0.5572407065</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0.3952629621</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PROBIT</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3</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0.2233900508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0.8943169598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18.074369156</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1.0964357026</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0.4157524355</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LOG PROBIT</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4</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0.2384377697</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0.8876134944</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18.089753198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1.0732442748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0.3908430242</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LOG-LOGISTIC</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5</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0.4028318852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0.8175722977</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18.25921056</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1.0112416865</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0.2832029239</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GAMMA</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6</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0.604639533</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0.7391016871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18.471018108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0.8776287941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0.2611412058</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WEIBULL</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7</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0.6044242565</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0.739181247</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18.472139892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0.8625634154</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0.2515252859</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MULTISTAGE 2</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8</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2.9874691732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0.393561221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19.065057214</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0.2920933286</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0.1835360492</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QUANTAL LINEAR</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r w:rsidR="000168F0" w:rsidRPr="000168F0" w:rsidTr="000168F0">
        <w:tc>
          <w:tcPr>
            <w:tcW w:w="0" w:type="auto"/>
            <w:hideMark/>
          </w:tcPr>
          <w:p w:rsidR="000168F0" w:rsidRPr="000168F0" w:rsidRDefault="000168F0" w:rsidP="000168F0">
            <w:pPr>
              <w:jc w:val="right"/>
              <w:rPr>
                <w:rFonts w:ascii="Times New Roman" w:eastAsia="Times New Roman" w:hAnsi="Times New Roman" w:cs="Times New Roman"/>
                <w:b/>
                <w:bCs/>
                <w:sz w:val="18"/>
                <w:szCs w:val="24"/>
              </w:rPr>
            </w:pPr>
            <w:r w:rsidRPr="000168F0">
              <w:rPr>
                <w:rFonts w:ascii="Times New Roman" w:eastAsia="Times New Roman" w:hAnsi="Times New Roman" w:cs="Times New Roman"/>
                <w:b/>
                <w:bCs/>
                <w:sz w:val="18"/>
                <w:szCs w:val="24"/>
              </w:rPr>
              <w:t>9</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0.6044242631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0.4368949309</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20.472139892</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0.1</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0.8625634617</w:t>
            </w:r>
          </w:p>
        </w:tc>
        <w:tc>
          <w:tcPr>
            <w:tcW w:w="0" w:type="auto"/>
            <w:hideMark/>
          </w:tcPr>
          <w:p w:rsidR="000168F0" w:rsidRPr="000168F0" w:rsidRDefault="000168F0" w:rsidP="000168F0">
            <w:pPr>
              <w:jc w:val="right"/>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0.2464947934</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MULTISTAGE 3</w:t>
            </w:r>
          </w:p>
        </w:tc>
        <w:tc>
          <w:tcPr>
            <w:tcW w:w="0" w:type="auto"/>
            <w:hideMark/>
          </w:tcPr>
          <w:p w:rsidR="000168F0" w:rsidRPr="000168F0" w:rsidRDefault="000168F0" w:rsidP="000168F0">
            <w:pPr>
              <w:rPr>
                <w:rFonts w:ascii="Times New Roman" w:eastAsia="Times New Roman" w:hAnsi="Times New Roman" w:cs="Times New Roman"/>
                <w:sz w:val="18"/>
                <w:szCs w:val="24"/>
              </w:rPr>
            </w:pPr>
            <w:r w:rsidRPr="000168F0">
              <w:rPr>
                <w:rFonts w:ascii="Times New Roman" w:eastAsia="Times New Roman" w:hAnsi="Times New Roman" w:cs="Times New Roman"/>
                <w:sz w:val="18"/>
                <w:szCs w:val="24"/>
              </w:rPr>
              <w:t>EXTRA</w:t>
            </w:r>
          </w:p>
        </w:tc>
      </w:tr>
    </w:tbl>
    <w:p w:rsidR="000168F0" w:rsidRPr="000168F0" w:rsidRDefault="000168F0"/>
    <w:p w:rsidR="004F06ED" w:rsidRDefault="000168F0">
      <w:r w:rsidRPr="000168F0">
        <w:rPr>
          <w:noProof/>
        </w:rPr>
        <w:lastRenderedPageBreak/>
        <w:drawing>
          <wp:inline distT="0" distB="0" distL="0" distR="0">
            <wp:extent cx="6093460" cy="4572000"/>
            <wp:effectExtent l="0" t="0" r="2540" b="0"/>
            <wp:docPr id="1" name="Picture 1" descr="C:\Users\vom8\SG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8\SGPlo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r w:rsidRPr="000168F0">
        <w:rPr>
          <w:noProof/>
        </w:rPr>
        <w:lastRenderedPageBreak/>
        <w:drawing>
          <wp:inline distT="0" distB="0" distL="0" distR="0">
            <wp:extent cx="6093460" cy="4572000"/>
            <wp:effectExtent l="0" t="0" r="2540" b="0"/>
            <wp:docPr id="2" name="Picture 2" descr="C:\Users\vom8\SG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m8\SGPl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3" name="Picture 3" descr="C:\Users\vom8\SG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m8\SGPlo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4" name="Picture 4" descr="C:\Users\vom8\SG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m8\SGPlot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5" name="Picture 5" descr="C:\Users\vom8\SGPl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m8\SGPlot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6" name="Picture 6" descr="C:\Users\vom8\SG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om8\SGPlot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7" name="Picture 7" descr="C:\Users\vom8\SGPl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m8\SGPlot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8" name="Picture 8" descr="C:\Users\vom8\SGPl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om8\SGPlot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r w:rsidRPr="000168F0">
        <w:rPr>
          <w:noProof/>
        </w:rPr>
        <w:lastRenderedPageBreak/>
        <w:drawing>
          <wp:inline distT="0" distB="0" distL="0" distR="0">
            <wp:extent cx="6093460" cy="4572000"/>
            <wp:effectExtent l="0" t="0" r="2540" b="0"/>
            <wp:docPr id="9" name="Picture 9" descr="C:\Users\vom8\SGPlo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m8\SGPlot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168F0" w:rsidRDefault="000168F0"/>
    <w:p w:rsidR="000168F0" w:rsidRDefault="000C18B6">
      <w:r>
        <w:t>The next step is to incorporate model averaging.  As discussed in Wheeler and Bailer (2007), the selection of a single “best fitting model” ignores the other models which were considered and also adequately fit the data (i.e. Goodness-of-Fit p-value &gt; 0.1), adding model uncertainty into the estimation of the BMD and BMDL.  Wheeler and Bailer proposed the model average fit as a weighted sum of some subset of models.</w:t>
      </w:r>
    </w:p>
    <w:p w:rsidR="00284482" w:rsidRDefault="00284482">
      <w:r>
        <w:t xml:space="preserve">A </w:t>
      </w:r>
      <w:proofErr w:type="spellStart"/>
      <w:r>
        <w:t>stand alone</w:t>
      </w:r>
      <w:proofErr w:type="spellEnd"/>
      <w:r>
        <w:t xml:space="preserve"> software, MADr, was released in order to obtain model average BMD and BMDL estimates.</w:t>
      </w:r>
    </w:p>
    <w:p w:rsidR="00284482" w:rsidRDefault="00284482">
      <w:r>
        <w:t>Using the example data from Wheeler 2005, MADr was used to estimate the BMD and BMDL for 10% extra risk.  All models were included except Quantal Quadratic and Multistage 3.  The resulting BMD was 0.750856; percentile BMDL was 0.2386012; bias corrected and accelerated BMDL was 0.28098266.</w:t>
      </w:r>
    </w:p>
    <w:p w:rsidR="00284482" w:rsidRDefault="00284482">
      <w:r>
        <w:t xml:space="preserve">A model averaging script was written in SAS, following the bracketing-and-bisection method for BMD interpolation as mentioned in Wheeler 2007.  The BMD was estimated to be </w:t>
      </w:r>
      <w:r w:rsidRPr="00284482">
        <w:t>0.750604627</w:t>
      </w:r>
      <w:r>
        <w:t>, matching that from MADr to the third digit.</w:t>
      </w:r>
    </w:p>
    <w:p w:rsidR="00A6606B" w:rsidRDefault="00A6606B">
      <w:r>
        <w:t>BMDL estimation is computationally intensive, given the following process:</w:t>
      </w:r>
    </w:p>
    <w:p w:rsidR="00A6606B" w:rsidRDefault="00A6606B" w:rsidP="00A6606B">
      <w:pPr>
        <w:pStyle w:val="ListParagraph"/>
        <w:numPr>
          <w:ilvl w:val="0"/>
          <w:numId w:val="2"/>
        </w:numPr>
      </w:pPr>
      <w:r>
        <w:t>Fit all models to the dataset of interest.</w:t>
      </w:r>
    </w:p>
    <w:p w:rsidR="00A6606B" w:rsidRDefault="00A6606B" w:rsidP="00A6606B">
      <w:pPr>
        <w:pStyle w:val="ListParagraph"/>
        <w:numPr>
          <w:ilvl w:val="0"/>
          <w:numId w:val="2"/>
        </w:numPr>
      </w:pPr>
      <w:r>
        <w:t>Obtain the model average using the chosen best models</w:t>
      </w:r>
    </w:p>
    <w:p w:rsidR="00A6606B" w:rsidRDefault="00A6606B" w:rsidP="00A6606B">
      <w:pPr>
        <w:pStyle w:val="ListParagraph"/>
        <w:numPr>
          <w:ilvl w:val="1"/>
          <w:numId w:val="2"/>
        </w:numPr>
      </w:pPr>
      <w:r>
        <w:t>Estimate BMD</w:t>
      </w:r>
    </w:p>
    <w:p w:rsidR="00A6606B" w:rsidRDefault="00A6606B" w:rsidP="00A6606B">
      <w:pPr>
        <w:pStyle w:val="ListParagraph"/>
        <w:numPr>
          <w:ilvl w:val="0"/>
          <w:numId w:val="2"/>
        </w:numPr>
      </w:pPr>
      <w:r>
        <w:t>Generate a new dataset, where at each dose, X ~ Binomial(n, p=model average probability)</w:t>
      </w:r>
    </w:p>
    <w:p w:rsidR="00A6606B" w:rsidRDefault="00A6606B" w:rsidP="00A6606B">
      <w:pPr>
        <w:pStyle w:val="ListParagraph"/>
        <w:numPr>
          <w:ilvl w:val="0"/>
          <w:numId w:val="2"/>
        </w:numPr>
      </w:pPr>
      <w:r>
        <w:t>Fit all models to this new bootstrap dataset</w:t>
      </w:r>
    </w:p>
    <w:p w:rsidR="00A6606B" w:rsidRDefault="00A6606B" w:rsidP="00A6606B">
      <w:pPr>
        <w:pStyle w:val="ListParagraph"/>
        <w:numPr>
          <w:ilvl w:val="0"/>
          <w:numId w:val="2"/>
        </w:numPr>
      </w:pPr>
      <w:r>
        <w:t>Obtain the model average using the chosen best models</w:t>
      </w:r>
    </w:p>
    <w:p w:rsidR="00A6606B" w:rsidRDefault="00A6606B" w:rsidP="00A6606B">
      <w:pPr>
        <w:pStyle w:val="ListParagraph"/>
        <w:numPr>
          <w:ilvl w:val="1"/>
          <w:numId w:val="2"/>
        </w:numPr>
      </w:pPr>
      <w:r>
        <w:t>Estimate BMD</w:t>
      </w:r>
    </w:p>
    <w:p w:rsidR="00A6606B" w:rsidRDefault="00A6606B" w:rsidP="00A6606B">
      <w:pPr>
        <w:pStyle w:val="ListParagraph"/>
        <w:numPr>
          <w:ilvl w:val="0"/>
          <w:numId w:val="2"/>
        </w:numPr>
      </w:pPr>
      <w:r>
        <w:t>Repeat steps 3-5 2000 times, acquiring a distribution of 2000 BMD estimates</w:t>
      </w:r>
    </w:p>
    <w:p w:rsidR="00A6606B" w:rsidRDefault="00A6606B" w:rsidP="00A6606B">
      <w:pPr>
        <w:pStyle w:val="ListParagraph"/>
        <w:numPr>
          <w:ilvl w:val="0"/>
          <w:numId w:val="2"/>
        </w:numPr>
      </w:pPr>
      <w:r>
        <w:t>Choose the percentile of the BMD distribution matching the confidence limit of interest</w:t>
      </w:r>
    </w:p>
    <w:p w:rsidR="00A6606B" w:rsidRDefault="00A6606B" w:rsidP="00A6606B">
      <w:pPr>
        <w:pStyle w:val="ListParagraph"/>
        <w:numPr>
          <w:ilvl w:val="1"/>
          <w:numId w:val="2"/>
        </w:numPr>
      </w:pPr>
      <w:r>
        <w:t>E.g. 5</w:t>
      </w:r>
      <w:r w:rsidRPr="00A6606B">
        <w:rPr>
          <w:vertAlign w:val="superscript"/>
        </w:rPr>
        <w:t>th</w:t>
      </w:r>
      <w:r>
        <w:t xml:space="preserve"> percentile for the 95% BMDL</w:t>
      </w:r>
    </w:p>
    <w:p w:rsidR="00284482" w:rsidRDefault="00284482">
      <w:r>
        <w:t>This script follows the format of MADr, in which the user can indicate which models to include in the averaging process.</w:t>
      </w:r>
      <w:bookmarkStart w:id="0" w:name="_GoBack"/>
      <w:bookmarkEnd w:id="0"/>
    </w:p>
    <w:p w:rsidR="000C18B6" w:rsidRDefault="000C18B6">
      <w:r>
        <w:rPr>
          <w:rFonts w:ascii="Arial" w:hAnsi="Arial" w:cs="Arial"/>
          <w:noProof/>
          <w:color w:val="000000"/>
          <w:sz w:val="20"/>
          <w:szCs w:val="20"/>
        </w:rPr>
        <w:drawing>
          <wp:inline distT="0" distB="0" distL="0" distR="0">
            <wp:extent cx="6093460" cy="4572000"/>
            <wp:effectExtent l="0" t="0" r="2540" b="0"/>
            <wp:docPr id="10" name="Picture 1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0C18B6" w:rsidRPr="001F62AC" w:rsidRDefault="000C18B6">
      <w:r>
        <w:rPr>
          <w:rFonts w:ascii="Arial" w:hAnsi="Arial" w:cs="Arial"/>
          <w:noProof/>
          <w:color w:val="000000"/>
          <w:sz w:val="20"/>
          <w:szCs w:val="20"/>
        </w:rPr>
        <w:drawing>
          <wp:inline distT="0" distB="0" distL="0" distR="0">
            <wp:extent cx="6093460" cy="4572000"/>
            <wp:effectExtent l="0" t="0" r="2540" b="0"/>
            <wp:docPr id="11" name="Picture 1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1F62AC" w:rsidRDefault="001F62AC">
      <w:pPr>
        <w:rPr>
          <w:b/>
        </w:rPr>
      </w:pPr>
    </w:p>
    <w:p w:rsidR="00973B0A" w:rsidRPr="00417984" w:rsidRDefault="00417984">
      <w:pPr>
        <w:rPr>
          <w:b/>
        </w:rPr>
      </w:pPr>
      <w:r w:rsidRPr="00417984">
        <w:rPr>
          <w:b/>
        </w:rPr>
        <w:t>References</w:t>
      </w:r>
    </w:p>
    <w:p w:rsidR="00417984" w:rsidRDefault="00417984">
      <w:r>
        <w:t>Wheeler, M.  Benchmark Dose Estimation Using SAS.  2005.  SUGI 30.</w:t>
      </w:r>
    </w:p>
    <w:p w:rsidR="00417984" w:rsidRDefault="00417984">
      <w:r>
        <w:t>EPA.  BMDS 2.6 User’s Guide</w:t>
      </w:r>
    </w:p>
    <w:p w:rsidR="00417984" w:rsidRDefault="00417984">
      <w:r>
        <w:t>Wheeler, M., Bailer, J.  Properties of Model-Averaged BMDLs: A Study of Model Averaging in Dichotomous Response Risk Estimation.  Risk Analysis, Vol. 27, No 3, 2007</w:t>
      </w:r>
    </w:p>
    <w:p w:rsidR="00417984" w:rsidRDefault="00417984">
      <w:r>
        <w:t>Wheeler, MADr</w:t>
      </w:r>
    </w:p>
    <w:p w:rsidR="001F62AC" w:rsidRDefault="001F62AC">
      <w:r>
        <w:t>Crump K. 1984.  A new method for determining allowable daily intakes.  Fundamental and Applied Toxicology 4: 854-871</w:t>
      </w:r>
    </w:p>
    <w:p w:rsidR="001F62AC" w:rsidRDefault="001F62AC">
      <w:r>
        <w:lastRenderedPageBreak/>
        <w:t xml:space="preserve">Crump, K.S. and R. Howe.  1985.  A review of methods for calculating statistical confidence limits in low dose extrapolation in </w:t>
      </w:r>
      <w:proofErr w:type="spellStart"/>
      <w:r>
        <w:t>Clayson</w:t>
      </w:r>
      <w:proofErr w:type="spellEnd"/>
      <w:r>
        <w:t xml:space="preserve">, D. </w:t>
      </w:r>
      <w:proofErr w:type="spellStart"/>
      <w:r>
        <w:t>Krewski</w:t>
      </w:r>
      <w:proofErr w:type="spellEnd"/>
      <w:r>
        <w:t>, I. Munro (</w:t>
      </w:r>
      <w:proofErr w:type="spellStart"/>
      <w:proofErr w:type="gramStart"/>
      <w:r>
        <w:t>eds</w:t>
      </w:r>
      <w:proofErr w:type="spellEnd"/>
      <w:proofErr w:type="gramEnd"/>
      <w:r>
        <w:t xml:space="preserve">).  Toxicological Risk Assessment, Vol. I (pp. 187 – 203).  Boca Raton, </w:t>
      </w:r>
      <w:proofErr w:type="spellStart"/>
      <w:r>
        <w:t>Fl</w:t>
      </w:r>
      <w:proofErr w:type="spellEnd"/>
      <w:r>
        <w:t>: CRC Press.</w:t>
      </w:r>
    </w:p>
    <w:sectPr w:rsidR="001F62AC" w:rsidSect="00D26908">
      <w:head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BB" w:rsidRDefault="00DF78BB" w:rsidP="00DF78BB">
      <w:pPr>
        <w:spacing w:after="0" w:line="240" w:lineRule="auto"/>
      </w:pPr>
      <w:r>
        <w:separator/>
      </w:r>
    </w:p>
  </w:endnote>
  <w:endnote w:type="continuationSeparator" w:id="0">
    <w:p w:rsidR="00DF78BB" w:rsidRDefault="00DF78BB" w:rsidP="00DF7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RMTMI">
    <w:altName w:val="Times New Roman"/>
    <w:panose1 w:val="00000000000000000000"/>
    <w:charset w:val="A1"/>
    <w:family w:val="auto"/>
    <w:notTrueType/>
    <w:pitch w:val="default"/>
    <w:sig w:usb0="00000081" w:usb1="00000000" w:usb2="00000000" w:usb3="00000000" w:csb0="00000008" w:csb1="00000000"/>
  </w:font>
  <w:font w:name="TimesTen-Italic">
    <w:panose1 w:val="00000000000000000000"/>
    <w:charset w:val="00"/>
    <w:family w:val="roman"/>
    <w:notTrueType/>
    <w:pitch w:val="default"/>
    <w:sig w:usb0="00000003" w:usb1="00000000" w:usb2="00000000" w:usb3="00000000" w:csb0="00000001" w:csb1="00000000"/>
  </w:font>
  <w:font w:name="MTSY">
    <w:altName w:val="Times New Roman Uni"/>
    <w:panose1 w:val="00000000000000000000"/>
    <w:charset w:val="81"/>
    <w:family w:val="auto"/>
    <w:notTrueType/>
    <w:pitch w:val="default"/>
    <w:sig w:usb0="00000000" w:usb1="09060000" w:usb2="00000010" w:usb3="00000000" w:csb0="00080000" w:csb1="00000000"/>
  </w:font>
  <w:font w:name="MTEX">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BB" w:rsidRDefault="00DF78BB" w:rsidP="00DF78BB">
      <w:pPr>
        <w:spacing w:after="0" w:line="240" w:lineRule="auto"/>
      </w:pPr>
      <w:r>
        <w:separator/>
      </w:r>
    </w:p>
  </w:footnote>
  <w:footnote w:type="continuationSeparator" w:id="0">
    <w:p w:rsidR="00DF78BB" w:rsidRDefault="00DF78BB" w:rsidP="00DF7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8BB" w:rsidRDefault="00DF78BB">
    <w:pPr>
      <w:pStyle w:val="Header"/>
    </w:pPr>
    <w:r>
      <w:t>DRAFT</w:t>
    </w:r>
    <w:r>
      <w:ptab w:relativeTo="margin" w:alignment="center" w:leader="none"/>
    </w:r>
    <w:r>
      <w:t>BMDS in SAS – Initial Progress</w:t>
    </w:r>
    <w:r>
      <w:ptab w:relativeTo="margin" w:alignment="right" w:leader="none"/>
    </w:r>
    <w:r>
      <w:t xml:space="preserve">NMD </w:t>
    </w:r>
    <w:r w:rsidR="00284482">
      <w:t>31</w:t>
    </w:r>
    <w:r>
      <w:t>jul2017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C078E"/>
    <w:multiLevelType w:val="hybridMultilevel"/>
    <w:tmpl w:val="2ABCE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0A5E"/>
    <w:multiLevelType w:val="hybridMultilevel"/>
    <w:tmpl w:val="E3A2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0A"/>
    <w:rsid w:val="000168F0"/>
    <w:rsid w:val="000C18B6"/>
    <w:rsid w:val="001F62AC"/>
    <w:rsid w:val="00284482"/>
    <w:rsid w:val="00291843"/>
    <w:rsid w:val="00417984"/>
    <w:rsid w:val="004B2FBB"/>
    <w:rsid w:val="004F06ED"/>
    <w:rsid w:val="00636945"/>
    <w:rsid w:val="00973B0A"/>
    <w:rsid w:val="00A6606B"/>
    <w:rsid w:val="00B144F8"/>
    <w:rsid w:val="00D26908"/>
    <w:rsid w:val="00DF78BB"/>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03EA"/>
  <w15:chartTrackingRefBased/>
  <w15:docId w15:val="{F04C1640-ECB3-431C-B6F1-75B13379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84"/>
    <w:pPr>
      <w:ind w:left="720"/>
      <w:contextualSpacing/>
    </w:pPr>
  </w:style>
  <w:style w:type="character" w:styleId="PlaceholderText">
    <w:name w:val="Placeholder Text"/>
    <w:basedOn w:val="DefaultParagraphFont"/>
    <w:uiPriority w:val="99"/>
    <w:semiHidden/>
    <w:rsid w:val="00636945"/>
    <w:rPr>
      <w:color w:val="808080"/>
    </w:rPr>
  </w:style>
  <w:style w:type="table" w:styleId="TableGrid">
    <w:name w:val="Table Grid"/>
    <w:basedOn w:val="TableNormal"/>
    <w:uiPriority w:val="39"/>
    <w:rsid w:val="0001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8BB"/>
  </w:style>
  <w:style w:type="paragraph" w:styleId="Footer">
    <w:name w:val="footer"/>
    <w:basedOn w:val="Normal"/>
    <w:link w:val="FooterChar"/>
    <w:uiPriority w:val="99"/>
    <w:unhideWhenUsed/>
    <w:rsid w:val="00DF7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416090">
      <w:bodyDiv w:val="1"/>
      <w:marLeft w:val="120"/>
      <w:marRight w:val="120"/>
      <w:marTop w:val="0"/>
      <w:marBottom w:val="0"/>
      <w:divBdr>
        <w:top w:val="none" w:sz="0" w:space="0" w:color="auto"/>
        <w:left w:val="none" w:sz="0" w:space="0" w:color="auto"/>
        <w:bottom w:val="none" w:sz="0" w:space="0" w:color="auto"/>
        <w:right w:val="none" w:sz="0" w:space="0" w:color="auto"/>
      </w:divBdr>
      <w:divsChild>
        <w:div w:id="1190339108">
          <w:marLeft w:val="0"/>
          <w:marRight w:val="0"/>
          <w:marTop w:val="0"/>
          <w:marBottom w:val="0"/>
          <w:divBdr>
            <w:top w:val="none" w:sz="0" w:space="0" w:color="auto"/>
            <w:left w:val="none" w:sz="0" w:space="0" w:color="auto"/>
            <w:bottom w:val="none" w:sz="0" w:space="0" w:color="auto"/>
            <w:right w:val="none" w:sz="0" w:space="0" w:color="auto"/>
          </w:divBdr>
          <w:divsChild>
            <w:div w:id="2106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Nathan M. (CDC/NIOSH/EID)</dc:creator>
  <cp:keywords/>
  <dc:description/>
  <cp:lastModifiedBy>Drew, Nathan M. (CDC/NIOSH/EID)</cp:lastModifiedBy>
  <cp:revision>9</cp:revision>
  <dcterms:created xsi:type="dcterms:W3CDTF">2017-07-24T16:33:00Z</dcterms:created>
  <dcterms:modified xsi:type="dcterms:W3CDTF">2017-07-31T18:32:00Z</dcterms:modified>
</cp:coreProperties>
</file>