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over 150M individuals reached annually</w:t>
      </w:r>
    </w:p>
    <w:p>
      <w:pPr>
        <w:pStyle w:val="Compact"/>
        <w:numPr>
          <w:ilvl w:val="0"/>
          <w:numId w:val="1002"/>
        </w:numPr>
      </w:pPr>
      <w:r>
        <w:t xml:space="preserve">Oversee development of MEL frameworks, indicators, and data systems to support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program database development process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2026-05-12T22:22:26Z</dcterms:created>
  <dcterms:modified xsi:type="dcterms:W3CDTF">2026-05-12T22:22:26Z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