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MEAL, Statistics, Health Information Systems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Measurement, Evaluation, Accountability and Learning (MEAL), Statistics, and Data Systems leader with 15+ years of experience leading multi-country measurement, evaluation, learning, evidence-generation, impact assessment, and adaptive management initiatives across Africa. Proven expertise in performance measurement, statistical analysis, data systems strengthening, organizational learning, and translating complex evidence into strategic decisions for governments, donors, and implementing partners.</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Strategic Learning, Evidence Use, Adaptive Management,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(HMIS, DHIS2, EMR, LMIS, eCHIS,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Philanthropic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2"/>
        </w:numPr>
      </w:pPr>
      <w:r>
        <w:t xml:space="preserve">Support organizational strategy through evidence generation, analytics, and synthesis of findings to inform donor engagement, investment decisions, and program improvement.</w:t>
      </w:r>
    </w:p>
    <w:p>
      <w:pPr>
        <w:pStyle w:val="Compact"/>
        <w:numPr>
          <w:ilvl w:val="0"/>
          <w:numId w:val="1002"/>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2"/>
        </w:numPr>
      </w:pPr>
      <w:r>
        <w:t xml:space="preserve">Provide data‑driven technical support for fund development, including guidance during the proposal development stage.</w:t>
      </w:r>
    </w:p>
    <w:p>
      <w:pPr>
        <w:pStyle w:val="Compact"/>
        <w:numPr>
          <w:ilvl w:val="0"/>
          <w:numId w:val="1002"/>
        </w:numPr>
      </w:pPr>
      <w:r>
        <w:t xml:space="preserve">Co-lead the development and refinement of the organization’s Theory of Change, strengthening organizational learning, adaptive management, and evidence-informed decision-making.</w:t>
      </w:r>
    </w:p>
    <w:p>
      <w:pPr>
        <w:pStyle w:val="Compact"/>
        <w:numPr>
          <w:ilvl w:val="0"/>
          <w:numId w:val="1002"/>
        </w:numPr>
      </w:pPr>
      <w:r>
        <w:t xml:space="preserve">Facilitate cross-country learning and synthesize implementation evidence to generate actionable insights that strengthen adaptive management and inform strategic decision-making.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p>
      <w:pPr>
        <w:pStyle w:val="Compact"/>
        <w:numPr>
          <w:ilvl w:val="0"/>
          <w:numId w:val="1004"/>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4"/>
        </w:numPr>
      </w:pPr>
      <w:r>
        <w:t xml:space="preserve">Produced evidence briefs, learning products, technical reports and presentations used by donors, ministries of health and program leadership to guide strategic decisions.</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Delivered technical assistance to county health systems, enhancing data collection, analysis, and reporting of key performance indicators (KPIs).</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Reproductive, Maternal, Newborn, Child, and Adolescent Health (RMNCAH)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2026-06-11T13:39:06Z</dcterms:created>
  <dcterms:modified xsi:type="dcterms:W3CDTF">2026-06-11T13:39:06Z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