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five PC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p>
      <w:pPr>
        <w:pStyle w:val="Compact"/>
        <w:numPr>
          <w:ilvl w:val="0"/>
          <w:numId w:val="1002"/>
        </w:numPr>
      </w:pPr>
      <w:r>
        <w:t xml:space="preserve">Provide data‑driven technical support for fund development, including guidance during the proposal development stage.</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2026-06-02T13:54:09Z</dcterms:created>
  <dcterms:modified xsi:type="dcterms:W3CDTF">2026-06-02T13:54:09Z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